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 w:val="0"/>
        <w:spacing w:before="0" w:after="20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32"/>
        </w:rPr>
        <w:t>ПРАКТИЧНА РОБОТА № 1</w:t>
      </w:r>
    </w:p>
    <w:p>
      <w:pPr>
        <w:pStyle w:val="Title"/>
        <w:keepNext/>
        <w:keepLines w:val="0"/>
        <w:spacing w:before="0" w:after="20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32"/>
        </w:rPr>
        <w:t>РОЗРАХУНОК ВИРОБНИЧОЇ ПРОГРАМИ ТРУДОМІСТКОСТІ ЧИСЕЛЬНОСТІ ПРАЦІВНИКІВ КІЛЬКОСТІ ПОСТІВ І ФОНДУ ОПЛАТИ ПРАЦІ</w:t>
      </w:r>
    </w:p>
    <w:p>
      <w:pPr>
        <w:keepNext w:val="0"/>
        <w:keepLines w:val="0"/>
        <w:spacing w:before="0" w:after="160" w:line="240" w:lineRule="auto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8"/>
        </w:rPr>
        <w:t>Навчальна дисципліна «Економіка підприємств автомобільного транспорту»</w:t>
      </w:r>
    </w:p>
    <w:p>
      <w:pPr>
        <w:keepNext w:val="0"/>
        <w:keepLines w:val="0"/>
        <w:spacing w:before="0" w:after="280" w:line="240" w:lineRule="auto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Тривалість виконання 4 аудиторні години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 xml:space="preserve">Тема роботи.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Планування річної виробничої програми автотранспортного підприємства, визначення трудомісткості технічного обслуговування і поточного ремонту, потреби у виробничих працівниках і постах, а також річного фонду оплати праці.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 xml:space="preserve">Мета роботи.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Набути практичних умінь пов’язувати експлуатаційні показники рухомого складу з обсягом технічних впливів, витратами праці, чисельністю персоналу, пропускною спроможністю виробничої зони та витратами на оплату праці.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Практична робота охоплює повний ланцюг планування: від визначення річного пробігу і кількості технічних обслуговувань до перевірки достатності постів та оцінки витрат на персонал. Розрахунки виконуються за індивідуальним варіантом, після чого студент аналізує чутливість результатів до зміни обсягу роботи підприємства.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ОЧІКУВАНІ РЕЗУЛЬТАТИ НАВЧАННЯ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визначати річний обсяг експлуатаційної роботи рухомого складу та програму технічних впливів.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обчислювати трудомісткість щоденного обслуговування, ТО-1, ТО-2, сезонного обслуговування і поточного ремонту.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розрізняти номінальний та ефективний фонди робочого часу і визначати технологічно необхідну та штатну чисельність працівників.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розраховувати кількість робочих постів з урахуванням режиму роботи та коефіцієнта їх використання.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формувати річний фонд оплати праці, середню місячну заробітну плату та витрати роботодавця на єдиний внесок.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порівнювати базовий і сценарний результати та формулювати управлінські висновки.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 ТЕОРЕТИЧНІ ПОЛОЖЕННЯ</w:t>
      </w:r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1.1 Виробнича програма автотранспортного підприємства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Виробнича програма технічної служби АТП визначає планову кількість технічних впливів за рік і є основою для розрахунку трудомісткості, чисельності працівників, кількості постів, потреби в обладнанні та витрат на оплату праці. Періодичність обслуговування конкретного рухомого складу встановлюють за документацією виробника, чинними нормативними вимогами та умовами експлуатації [1]. Значення у варіантах цієї роботи є навчальними й призначені для відпрацювання методики.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Розрахунок починають з планової кількості автомобіле-днів експлуатації: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AD</m:t>
              </m:r>
            </m:e>
            <m:sub>
              <m:r>
                <m:rPr>
                  <m:sty m:val="i"/>
                </m:rPr>
                <m:t>е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A</m:t>
              </m:r>
            </m:e>
            <m:sub>
              <m:r>
                <m:rPr>
                  <m:sty m:val="i"/>
                </m:rPr>
                <m:t>сп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р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α</m:t>
              </m:r>
            </m:e>
            <m:sub>
              <m:r>
                <m:rPr>
                  <m:sty m:val="i"/>
                </m:rPr>
                <m:t>в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Річний пробіг парку визначають як добуток автомобіле-днів експлуатації та середньодобового пробігу: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р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AD</m:t>
              </m:r>
            </m:e>
            <m:sub>
              <m:r>
                <m:rPr>
                  <m:sty m:val="i"/>
                </m:rPr>
                <m:t>е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сд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Щоб урахувати умови експлуатації, нормативну періодичність ТО-1 і ТО-2 коригують коефіцієнтом періодичності: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1,кор</m:t>
              </m:r>
            </m:sub>
          </m:sSub>
          <m:r>
            <m:rPr>
              <m:sty m:val="i"/>
            </m:rPr>
            <m:t xml:space="preserve"> = </m:t>
          </m:r>
          <m:sSup>
            <m:e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1</m:t>
                  </m:r>
                </m:sub>
              </m:sSub>
            </m:e>
            <m:sup>
              <m:r>
                <m:rPr>
                  <m:sty m:val="i"/>
                </m:rPr>
                <m:t>н</m:t>
              </m:r>
            </m:sup>
          </m:sSup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п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2,кор</m:t>
              </m:r>
            </m:sub>
          </m:sSub>
          <m:r>
            <m:rPr>
              <m:sty m:val="i"/>
            </m:rPr>
            <m:t xml:space="preserve"> = </m:t>
          </m:r>
          <m:sSup>
            <m:e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2</m:t>
                  </m:r>
                </m:sub>
              </m:sSub>
            </m:e>
            <m:sup>
              <m:r>
                <m:rPr>
                  <m:sty m:val="i"/>
                </m:rPr>
                <m:t>н</m:t>
              </m:r>
            </m:sup>
          </m:sSup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п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Річну програму визначають окремо за видами робіт. Кількість ТО-1 зменшують на кількість ТО-2, оскільки під час виконання ТО-2 частина операцій ТО-1 не планується як окремий вплив: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AD</m:t>
              </m:r>
            </m:e>
            <m:sub>
              <m:r>
                <m:rPr>
                  <m:sty m:val="i"/>
                </m:rPr>
                <m:t>е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р</m:t>
                  </m:r>
                </m:sub>
              </m:sSub>
            </m:num>
            <m:den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2,кор</m:t>
                  </m:r>
                </m:sub>
              </m:sSub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р</m:t>
                  </m:r>
                </m:sub>
              </m:sSub>
            </m:num>
            <m:den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1,кор</m:t>
                  </m:r>
                </m:sub>
              </m:sSub>
            </m:den>
          </m:f>
          <m:r>
            <m:rPr>
              <m:sty m:val="i"/>
            </m:rPr>
            <m:t xml:space="preserve"> − </m:t>
          </m:r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2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СО</m:t>
              </m:r>
            </m:sub>
          </m:sSub>
          <m:r>
            <m:rPr>
              <m:sty m:val="i"/>
            </m:rPr>
            <m:t xml:space="preserve"> = 2 · </m:t>
          </m:r>
          <m:sSub>
            <m:e>
              <m:r>
                <m:rPr>
                  <m:sty m:val="i"/>
                </m:rPr>
                <m:t>A</m:t>
              </m:r>
            </m:e>
            <m:sub>
              <m:r>
                <m:rPr>
                  <m:sty m:val="i"/>
                </m:rPr>
                <m:t>сп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Спочатку округлюють кількість ТО-2, після чого прийняте значення використовують для визначення ТО-1. Кількість технічних впливів округлюють до цілого числа за математичним правилом. Сезонне обслуговування у навчальному розрахунку передбачається двічі на рік для кожного автомобіля.</w:t>
      </w:r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1.2 Розрахунок трудомісткості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Трудомісткість характеризує витрати робочого часу виробничих працівників. Для планових обслуговувань вона залежить від кількості впливів та трудомісткості одного обслуговування. Поточний ремонт планують у людино-годинах на 1000 км пробігу, тому кількість ремонтів окремо не визначають.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т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т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т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СО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СО</m:t>
              </m:r>
            </m:sub>
          </m:sSub>
          <m:r>
            <m:rPr>
              <m:sty m:val="i"/>
            </m:rPr>
            <m:t xml:space="preserve"> · (0,20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)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т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ПР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L</m:t>
                  </m:r>
                </m:e>
                <m:sub>
                  <m:r>
                    <m:rPr>
                      <m:sty m:val="i"/>
                    </m:rPr>
                    <m:t>р</m:t>
                  </m:r>
                </m:sub>
              </m:sSub>
            </m:num>
            <m:den>
              <m:r>
                <m:rPr>
                  <m:sty m:val="i"/>
                </m:rPr>
                <m:t>1000</m:t>
              </m:r>
            </m:den>
          </m:f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ПР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т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Основна трудомісткість охоплює безпосередні роботи з технічного обслуговування і ремонту. Допоміжна трудомісткість у цій роботі приймається у розмірі 15 % основної та враховує підготовчі, транспортні, складські й інші роботи, без яких виробничий процес не може бути організований.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СО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ПР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доп</m:t>
              </m:r>
            </m:sub>
          </m:sSub>
          <m:r>
            <m:rPr>
              <m:sty m:val="i"/>
            </m:rPr>
            <m:t xml:space="preserve"> = 0,15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осн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Σ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доп</m:t>
              </m:r>
            </m:sub>
          </m:sSub>
        </m:oMath>
      </m:oMathPara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1.3 Фонди робочого часу та чисельність працівників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Номінальний фонд робочого часу показує максимально можливу кількість годин роботи одного працівника за прийнятим календарним режимом. Ефективний фонд менший, оскільки враховує відпустки, прогнозовані невиходи та внутрішньозмінні втрати часу.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F</m:t>
              </m:r>
            </m:e>
            <m:sub>
              <m:r>
                <m:rPr>
                  <m:sty m:val="i"/>
                </m:rPr>
                <m:t>ном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ном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зм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F</m:t>
              </m:r>
            </m:e>
            <m:sub>
              <m:r>
                <m:rPr>
                  <m:sty m:val="i"/>
                </m:rPr>
                <m:t>еф</m:t>
              </m:r>
            </m:sub>
          </m:sSub>
          <m:r>
            <m:rPr>
              <m:sty m:val="i"/>
            </m:rPr>
            <m:t xml:space="preserve"> = (</m:t>
          </m:r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ном</m:t>
              </m:r>
            </m:sub>
          </m:sSub>
          <m:r>
            <m:rPr>
              <m:sty m:val="i"/>
            </m:rPr>
            <m:t xml:space="preserve"> − </m:t>
          </m:r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відп</m:t>
              </m:r>
            </m:sub>
          </m:sSub>
          <m:r>
            <m:rPr>
              <m:sty m:val="i"/>
            </m:rPr>
            <m:t xml:space="preserve"> − </m:t>
          </m:r>
          <m:sSub>
            <m:e>
              <m:r>
                <m:rPr>
                  <m:sty m:val="i"/>
                </m:rPr>
                <m:t>D</m:t>
              </m:r>
            </m:e>
            <m:sub>
              <m:r>
                <m:rPr>
                  <m:sty m:val="i"/>
                </m:rPr>
                <m:t>невих</m:t>
              </m:r>
            </m:sub>
          </m:sSub>
          <m:r>
            <m:rPr>
              <m:sty m:val="i"/>
            </m:rPr>
            <m:t xml:space="preserve">) ·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зм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k</m:t>
              </m:r>
            </m:e>
            <m:sub>
              <m:r>
                <m:rPr>
                  <m:sty m:val="i"/>
                </m:rPr>
                <m:t>вик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Технологічно необхідна чисельність показує потребу в працівниках для виконання річного обсягу робіт без урахування планових невиходів. Штатна чисельність забезпечує заміщення працівників у періоди відпусток і прогнозованої відсутності.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R</m:t>
              </m:r>
            </m:e>
            <m:sub>
              <m:r>
                <m:rPr>
                  <m:sty m:val="i"/>
                </m:rPr>
                <m:t>тех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T</m:t>
                  </m:r>
                </m:e>
                <m:sub>
                  <m:r>
                    <m:rPr>
                      <m:sty m:val="i"/>
                    </m:rPr>
                    <m:t>Σ</m:t>
                  </m:r>
                </m:sub>
              </m:sSub>
            </m:num>
            <m:den>
              <m:sSub>
                <m:e>
                  <m:r>
                    <m:rPr>
                      <m:sty m:val="i"/>
                    </m:rPr>
                    <m:t>F</m:t>
                  </m:r>
                </m:e>
                <m:sub>
                  <m:r>
                    <m:rPr>
                      <m:sty m:val="i"/>
                    </m:rPr>
                    <m:t>ном</m:t>
                  </m:r>
                </m:sub>
              </m:sSub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R</m:t>
              </m:r>
            </m:e>
            <m:sub>
              <m:r>
                <m:rPr>
                  <m:sty m:val="i"/>
                </m:rPr>
                <m:t>шт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T</m:t>
                  </m:r>
                </m:e>
                <m:sub>
                  <m:r>
                    <m:rPr>
                      <m:sty m:val="i"/>
                    </m:rPr>
                    <m:t>Σ</m:t>
                  </m:r>
                </m:sub>
              </m:sSub>
            </m:num>
            <m:den>
              <m:sSub>
                <m:e>
                  <m:r>
                    <m:rPr>
                      <m:sty m:val="i"/>
                    </m:rPr>
                    <m:t>F</m:t>
                  </m:r>
                </m:e>
                <m:sub>
                  <m:r>
                    <m:rPr>
                      <m:sty m:val="i"/>
                    </m:rPr>
                    <m:t>еф</m:t>
                  </m:r>
                </m:sub>
              </m:sSub>
            </m:den>
          </m:f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Штатну чисельність округлюють у більший бік до цілого працівника. Технологічно необхідну чисельність подають з точністю до двох знаків і додатково зазначають прийняте ціле значення.</w:t>
      </w:r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1.4 Розрахунок кількості робочих постів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На постах виконується лише частина загальної трудомісткості. Частку постових робіт задають у відсотках. Пропускна спроможність одного поста залежить від кількості робочих днів, змінності, тривалості зміни, коефіцієнта використання поста та середньої кількості працівників на одному посту.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пост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Σ</m:t>
              </m:r>
            </m:sub>
          </m:sSub>
          <m:r>
            <m:rPr>
              <m:sty m:val="i"/>
            </m:rPr>
            <m:t xml:space="preserve"> · </m:t>
          </m:r>
          <m:f>
            <m:num>
              <m:sSub>
                <m:e>
                  <m:r>
                    <m:rPr>
                      <m:sty m:val="i"/>
                    </m:rPr>
                    <m:t>d</m:t>
                  </m:r>
                </m:e>
                <m:sub>
                  <m:r>
                    <m:rPr>
                      <m:sty m:val="i"/>
                    </m:rPr>
                    <m:t>пост</m:t>
                  </m:r>
                </m:sub>
              </m:sSub>
            </m:num>
            <m:den>
              <m:r>
                <m:rPr>
                  <m:sty m:val="i"/>
                </m:rPr>
                <m:t>100</m:t>
              </m:r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rPr>
                  <m:sty m:val="i"/>
                </m:rPr>
                <m:t>пост</m:t>
              </m:r>
            </m:sub>
          </m:sSub>
          <m:r>
            <m:rPr>
              <m:sty m:val="i"/>
            </m:rPr>
            <m:t xml:space="preserve"> = </m:t>
          </m:r>
          <m:f>
            <m:num>
              <m:sSub>
                <m:e>
                  <m:r>
                    <m:rPr>
                      <m:sty m:val="i"/>
                    </m:rPr>
                    <m:t>T</m:t>
                  </m:r>
                </m:e>
                <m:sub>
                  <m:r>
                    <m:rPr>
                      <m:sty m:val="i"/>
                    </m:rPr>
                    <m:t>пост</m:t>
                  </m:r>
                </m:sub>
              </m:sSub>
              <m:r>
                <m:rPr>
                  <m:sty m:val="i"/>
                </m:rPr>
                <m:t xml:space="preserve"> · φ</m:t>
              </m:r>
            </m:num>
            <m:den>
              <m:sSub>
                <m:e>
                  <m:r>
                    <m:rPr>
                      <m:sty m:val="i"/>
                    </m:rPr>
                    <m:t>D</m:t>
                  </m:r>
                </m:e>
                <m:sub>
                  <m:r>
                    <m:rPr>
                      <m:sty m:val="i"/>
                    </m:rPr>
                    <m:t>пост</m:t>
                  </m:r>
                </m:sub>
              </m:sSub>
              <m:r>
                <m:rPr>
                  <m:sty m:val="i"/>
                </m:rPr>
                <m:t xml:space="preserve"> · z · </m:t>
              </m:r>
              <m:sSub>
                <m:e>
                  <m:r>
                    <m:rPr>
                      <m:sty m:val="i"/>
                    </m:rPr>
                    <m:t>t</m:t>
                  </m:r>
                </m:e>
                <m:sub>
                  <m:r>
                    <m:rPr>
                      <m:sty m:val="i"/>
                    </m:rPr>
                    <m:t>зм</m:t>
                  </m:r>
                </m:sub>
              </m:sSub>
              <m:r>
                <m:rPr>
                  <m:sty m:val="i"/>
                </m:rPr>
                <m:t xml:space="preserve"> · </m:t>
              </m:r>
              <m:sSub>
                <m:e>
                  <m:r>
                    <m:rPr>
                      <m:sty m:val="i"/>
                    </m:rPr>
                    <m:t>η</m:t>
                  </m:r>
                </m:e>
                <m:sub>
                  <m:r>
                    <m:rPr>
                      <m:sty m:val="i"/>
                    </m:rPr>
                    <m:t>пост</m:t>
                  </m:r>
                </m:sub>
              </m:sSub>
              <m:r>
                <m:rPr>
                  <m:sty m:val="i"/>
                </m:rPr>
                <m:t xml:space="preserve"> · </m:t>
              </m:r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пост</m:t>
                  </m:r>
                </m:sub>
              </m:sSub>
            </m:den>
          </m:f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Коефіцієнт нерівномірності φ створює резерв пропускної спроможності на випадок коливань добового навантаження. Розрахункову кількість постів округлюють у більший бік. Після округлення потрібно перевірити, чи не виникає надмірного резерву і чи узгоджується кількість постів із прийнятою чисельністю працівників.</w:t>
      </w:r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1.5 Розрахунок фонду оплати праці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Оплата праці формується відповідно до прийнятої на підприємстві системи, тарифної ставки, преміювання і додаткових виплат [2]. У навчальній моделі основну заробітну плату утворюють тарифна частина та премія, а додаткову заробітну плату визначають у відсотках від основної.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тар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Σ</m:t>
              </m:r>
            </m:sub>
          </m:sSub>
          <m:r>
            <m:rPr>
              <m:sty m:val="i"/>
            </m:rPr>
            <m:t xml:space="preserve"> · </m:t>
          </m:r>
          <m:sSub>
            <m:e>
              <m:r>
                <m:rPr>
                  <m:sty m:val="i"/>
                </m:rPr>
                <m:t>C</m:t>
              </m:r>
            </m:e>
            <m:sub>
              <m:r>
                <m:rPr>
                  <m:sty m:val="i"/>
                </m:rPr>
                <m:t>год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прем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тар</m:t>
              </m:r>
            </m:sub>
          </m:sSub>
          <m:r>
            <m:rPr>
              <m:sty m:val="i"/>
            </m:rPr>
            <m:t xml:space="preserve"> · </m:t>
          </m:r>
          <m:f>
            <m:num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прем</m:t>
                  </m:r>
                </m:sub>
              </m:sSub>
            </m:num>
            <m:den>
              <m:r>
                <m:rPr>
                  <m:sty m:val="i"/>
                </m:rPr>
                <m:t>100</m:t>
              </m:r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тар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прем</m:t>
              </m:r>
            </m:sub>
          </m:sSub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дод</m:t>
              </m:r>
            </m:sub>
          </m:sSub>
          <m:r>
            <m:rPr>
              <m:sty m:val="i"/>
            </m:rPr>
            <m:t xml:space="preserve"> =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i"/>
            </m:rPr>
            <m:t xml:space="preserve"> · </m:t>
          </m:r>
          <m:f>
            <m:num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дод</m:t>
                  </m:r>
                </m:sub>
              </m:sSub>
            </m:num>
            <m:den>
              <m:r>
                <m:rPr>
                  <m:sty m:val="i"/>
                </m:rPr>
                <m:t>100</m:t>
              </m:r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r>
            <m:rPr>
              <m:sty m:val="i"/>
            </m:rPr>
            <m:t xml:space="preserve">FOP =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i"/>
            </m:rPr>
            <m:t xml:space="preserve"> + </m:t>
          </m:r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дод</m:t>
              </m:r>
            </m:sub>
          </m:sSub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Для економічної перевірки визначають середню місячну заробітну плату одного штатного працівника. Єдиний внесок не входить до фонду оплати праці, але є витратою роботодавця. У варіантах застосовано навчальну ставку 22 %, установлену для загального випадку Законом України № 2464-VI [3]. Для реального проєкту ставку та пільги необхідно перевіряти на дату розрахунку.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міс</m:t>
              </m:r>
            </m:sub>
          </m:sSub>
          <m:r>
            <m:rPr>
              <m:sty m:val="i"/>
            </m:rPr>
            <m:t xml:space="preserve"> = </m:t>
          </m:r>
          <m:f>
            <m:num>
              <m:r>
                <m:rPr>
                  <m:sty m:val="i"/>
                </m:rPr>
                <m:t>FOP</m:t>
              </m:r>
            </m:num>
            <m:den>
              <m:r>
                <m:rPr>
                  <m:sty m:val="i"/>
                </m:rPr>
                <m:t xml:space="preserve">12 · </m:t>
              </m:r>
              <m:sSub>
                <m:e>
                  <m:r>
                    <m:rPr>
                      <m:sty m:val="i"/>
                    </m:rPr>
                    <m:t>R</m:t>
                  </m:r>
                </m:e>
                <m:sub>
                  <m:r>
                    <m:rPr>
                      <m:sty m:val="i"/>
                    </m:rPr>
                    <m:t>шт</m:t>
                  </m:r>
                </m:sub>
              </m:sSub>
            </m:den>
          </m:f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r>
            <m:rPr>
              <m:sty m:val="i"/>
            </m:rPr>
            <m:t>ESV = FOP · 0,22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V</m:t>
              </m:r>
            </m:e>
            <m:sub>
              <m:r>
                <m:rPr>
                  <m:sty m:val="i"/>
                </m:rPr>
                <m:t>персонал</m:t>
              </m:r>
            </m:sub>
          </m:sSub>
          <m:r>
            <m:rPr>
              <m:sty m:val="i"/>
            </m:rPr>
            <m:t xml:space="preserve"> = FOP + ESV</m:t>
          </m:r>
        </m:oMath>
      </m:oMathPara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 ПОЗНАЧЕННЯ ТА ЗАГАЛЬНІ ВИХІДНІ ДАНІ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Основні позначення, що використовуються у формулах, наведено в таблиці 1.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1 — Основні позначення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3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Позначення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Зміст та одиниця вимірювання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Aсп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спискова кількість автомобілів, од.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Dр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кількість днів експлуатації одного автомобіля за рік, днів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αв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випуску автомобілів на лінію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ADе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автомобіле-дні експлуатації за рік, автомобіле-днів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lсд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середньодобовий пробіг автомобіля, км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Lр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річний пробіг парку, км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L1н, L2н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нормативна періодичність ТО-1 і ТО-2, км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kп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коригування періодичності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NЩО, N1, N2, NСО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річна кількість відповідних технічних впливів, од.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tЩО, t1, t2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трудомісткість одного відповідного обслуговування, люд.-год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tПР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питома трудомісткість поточного ремонту, люд.-год/1000 км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kт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коригування трудомісткості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TΣ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загальна річна трудомісткість, люд.-год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Fном, Fеф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номінальний та ефективний фонди часу одного працівника, год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Rтех, Rшт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технологічно необхідна та штатна чисельність працівників, осіб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dпост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 трудомісткості, що виконується на постах, %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Dпост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кількість днів роботи постів за рік, днів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z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кількість робочих змін за добу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ηпост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використання робочого часу поста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Pпост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середня кількість працівників на одному посту, осіб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Cгод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середня годинна тарифна ставка, грн/год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FOP</w:t>
            </w:r>
          </w:p>
        </w:tc>
        <w:tc>
          <w:tcPr>
            <w:tcW w:type="dxa" w:w="782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річний фонд оплати праці, грн</w:t>
            </w:r>
          </w:p>
        </w:tc>
      </w:tr>
    </w:tbl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Значення, однакові для всіх 30 варіантів, наведено в таблиці 2. Якщо викладач задає інші умови, студент замінює відповідне значення до початку розрахунку.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2 — Загальні вихідні дані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1984"/>
      </w:tblGrid>
      <w:tr>
        <w:trPr>
          <w:tblHeader w:val="true"/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Показник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Значення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Одиниця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 трудомісткості сезонного обслуговування від t2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0,20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 допоміжних робіт від основної трудомісткості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0,15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Номінальна кількість робочих днів працівника Dном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250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днів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Тривалість щорічної відпустки Dвідп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24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днів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Прогнозовані невиходи Dневих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7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днів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Тривалість зміни tзм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8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год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використання часу працівника kвик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0,96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нерівномірності надходження φ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1,10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Середня кількість працівників на посту Pпост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1,50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осіб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Навчальна ставка єдиного внеску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0,22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</w:tbl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2.1 Правила округлення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проміжні коефіцієнти зберігати щонайменше з трьома десятковими знаками.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річний пробіг подавати з точністю до 1 км.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кількість технічних впливів округлювати до цілого за математичним правилом.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трудомісткість і фонди часу подавати з точністю до 0,01 люд.-год.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розрахункову штатну чисельність і кількість постів округлювати лише у більший бік.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грошові показники подавати з точністю до 0,01 грн, а в підсумковій таблиці дозволяється округлення до цілої гривні.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 РОЗРАХУНКОВИЙ ПРИКЛАД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Приклад показує послідовність розрахунку. Його вихідні дані не збігаються з жодним індивідуальним варіантом і не можуть бути використані замість власного завдання.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3 — Вихідні дані розрахункового прикладу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5"/>
        <w:gridCol w:w="2551"/>
        <w:gridCol w:w="1870"/>
      </w:tblGrid>
      <w:tr>
        <w:trPr>
          <w:tblHeader w:val="true"/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Показник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Значення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Одиниця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Спискова кількість автомобілів Aсп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80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од.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 експлуатації Dр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305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днів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випуску αв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0,85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Середньодобовий пробіг lсд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180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км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Періодичність L1н / L2н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5000 / 20000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км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періодичності kп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0,90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Трудомісткість tЩО / t1 / t2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0,35 / 5,0 / 20,0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люд.-год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Питома трудомісткість tПР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5,5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люд.-год/1000 км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трудомісткості kт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1,05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 постових робіт dпост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68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%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 роботи постів / змінність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305 / 2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днів / змін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Коефіцієнт використання поста ηпост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0,90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частка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Годинна ставка Cгод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120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грн/год</w:t>
            </w:r>
          </w:p>
        </w:tc>
      </w:tr>
      <w:tr>
        <w:trPr>
          <w:cantSplit/>
        </w:trPr>
        <w:tc>
          <w:tcPr>
            <w:tcW w:type="dxa" w:w="521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Премія / додаткова зарплата</w:t>
            </w:r>
          </w:p>
        </w:tc>
        <w:tc>
          <w:tcPr>
            <w:tcW w:type="dxa" w:w="25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20 / 12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%</w:t>
            </w:r>
          </w:p>
        </w:tc>
      </w:tr>
    </w:tbl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3.1 Річний пробіг і виробнича програма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AD</m:t>
              </m:r>
            </m:e>
            <m:sub>
              <m:r>
                <m:rPr>
                  <m:sty m:val="i"/>
                </m:rPr>
                <m:t>е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80 · 305 · 0,85 = 20 740 автомобіле-днів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р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20 740 · 180 = 3 733 200 км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1,кор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5000 · 0,90 = 4500 км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L</m:t>
              </m:r>
            </m:e>
            <m:sub>
              <m:r>
                <m:rPr>
                  <m:sty m:val="i"/>
                </m:rPr>
                <m:t>2,кор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20 000 · 0,90 = 18 000 км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2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3 733 200 / 18 000 = 207,40 ≈ 207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1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3 733 200 / 4500 − 207 = 622,60 ≈ 623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ЩО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20 740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N</m:t>
              </m:r>
            </m:e>
            <m:sub>
              <m:r>
                <m:rPr>
                  <m:sty m:val="i"/>
                </m:rPr>
                <m:t>СО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 · 80 = 160</m:t>
          </m:r>
        </m:oMath>
      </m:oMathPara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3.2 Річна трудомісткість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4 — Трудомісткість робіт у розрахунковому прикладі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1870"/>
        <w:gridCol w:w="1417"/>
        <w:gridCol w:w="1133"/>
        <w:gridCol w:w="2267"/>
      </w:tblGrid>
      <w:tr>
        <w:trPr>
          <w:tblHeader w:val="true"/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Вид робіт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Програма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Норма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kт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Трудомісткість, люд.-год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Щоденне обслуговування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20 740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0,35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7 621,95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ТО-1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623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5,00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3 270,75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ТО-2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207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20,00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4 347,00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Сезонне обслуговування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160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4,00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672,00</w:t>
            </w:r>
          </w:p>
        </w:tc>
      </w:tr>
      <w:tr>
        <w:trPr>
          <w:cantSplit/>
        </w:trPr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Поточний ремонт</w:t>
            </w:r>
          </w:p>
        </w:tc>
        <w:tc>
          <w:tcPr>
            <w:tcW w:type="dxa" w:w="187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3 733,20 тис. км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5,50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  <w:tc>
          <w:tcPr>
            <w:tcW w:type="dxa" w:w="226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21 559,23</w:t>
            </w:r>
          </w:p>
        </w:tc>
      </w:tr>
    </w:tbl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7 621,95 + 3 270,75 + 4 347,00 + 672,00 + 21 559,23 = 37 470,93 люд.-год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доп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37 470,93 · 0,15 = 5 620,64 люд.-год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Σ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37 470,93 + 5 620,64 = 43 091,57 люд.-год</m:t>
          </m:r>
        </m:oMath>
      </m:oMathPara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3.3 Чисельність працівників і кількість постів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F</m:t>
              </m:r>
            </m:e>
            <m:sub>
              <m:r>
                <m:rPr>
                  <m:sty m:val="i"/>
                </m:rPr>
                <m:t>ном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250 · 8 = 2000 год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F</m:t>
              </m:r>
            </m:e>
            <m:sub>
              <m:r>
                <m:rPr>
                  <m:sty m:val="i"/>
                </m:rPr>
                <m:t>еф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(250 − 24 − 7) · 8 · 0,96 = 1681,92 год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R</m:t>
              </m:r>
            </m:e>
            <m:sub>
              <m:r>
                <m:rPr>
                  <m:sty m:val="i"/>
                </m:rPr>
                <m:t>тех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43 091,57 / 2000 = 21,55 особи; приймаємо 22 особи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R</m:t>
              </m:r>
            </m:e>
            <m:sub>
              <m:r>
                <m:rPr>
                  <m:sty m:val="i"/>
                </m:rPr>
                <m:t>шт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43 091,57 / 1681,92 = 25,62 особи; приймаємо 26 осіб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T</m:t>
              </m:r>
            </m:e>
            <m:sub>
              <m:r>
                <m:rPr>
                  <m:sty m:val="i"/>
                </m:rPr>
                <m:t>пост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43 091,57 · 0,68 = 29 302,27 люд.-год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X</m:t>
              </m:r>
            </m:e>
            <m:sub>
              <m:r>
                <m:rPr>
                  <m:sty m:val="i"/>
                </m:rPr>
                <m:t>пост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29 302,27 · 1,10 / (305 · 2 · 8 · 0,90 · 1,50) = 4,89; приймаємо 5 постів</m:t>
          </m:r>
        </m:oMath>
      </m:oMathPara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3.4 Фонд оплати праці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тар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43 091,57 · 120 = 5 170 988,40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прем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5 170 988,40 · 0,20 = 1 034 197,68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осн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5 170 988,40 + 1 034 197,68 = 6 205 186,08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дод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6 205 186,08 · 0,12 = 744 622,33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r>
            <m:rPr>
              <m:sty m:val="i"/>
            </m:rPr>
            <m:t>FOP</m:t>
          </m:r>
          <m:r>
            <m:rPr>
              <m:sty m:val="p"/>
            </m:rPr>
            <m:t xml:space="preserve"> = </m:t>
          </m:r>
          <m:r>
            <m:rPr>
              <m:sty m:val="p"/>
            </m:rPr>
            <m:t>6 205 186,08 + 744 622,33 = 6 949 808,41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Z</m:t>
              </m:r>
            </m:e>
            <m:sub>
              <m:r>
                <m:rPr>
                  <m:sty m:val="i"/>
                </m:rPr>
                <m:t>міс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6 949 808,41 / (26 · 12) = 22 275,03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r>
            <m:rPr>
              <m:sty m:val="i"/>
            </m:rPr>
            <m:t>ESV</m:t>
          </m:r>
          <m:r>
            <m:rPr>
              <m:sty m:val="p"/>
            </m:rPr>
            <m:t xml:space="preserve"> = </m:t>
          </m:r>
          <m:r>
            <m:rPr>
              <m:sty m:val="p"/>
            </m:rPr>
            <m:t>6 949 808,41 · 0,22 = 1 528 957,85 грн</m:t>
          </m:r>
        </m:oMath>
      </m:oMathPara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sSub>
            <m:e>
              <m:r>
                <m:rPr>
                  <m:sty m:val="i"/>
                </m:rPr>
                <m:t>V</m:t>
              </m:r>
            </m:e>
            <m:sub>
              <m:r>
                <m:rPr>
                  <m:sty m:val="i"/>
                </m:rPr>
                <m:t>персонал</m:t>
              </m:r>
            </m:sub>
          </m:sSub>
          <m:r>
            <m:rPr>
              <m:sty m:val="p"/>
            </m:rPr>
            <m:t xml:space="preserve"> = </m:t>
          </m:r>
          <m:r>
            <m:rPr>
              <m:sty m:val="p"/>
            </m:rPr>
            <m:t>6 949 808,41 + 1 528 957,85 = 8 478 766,26 грн</m:t>
          </m:r>
        </m:oMath>
      </m:oMathPara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Висновок за прикладом. Для виконання річної програми необхідно прийняти 26 штатних виробничих працівників і 5 робочих постів. Річний фонд оплати праці становить 6,95 млн грн, а повні витрати роботодавця на персонал з урахуванням єдиного внеску — 8,48 млн грн. Значення середньої місячної заробітної плати слід порівняти з умовами регіонального ринку праці та, за потреби, скоригувати тарифну ставку.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4 ПОРЯДОК ВИКОНАННЯ РОБОТИ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Записати номер варіанта та перенести вихідні дані з таблиць 5–7. Розшифрувати код типу рухомого складу.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Обчислити автомобіле-дні експлуатації та річний пробіг парку.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Скоригувати періодичність ТО-1 і ТО-2.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Визначити річну кількість ЩО, ТО-1, ТО-2 і сезонних обслуговувань.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Розрахувати трудомісткість кожного виду робіт і скласти окрему розрахункову таблицю.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Визначити основну, допоміжну та загальну трудомісткість.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Розрахувати номінальний та ефективний фонди робочого часу одного працівника.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Визначити технологічно необхідну і штатну чисельність працівників. Обґрунтувати прийняте округлення.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Визначити трудомісткість постових робіт, розрахункову та прийняту кількість постів.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Розрахувати тарифну заробітну плату, премію, основну й додаткову заробітну плату та річний фонд оплати праці.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Розрахувати середню місячну заробітну плату одного штатного працівника, суму єдиного внеску та повні витрати на персонал.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Заповнити підсумкову таблицю 8 та перевірити одиниці вимірювання.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Виконати сценарний розрахунок: збільшити середньодобовий пробіг на 10 % і повторно визначити TΣ, Rшт, Xпост та FOP.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Обчислити відносну зміну кожного сценарного показника та заповнити таблицю 9.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Дати письмові відповіді на п’ять теоретичних питань, призначених у таблиці 10.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16.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Сформулювати висновок про достатність працівників і постів, найбільш трудомісткий вид робіт та вплив зростання пробігу на витрати підприємства.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Відносну зміну показника у сценарному розрахунку визначають за формулою:</w:t>
      </w:r>
    </w:p>
    <w:p>
      <w:pPr>
        <w:keepNext w:val="0"/>
        <w:keepLines/>
        <w:spacing w:before="60" w:after="60" w:line="240" w:lineRule="auto"/>
        <w:ind w:firstLine="0"/>
        <w:jc w:val="center"/>
      </w:pPr>
      <m:oMathPara>
        <m:oMathParaPr>
          <m:jc m:val="center"/>
        </m:oMathParaPr>
        <m:oMath>
          <m:r>
            <m:rPr>
              <m:sty m:val="i"/>
            </m:rPr>
            <m:t xml:space="preserve">ΔP = </m:t>
          </m:r>
          <m:f>
            <m:num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сц</m:t>
                  </m:r>
                </m:sub>
              </m:sSub>
              <m:r>
                <m:rPr>
                  <m:sty m:val="i"/>
                </m:rPr>
                <m:t xml:space="preserve"> − </m:t>
              </m:r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баз</m:t>
                  </m:r>
                </m:sub>
              </m:sSub>
            </m:num>
            <m:den>
              <m:sSub>
                <m:e>
                  <m:r>
                    <m:rPr>
                      <m:sty m:val="i"/>
                    </m:rPr>
                    <m:t>P</m:t>
                  </m:r>
                </m:e>
                <m:sub>
                  <m:r>
                    <m:rPr>
                      <m:sty m:val="i"/>
                    </m:rPr>
                    <m:t>баз</m:t>
                  </m:r>
                </m:sub>
              </m:sSub>
            </m:den>
          </m:f>
          <m:r>
            <m:rPr>
              <m:sty m:val="i"/>
            </m:rPr>
            <m:t xml:space="preserve"> · 100 %</m:t>
          </m:r>
        </m:oMath>
      </m:oMathPara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5 ІНДИВІДУАЛЬНІ ВИХІДНІ ДАНІ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Коди типів рухомого складу: ЛВ — легкі вантажні автомобілі; СВ — вантажні автомобілі середньої вантажопідйомності; ВВ — важкі вантажні автомобілі; АС — автобуси середнього класу; АВ — автобуси великого класу. Дані таблиць 5–7 належать одному варіанту і використовуються разом.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5 — Експлуатаційні показники за варіантами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1020"/>
        <w:gridCol w:w="963"/>
        <w:gridCol w:w="1020"/>
        <w:gridCol w:w="850"/>
        <w:gridCol w:w="1020"/>
        <w:gridCol w:w="1360"/>
        <w:gridCol w:w="1360"/>
        <w:gridCol w:w="907"/>
      </w:tblGrid>
      <w:tr>
        <w:trPr>
          <w:tblHeader w:val="true"/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№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Код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Aсп, од.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Dр, днів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αв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lсд, км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L1н, км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L2н, км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kп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320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330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150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0,84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95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320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85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330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150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250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260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0,88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280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0,87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140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13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0,76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130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14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280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250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250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0,84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0,98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70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85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280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90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235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0,88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250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23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320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0,83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235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0,76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195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ЛВ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105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6000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24000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27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СВ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85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320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0,79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190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22000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28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ВВ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305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0,76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4500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18000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0,90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29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АС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280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215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20000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0,85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АВ</w:t>
            </w:r>
          </w:p>
        </w:tc>
        <w:tc>
          <w:tcPr>
            <w:tcW w:type="dxa" w:w="96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300</w:t>
            </w:r>
          </w:p>
        </w:tc>
        <w:tc>
          <w:tcPr>
            <w:tcW w:type="dxa" w:w="85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0,86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170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4000</w:t>
            </w:r>
          </w:p>
        </w:tc>
        <w:tc>
          <w:tcPr>
            <w:tcW w:type="dxa" w:w="136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16000</w:t>
            </w:r>
          </w:p>
        </w:tc>
        <w:tc>
          <w:tcPr>
            <w:tcW w:type="dxa" w:w="9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8"/>
              </w:rPr>
              <w:t>0,82</w:t>
            </w:r>
          </w:p>
        </w:tc>
      </w:tr>
    </w:tbl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Нормативи трудомісткості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6 — Трудомісткість робіт за варіантами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700"/>
        <w:gridCol w:w="1700"/>
        <w:gridCol w:w="1700"/>
        <w:gridCol w:w="2437"/>
        <w:gridCol w:w="1247"/>
      </w:tblGrid>
      <w:tr>
        <w:trPr>
          <w:tblHeader w:val="true"/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№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tЩО, люд.-год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t1, люд.-год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t2, люд.-год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tПР, люд.-год/1000 км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kт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3,8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0,67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0,67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9,0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3,4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5,7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0,68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35,0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5,4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6,3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31,0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9,6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7,4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0,61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33,0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8,7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0,35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4,5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7,2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6,9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0,92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0,42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5,9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28,5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0,53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8,9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33,0</w:t>
            </w:r>
          </w:p>
        </w:tc>
        <w:tc>
          <w:tcPr>
            <w:tcW w:type="dxa" w:w="243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9,9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1,00</w:t>
            </w:r>
          </w:p>
        </w:tc>
      </w:tr>
    </w:tbl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Режим роботи постів та оплата праці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7 — Дані для розрахунку постів і фонду оплати праці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247"/>
        <w:gridCol w:w="1417"/>
        <w:gridCol w:w="1020"/>
        <w:gridCol w:w="1133"/>
        <w:gridCol w:w="1700"/>
        <w:gridCol w:w="1247"/>
        <w:gridCol w:w="1190"/>
      </w:tblGrid>
      <w:tr>
        <w:trPr>
          <w:tblHeader w:val="true"/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№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dпост, %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Dпост, днів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z, змін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ηпост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Cгод, грн/год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pпрем, %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18"/>
              </w:rPr>
              <w:t>pдод, %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69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70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4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65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75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74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76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69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320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69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65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68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76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66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320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17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71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320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320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76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71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21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62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76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23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67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305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24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69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72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26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64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330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27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67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115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22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70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120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29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63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0,82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18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10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62</w:t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280</w:t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0,92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130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25</w:t>
            </w:r>
          </w:p>
        </w:tc>
        <w:tc>
          <w:tcPr>
            <w:tcW w:type="dxa" w:w="119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14</w:t>
            </w:r>
          </w:p>
        </w:tc>
      </w:tr>
    </w:tbl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6 ФОРМИ ДЛЯ ОФОРМЛЕННЯ РЕЗУЛЬТАТІВ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Після виконання розрахунків студент заповнює таблицю 8. У графі «Прийняте значення» для працівників і постів подають результат після округлення у більший бік.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8 — Підсумкові результати індивідуального розрахунку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4251"/>
        <w:gridCol w:w="1474"/>
        <w:gridCol w:w="1530"/>
        <w:gridCol w:w="1814"/>
      </w:tblGrid>
      <w:tr>
        <w:trPr>
          <w:tblHeader w:val="true"/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№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Показник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Позначення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Одиниця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Прийняте значення</w:t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Автомобіле-дні експлуатації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ADе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автомобіле-днів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Річний пробіг парку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Lр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км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Скоригована періодичність ТО-1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L1,кор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км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Скоригована періодичність ТО-2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L2,кор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км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ЩО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NЩО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од.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ТО-1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N1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од.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ТО-2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N2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од.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сезонних обслуговувань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NСО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од.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Основна трудомісткість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Tосн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люд.-год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Допоміжна трудомісткість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Tдоп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люд.-год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Загальна трудомісткість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TΣ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люд.-год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Номінальний фонд часу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Fном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год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Ефективний фонд часу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Fеф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год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Технологічно необхідна чисельність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Rтех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осіб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Штатна чисельність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Rшт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осіб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робочих постів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Xпост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постів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Річний фонд оплати праці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FOP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грн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Середня місячна заробітна плата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Zміс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грн/міс.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Єдиний внесок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ESV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грн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6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425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Повні витрати на персонал</w:t>
            </w:r>
          </w:p>
        </w:tc>
        <w:tc>
          <w:tcPr>
            <w:tcW w:type="dxa" w:w="14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Vперсонал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грн</w:t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9 — Порівняння базового та сценарного розрахунків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4"/>
        <w:gridCol w:w="1247"/>
        <w:gridCol w:w="1700"/>
        <w:gridCol w:w="1984"/>
        <w:gridCol w:w="1530"/>
      </w:tblGrid>
      <w:tr>
        <w:trPr>
          <w:tblHeader w:val="true"/>
          <w:cantSplit/>
        </w:trPr>
        <w:tc>
          <w:tcPr>
            <w:tcW w:type="dxa" w:w="31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Показник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Позначення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Базове значення</w:t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Сценарій lсд +10 %</w:t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Зміна, %</w:t>
            </w:r>
          </w:p>
        </w:tc>
      </w:tr>
      <w:tr>
        <w:trPr>
          <w:cantSplit/>
        </w:trPr>
        <w:tc>
          <w:tcPr>
            <w:tcW w:type="dxa" w:w="31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Загальна трудомісткість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TΣ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Штатна чисельність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Rшт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постів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Xпост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7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Фонд оплати праці</w:t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FOP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3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7 КОНТРОЛЬНІ ПИТАННЯ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Що характеризує річна виробнича програма технічної служби АТП?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Чим спискова кількість автомобілів відрізняється від кількості автомобілів, що фактично працюють на лінії?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Який економічний зміст має коефіцієнт випуску автомобілів на лінію?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річний пробіг є базою для визначення програми технічних обслуговувань?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Для чого коригують нормативну періодичність ТО-1 і ТО-2?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кількість ТО-2 віднімають під час визначення кількості ТО-1?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 у навчальному розрахунку визначається програма сезонного обслуговування?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для поточного ремонту визначають трудомісткість, а не річну кількість ремонтів?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Що показує трудомісткість одного технічного впливу?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На які результати впливає коефіцієнт коригування трудомісткості?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Які роботи доцільно віднести до допоміжної трудомісткості?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Чим номінальний фонд робочого часу відрізняється від ефективного?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штатна чисельність зазвичай більша за технологічно необхідну?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Які показники округлюють у більший бік і чому?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Що таке робочий пост технічного обслуговування або ремонту?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16.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Від яких чинників залежить пропускна спроможність одного поста?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17.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 коефіцієнт використання поста впливає на їх необхідну кількість?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18.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збільшення кількості змін може зменшити потребу в постах?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19.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Навіщо визначати частку робіт, що виконуються безпосередньо на постах?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20.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 перевірити узгодженість кількості постів і чисельності працівників?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Що включає тарифна частина заробітної плати?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Чим основна заробітна плата відрізняється від додаткової?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Чи входить єдиний внесок до фонду оплати праці? Обґрунтуйте відповідь.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Для чого розраховують середню місячну заробітну плату одного працівника?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Які організаційні заходи можуть зменшити трудомісткість без зниження якості робіт?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26.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 збільшення спискової кількості автомобілів вплине на виробничу програму?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27.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 зниження коефіцієнта випуску вплине на пробіг, трудомісткість і фонд оплати праці?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28.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Чому збільшення середньодобового пробігу не обов’язково пропорційно змінює штатну чисельність?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29.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Які наслідки для підприємства матиме недостатня кількість постів?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30.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Які управлінські рішення можна прийняти за результатами цієї практичної роботи?</w:t>
      </w:r>
    </w:p>
    <w:p>
      <w:pPr>
        <w:pStyle w:val="Heading2"/>
        <w:keepNext/>
        <w:keepLines w:val="0"/>
        <w:spacing w:before="200" w:after="120" w:line="240" w:lineRule="auto"/>
        <w:ind w:firstLine="0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Розподіл теоретичних питань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Кожен студент письмово відповідає на п’ять питань, указаних для його варіанта в таблиці 10.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10 — Номери контрольних питань за варіантами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3"/>
        <w:gridCol w:w="1700"/>
        <w:gridCol w:w="1700"/>
        <w:gridCol w:w="1700"/>
        <w:gridCol w:w="1700"/>
        <w:gridCol w:w="1700"/>
      </w:tblGrid>
      <w:tr>
        <w:trPr>
          <w:tblHeader w:val="true"/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Варіант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Питання 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Питання 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Питання 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Питання 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Питання 5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18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19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28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21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29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16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22</w:t>
            </w:r>
          </w:p>
        </w:tc>
      </w:tr>
      <w:tr>
        <w:trPr>
          <w:cantSplit/>
        </w:trPr>
        <w:tc>
          <w:tcPr>
            <w:tcW w:type="dxa" w:w="11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30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11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17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23</w:t>
            </w:r>
          </w:p>
        </w:tc>
      </w:tr>
    </w:tbl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8 ВИМОГИ ДО ОФОРМЛЕННЯ ЗВІТУ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Звіт повинен містити: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тема, мета та номер індивідуального варіанта.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вихідні дані з позначеннями й одиницями вимірювання.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формули у загальному вигляді, підстановка числових значень і результат з одиницею вимірювання.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окрема таблиця розрахунку трудомісткості за видами робіт.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заповнені таблиці 8 і 9.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письмові відповіді на п’ять теоретичних питань.</w:t>
      </w:r>
    </w:p>
    <w:p>
      <w:pPr>
        <w:keepNext w:val="0"/>
        <w:keepLines w:val="0"/>
        <w:spacing w:before="0" w:after="0" w:line="360" w:lineRule="auto"/>
        <w:ind w:left="709" w:hanging="35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–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висновок обсягом не менше п’яти змістовних речень.</w:t>
      </w:r>
    </w:p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Розрахунки дозволяється виконувати у табличному процесорі, але у звіті мають бути наведені формули, вихідні дані та підсумкові показники. Висновок повинен містити конкретні числові результати, назву найбільш трудомісткого виду робіт, оцінку достатності постів і працівників та пояснення сценарних змін.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9 КРИТЕРІЇ ОЦІНЮВАННЯ</w:t>
      </w:r>
    </w:p>
    <w:p>
      <w:pPr>
        <w:pStyle w:val="Caption"/>
        <w:keepNext/>
        <w:keepLines w:val="0"/>
        <w:spacing w:before="160" w:after="80" w:line="240" w:lineRule="auto"/>
        <w:ind w:firstLine="709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Таблиця 11 — Розподіл балів за практичну роботу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4"/>
        <w:gridCol w:w="1700"/>
        <w:gridCol w:w="4422"/>
      </w:tblGrid>
      <w:tr>
        <w:trPr>
          <w:tblHeader w:val="true"/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Складова роботи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Максимум балів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E7E6E6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Що перевіряється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Відповіді на теоретичні питання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Точність термінів і розуміння взаємозв’язків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Підготовка вихідних даних і формул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Повнота, одиниці вимірювання, правильні позначення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Виробнича програма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Річний пробіг, скоригована періодичність, ЩО, ТО-1, ТО-2, СО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Трудомісткість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Розрахунки за видами робіт, основна, допоміжна та загальна трудомісткість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Чисельність працівників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Фонди часу, технологічно необхідна і штатна чисельність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Кількість постів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Постова трудомісткість, режим роботи, прийняте округлення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Фонд оплати праці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Тарифна частина, премія, додаткова зарплата, FOP, ESV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Сценарний аналіз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Перерахунок і пояснення зміни показників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Оформлення та висновок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Послідовність, таблиці, одиниці, обґрунтований висновок</w:t>
            </w:r>
          </w:p>
        </w:tc>
      </w:tr>
      <w:tr>
        <w:trPr>
          <w:cantSplit/>
        </w:trPr>
        <w:tc>
          <w:tcPr>
            <w:tcW w:type="dxa" w:w="35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Разом</w:t>
            </w:r>
          </w:p>
        </w:tc>
        <w:tc>
          <w:tcPr>
            <w:tcW w:type="dxa" w:w="17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type="dxa" w:w="442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shd w:fill="F7F7F7"/>
          </w:tcPr>
          <w:p>
            <w:pPr>
              <w:spacing w:before="0" w:after="0" w:line="240" w:lineRule="auto"/>
              <w:ind w:firstLin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keepNext w:val="0"/>
        <w:keepLines w:val="0"/>
        <w:spacing w:before="0" w:after="0" w:line="36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Під час захисту студент пояснює одну формулу за вибором викладача, називає два чинники, що найбільше вплинули на його результат, і обґрунтовує запропоноване управлінське рішення.</w:t>
      </w:r>
    </w:p>
    <w:p>
      <w:pPr>
        <w:pStyle w:val="Heading1"/>
        <w:keepNext/>
        <w:keepLines w:val="0"/>
        <w:pageBreakBefore w:val="0"/>
        <w:spacing w:before="240" w:after="240" w:line="240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10 ПЕРЕЛІК ДЖЕРЕЛ ПОСИЛАННЯ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Положення про технічне обслуговування і ремонт дорожніх транспортних засобів автомобільного транспорту : наказ Міністерства транспорту України від 30.03.1998 № 102. URL: https://zakon.rada.gov.ua/laws/show/z0268-98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Про оплату праці : Закон України від 24.03.1995 № 108/95-ВР. URL: https://zakon.rada.gov.ua/laws/show/108/95-%D0%B2%D1%80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Про збір та облік єдиного внеску на загальнообов’язкове державне соціальне страхування : Закон України від 08.07.2010 № 2464-VI. URL: https://zakon.rada.gov.ua/laws/show/2464-17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Гевко І. Б., Ляшук О. Л., Луциків І. В., Плекан У. М., Клендій В. М. Техніко-економічне обґрунтування інженерних рішень на СТО та АТП : навчальний посібник. Тернопіль : Вид-во ТНТУ імені Івана Пулюя, 2021. 276 с. URL: https://elartu.tntu.edu.ua/handle/lib/35982</w:t>
      </w:r>
    </w:p>
    <w:p>
      <w:pPr>
        <w:keepNext w:val="0"/>
        <w:keepLines w:val="0"/>
        <w:spacing w:before="0" w:after="0" w:line="360" w:lineRule="auto"/>
        <w:ind w:left="709" w:hanging="567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000000"/>
          <w:sz w:val="28"/>
        </w:rPr>
        <w:t>Біліченко В. В. та ін. Виробничо-технічна база підприємства автомобільного транспорту : навчальний посібник. Вінниця : ВНТУ, 2013. 182 с.</w:t>
      </w:r>
    </w:p>
    <w:sectPr w:rsidR="00FC693F" w:rsidRPr="0006063C" w:rsidSect="00034616">
      <w:headerReference w:type="default" r:id="rId9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000000"/>
        <w:sz w:val="24"/>
      </w:rPr>
      <w:fldChar w:fldCharType="begin"/>
      <w:instrText xml:space="preserve"> PAGE 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</w:pPr>
    <w:rPr>
      <w:rFonts w:ascii="Times New Roman" w:hAnsi="Times New Roman" w:eastAsia="Times New Ro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/>
      <w:b/>
      <w:bCs/>
      <w:i w:val="0"/>
      <w:color w:val="000000"/>
      <w:sz w:val="2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Розрахунок виробничої програми трудомісткості чисельності працівників кількості постів і фонду оплати праці</dc:title>
  <dc:subject>Економіка підприємств автомобільного транспорту</dc:subject>
  <dc:creator>Прохорчук Марина Володимирівна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