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20" w:line="300"/>
        <w:jc w:val="center"/>
      </w:pPr>
      <w:r>
        <w:rPr>
          <w:rFonts w:ascii="Times New Roman" w:cs="Times New Roman" w:eastAsia="Times New Roman" w:hAnsi="Times New Roman"/>
          <w:b/>
          <w:bCs/>
          <w:color w:val="1F3864"/>
          <w:sz w:val="32"/>
          <w:szCs w:val="32"/>
        </w:rPr>
        <w:t xml:space="preserve">ЛЕКЦІЯ 3</w:t>
      </w:r>
    </w:p>
    <w:p>
      <w:pPr>
        <w:spacing w:after="120" w:before="120" w:line="300"/>
        <w:jc w:val="center"/>
      </w:pPr>
      <w:r>
        <w:rPr>
          <w:rFonts w:ascii="Times New Roman" w:cs="Times New Roman" w:eastAsia="Times New Roman" w:hAnsi="Times New Roman"/>
          <w:b/>
          <w:bCs/>
          <w:color w:val="1F3864"/>
          <w:sz w:val="32"/>
          <w:szCs w:val="32"/>
        </w:rPr>
        <w:t xml:space="preserve">Механізми ухвалення рішень і реалізації політик Європейського Союзу</w:t>
      </w:r>
    </w:p>
    <w:p>
      <w:pPr>
        <w:spacing w:after="80" w:before="0" w:line="276"/>
        <w:jc w:val="center"/>
      </w:pPr>
      <w:r>
        <w:rPr>
          <w:rFonts w:ascii="Times New Roman" w:cs="Times New Roman" w:eastAsia="Times New Roman" w:hAnsi="Times New Roman"/>
          <w:sz w:val="28"/>
          <w:szCs w:val="28"/>
        </w:rPr>
        <w:t xml:space="preserve">Навчальна дисципліна «Європейські інституції та грантово-проєктна політика ЄС»</w:t>
      </w:r>
    </w:p>
    <w:p>
      <w:pPr>
        <w:spacing w:after="80" w:before="0" w:line="276"/>
        <w:jc w:val="center"/>
      </w:pPr>
      <w:r>
        <w:rPr>
          <w:rFonts w:ascii="Times New Roman" w:cs="Times New Roman" w:eastAsia="Times New Roman" w:hAnsi="Times New Roman"/>
          <w:sz w:val="28"/>
          <w:szCs w:val="28"/>
        </w:rPr>
        <w:t xml:space="preserve">Змістовий модуль 1. Інституційна система Європейського Союзу та механізми формування політик ЄС</w:t>
      </w:r>
    </w:p>
    <w:p>
      <w:pPr>
        <w:spacing w:after="80" w:before="0" w:line="276"/>
        <w:jc w:val="center"/>
      </w:pPr>
      <w:r>
        <w:rPr>
          <w:rFonts w:ascii="Times New Roman" w:cs="Times New Roman" w:eastAsia="Times New Roman" w:hAnsi="Times New Roman"/>
          <w:sz w:val="28"/>
          <w:szCs w:val="28"/>
        </w:rPr>
        <w:t xml:space="preserve">Освітній ступінь «магістр» · спеціальність С1 «Економіка та міжнародні економічні відносини» · спеціалізація С1.02</w:t>
      </w:r>
    </w:p>
    <w:p>
      <w:pPr>
        <w:spacing w:after="80" w:before="0" w:line="276"/>
        <w:jc w:val="center"/>
      </w:pPr>
      <w:r>
        <w:rPr>
          <w:rFonts w:ascii="Times New Roman" w:cs="Times New Roman" w:eastAsia="Times New Roman" w:hAnsi="Times New Roman"/>
          <w:sz w:val="28"/>
          <w:szCs w:val="28"/>
        </w:rPr>
        <w:t xml:space="preserve">Обсяг: 3 академічні години · Компетентності та результати навчання: ЗК5, СК1, РН2, РН4, РН6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96"/>
        <w:gridCol w:w="7642"/>
      </w:tblGrid>
      <w:tr>
        <w:trPr>
          <w:tblHeader/>
        </w:trPr>
        <w:tc>
          <w:tcPr>
            <w:tcW w:type="dxa" w:w="199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Елемент</w:t>
            </w:r>
          </w:p>
        </w:tc>
        <w:tc>
          <w:tcPr>
            <w:tcW w:type="dxa" w:w="764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Мета лекції</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Сформувати розуміння системи компетенцій ЄС, законодавчих і незаконодавчих процедур, циклу стратегічного планування та механізмів координації політик, а також навички простежувати шлях від політичного пріоритету ЄС до конкретного програмного інструменту та оцінювати вплив рішень ЄС на міжнародні економічні відносини України</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План</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 Система компетенцій ЄС: виключні, спільні та підтримувальні повноваження.</w:t>
            </w:r>
          </w:p>
          <w:p>
            <w:pPr>
              <w:spacing w:after="0" w:before="0" w:line="240"/>
              <w:jc w:val="left"/>
            </w:pPr>
            <w:r>
              <w:rPr>
                <w:rFonts w:ascii="Times New Roman" w:cs="Times New Roman" w:eastAsia="Times New Roman" w:hAnsi="Times New Roman"/>
                <w:b w:val="false"/>
                <w:bCs w:val="false"/>
                <w:sz w:val="24"/>
                <w:szCs w:val="24"/>
              </w:rPr>
              <w:t xml:space="preserve">2. Законодавчі процедури ЄС: звичайна та спеціальні процедури ухвалення рішень.</w:t>
            </w:r>
          </w:p>
          <w:p>
            <w:pPr>
              <w:spacing w:after="0" w:before="0" w:line="240"/>
              <w:jc w:val="left"/>
            </w:pPr>
            <w:r>
              <w:rPr>
                <w:rFonts w:ascii="Times New Roman" w:cs="Times New Roman" w:eastAsia="Times New Roman" w:hAnsi="Times New Roman"/>
                <w:b w:val="false"/>
                <w:bCs w:val="false"/>
                <w:sz w:val="24"/>
                <w:szCs w:val="24"/>
              </w:rPr>
              <w:t xml:space="preserve">3. Роль інституцій ЄС у формуванні стратегічних пріоритетів розвитку.</w:t>
            </w:r>
          </w:p>
          <w:p>
            <w:pPr>
              <w:spacing w:after="0" w:before="0" w:line="240"/>
              <w:jc w:val="left"/>
            </w:pPr>
            <w:r>
              <w:rPr>
                <w:rFonts w:ascii="Times New Roman" w:cs="Times New Roman" w:eastAsia="Times New Roman" w:hAnsi="Times New Roman"/>
                <w:b w:val="false"/>
                <w:bCs w:val="false"/>
                <w:sz w:val="24"/>
                <w:szCs w:val="24"/>
              </w:rPr>
              <w:t xml:space="preserve">4. Програмні та стратегічні документи ЄС як основа реалізації політик.</w:t>
            </w:r>
          </w:p>
          <w:p>
            <w:pPr>
              <w:spacing w:after="0" w:before="0" w:line="240"/>
              <w:jc w:val="left"/>
            </w:pPr>
            <w:r>
              <w:rPr>
                <w:rFonts w:ascii="Times New Roman" w:cs="Times New Roman" w:eastAsia="Times New Roman" w:hAnsi="Times New Roman"/>
                <w:b w:val="false"/>
                <w:bCs w:val="false"/>
                <w:sz w:val="24"/>
                <w:szCs w:val="24"/>
              </w:rPr>
              <w:t xml:space="preserve">5. Механізми координації політик між ЄС, державами-членами та партнерськими країнами.</w:t>
            </w:r>
          </w:p>
          <w:p>
            <w:pPr>
              <w:spacing w:after="0" w:before="0" w:line="240"/>
              <w:jc w:val="left"/>
            </w:pPr>
            <w:r>
              <w:rPr>
                <w:rFonts w:ascii="Times New Roman" w:cs="Times New Roman" w:eastAsia="Times New Roman" w:hAnsi="Times New Roman"/>
                <w:b w:val="false"/>
                <w:bCs w:val="false"/>
                <w:sz w:val="24"/>
                <w:szCs w:val="24"/>
              </w:rPr>
              <w:t xml:space="preserve">6. Принципи субсидіарності, пропорційності, прозорості та підзвітності в управлінні ЄС.</w:t>
            </w:r>
          </w:p>
          <w:p>
            <w:pPr>
              <w:spacing w:after="0" w:before="0" w:line="240"/>
              <w:jc w:val="left"/>
            </w:pPr>
            <w:r>
              <w:rPr>
                <w:rFonts w:ascii="Times New Roman" w:cs="Times New Roman" w:eastAsia="Times New Roman" w:hAnsi="Times New Roman"/>
                <w:b w:val="false"/>
                <w:bCs w:val="false"/>
                <w:sz w:val="24"/>
                <w:szCs w:val="24"/>
              </w:rPr>
              <w:t xml:space="preserve">7. Вплив рішень ЄС на розвиток міжнародних економічних відносин України.</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Ключові поняття</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наділення компетенцією; виключна, спільна, підтримувальна компетенція; звичайна законодавча процедура; тристоронній діалог (трилог); делеговані та виконавчі акти; комітологія; Стратегічний порядок денний; Робоча програма Комісії; логіка втручання; Європейський семестр; субсидіарність; «жовта картка»</w:t>
            </w:r>
          </w:p>
        </w:tc>
      </w:tr>
      <w:tr>
        <w:trPr>
          <w:tblHeader w:val="false"/>
        </w:trPr>
        <w:tc>
          <w:tcPr>
            <w:tcW w:type="dxa" w:w="199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Базові джерела</w:t>
            </w:r>
          </w:p>
        </w:tc>
        <w:tc>
          <w:tcPr>
            <w:tcW w:type="dxa" w:w="764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 4–5, 10–11, 48 ДЄС; ст. 2–6, 15, 288–294 ДФЄС; Протокол № 2; [5–12; 14–19]</w:t>
            </w:r>
          </w:p>
        </w:tc>
      </w:tr>
    </w:tbl>
    <w:p>
      <w:pPr>
        <w:spacing w:after="60" w:before="0" w:line="240"/>
      </w:pP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Методологічне застереження.</w:t>
      </w:r>
      <w:r>
        <w:rPr>
          <w:rFonts w:ascii="Times New Roman" w:cs="Times New Roman" w:eastAsia="Times New Roman" w:hAnsi="Times New Roman"/>
          <w:sz w:val="26"/>
          <w:szCs w:val="26"/>
        </w:rPr>
        <w:t xml:space="preserve"> Лекція має «сполучну» функцію: вона пов’язує інституційну систему ЄС (лекції 1–2) із грантово-проєктною політикою (змістовий модуль 2). Приклади програм Erasmus+ і Horizon Europe використано як ілюстрації процедур, а не як предмет детального розгляду.</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Вступ</w:t>
      </w:r>
    </w:p>
    <w:p>
      <w:pPr>
        <w:spacing w:after="0" w:line="360"/>
        <w:ind w:firstLine="709"/>
        <w:jc w:val="both"/>
      </w:pPr>
      <w:r>
        <w:rPr>
          <w:rFonts w:ascii="Times New Roman" w:cs="Times New Roman" w:eastAsia="Times New Roman" w:hAnsi="Times New Roman"/>
          <w:sz w:val="28"/>
          <w:szCs w:val="28"/>
        </w:rPr>
        <w:t xml:space="preserve">Політика ЄС — це результат багатоетапного процесу, в якому політичні пріоритети, сформульовані на найвищому рівні, перетворюються на юридично обов’язкові акти, фінансові програми та, зрештою, на конкретні конкурси і проєкти. Розуміння цього процесу є необхідною умовою аналітичної роботи з документами ЄС: пріоритет, закріплений у Стратегічному порядку денному Європейської Ради, лише тоді стає «грошима», коли його втілено в регламенті програми, ухваленому за відповідною процедурою на належній правовій основі, а згодом — у робочій програмі та оголошенні конкурсу [18; 19].</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1. Система компетенцій ЄС: виключні, спільні та підтримувальні повноваження</w:t>
      </w:r>
    </w:p>
    <w:p>
      <w:pPr>
        <w:spacing w:after="0" w:line="360"/>
        <w:ind w:firstLine="709"/>
        <w:jc w:val="both"/>
      </w:pPr>
      <w:r>
        <w:rPr>
          <w:rFonts w:ascii="Times New Roman" w:cs="Times New Roman" w:eastAsia="Times New Roman" w:hAnsi="Times New Roman"/>
          <w:sz w:val="28"/>
          <w:szCs w:val="28"/>
        </w:rPr>
        <w:t xml:space="preserve">Відправною точкою є </w:t>
      </w:r>
      <w:r>
        <w:rPr>
          <w:rFonts w:ascii="Times New Roman" w:cs="Times New Roman" w:eastAsia="Times New Roman" w:hAnsi="Times New Roman"/>
          <w:b/>
          <w:bCs/>
          <w:sz w:val="28"/>
          <w:szCs w:val="28"/>
        </w:rPr>
        <w:t xml:space="preserve">принцип наділення компетенцією</w:t>
      </w:r>
      <w:r>
        <w:rPr>
          <w:rFonts w:ascii="Times New Roman" w:cs="Times New Roman" w:eastAsia="Times New Roman" w:hAnsi="Times New Roman"/>
          <w:sz w:val="28"/>
          <w:szCs w:val="28"/>
        </w:rPr>
        <w:t xml:space="preserve"> (ст. 5(1)–(2) ДЄС): Союз діє лише в межах компетенцій, наданих йому державами-членами в Договорах. Лісабонський договір уперше систематизував категорії компетенцій у ст. 2–6 ДФЄС (табл. 3.1). Від категорії компетенції залежать: (1) хто може законодавствувати; (2) чи застосовується принцип субсидіарності; (3) які інструменти доступні ЄС — гармонізація законодавства чи лише підтримувальні (зокрема фінансові) заходи.</w:t>
      </w:r>
    </w:p>
    <w:p>
      <w:pPr>
        <w:keepNext/>
        <w:spacing w:after="40" w:before="120" w:line="276"/>
        <w:jc w:val="right"/>
      </w:pPr>
      <w:r>
        <w:rPr>
          <w:rFonts w:ascii="Times New Roman" w:cs="Times New Roman" w:eastAsia="Times New Roman" w:hAnsi="Times New Roman"/>
          <w:i/>
          <w:iCs/>
          <w:sz w:val="26"/>
          <w:szCs w:val="26"/>
        </w:rPr>
        <w:t xml:space="preserve">Таблиця 3.1</w:t>
      </w:r>
    </w:p>
    <w:p>
      <w:pPr>
        <w:keepNext/>
        <w:spacing w:after="80" w:before="0" w:line="276"/>
        <w:jc w:val="center"/>
      </w:pPr>
      <w:r>
        <w:rPr>
          <w:rFonts w:ascii="Times New Roman" w:cs="Times New Roman" w:eastAsia="Times New Roman" w:hAnsi="Times New Roman"/>
          <w:b/>
          <w:bCs/>
          <w:sz w:val="26"/>
          <w:szCs w:val="26"/>
        </w:rPr>
        <w:t xml:space="preserve">Категорії компетенцій Європейського Союзу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66"/>
        <w:gridCol w:w="1270"/>
        <w:gridCol w:w="3507"/>
        <w:gridCol w:w="2695"/>
      </w:tblGrid>
      <w:tr>
        <w:trPr>
          <w:tblHeader/>
        </w:trPr>
        <w:tc>
          <w:tcPr>
            <w:tcW w:type="dxa" w:w="216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Категорія</w:t>
            </w:r>
          </w:p>
        </w:tc>
        <w:tc>
          <w:tcPr>
            <w:tcW w:type="dxa" w:w="127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Правова основа</w:t>
            </w:r>
          </w:p>
        </w:tc>
        <w:tc>
          <w:tcPr>
            <w:tcW w:type="dxa" w:w="350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Сфери</w:t>
            </w:r>
          </w:p>
        </w:tc>
        <w:tc>
          <w:tcPr>
            <w:tcW w:type="dxa" w:w="269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Наслідки для дій ЄС</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Виключна</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2(1), 3 ДФЄС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Митний союз; правила конкуренції, необхідні для функціонування внутрішнього ринку; монетарна політика держав зони євро; збереження морських біологічних ресурсів у межах спільної політики рибальства; спільна торговельна політика; укладення міжнародних угод, що впливають на спільні правила (ст. 3(2))</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Законодавствувати може лише ЄС; держави — лише за уповноваженням ЄС; субсидіарність не застосовується</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(поділена)</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2(2), 4 ДФЄС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Внутрішній ринок; окремі аспекти соціальної політики; економічна, соціальна і територіальна згуртованість; сільське господарство і рибальство; довкілля; захист прав споживачів; транспорт; транс’європейські мережі; енергетика; простір свободи, безпеки і юстиції; спільні проблеми безпеки у сфері охорони здоров’я</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Держави діють настільки, наскільки ЄС не реалізував свою компетенцію («преемпція»); застосовуються субсидіарність і пропорційність</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Паралельна (особливий різновид спільної)</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4(3)–(4) ДФЄС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Дослідження, технологічний розвиток і космос; співробітництво з метою розвитку та гуманітарна допомога</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реалізує власні програми (зокрема рамкову програму досліджень), що не позбавляє держави права реалізовувати власні</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Координація економічної політики та політики зайнятості</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2(3), 5 ДФЄС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Економічна політика (загальні орієнтири), політика зайнятості, соціальна політика</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Настанови, рекомендації, Європейський семестр</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Підтримувальна (доповнювальна)</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2(5), 6 ДФЄС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Охорона і поліпшення здоров’я людини; промисловість; культура; туризм; освіта, професійна підготовка, молодь і спорт; цивільний захист; адміністративне співробітництво</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Лише заходи підтримки, координації, доповнення; </w:t>
            </w:r>
            <w:r>
              <w:rPr>
                <w:rFonts w:ascii="Times New Roman" w:cs="Times New Roman" w:eastAsia="Times New Roman" w:hAnsi="Times New Roman"/>
                <w:b/>
                <w:bCs/>
                <w:sz w:val="24"/>
                <w:szCs w:val="24"/>
              </w:rPr>
              <w:t xml:space="preserve">гармонізація законодавства виключена</w:t>
            </w:r>
          </w:p>
        </w:tc>
      </w:tr>
      <w:tr>
        <w:trPr>
          <w:tblHeader w:val="false"/>
        </w:trPr>
        <w:tc>
          <w:tcPr>
            <w:tcW w:type="dxa" w:w="216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зовнішня та безпекова політика</w:t>
            </w:r>
          </w:p>
        </w:tc>
        <w:tc>
          <w:tcPr>
            <w:tcW w:type="dxa" w:w="127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2(4) ДФЄС; ст. 24 ДЄС</w:t>
            </w:r>
          </w:p>
        </w:tc>
        <w:tc>
          <w:tcPr>
            <w:tcW w:type="dxa" w:w="350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Зовнішня політика, поступове формування спільної оборонної політики</w:t>
            </w:r>
          </w:p>
        </w:tc>
        <w:tc>
          <w:tcPr>
            <w:tcW w:type="dxa" w:w="269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Особливі процедури, переважно одностайність; законодавчі акти не ухвалюються</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ст. 2–6 ДФЄС [5; 19].</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Ключовий аналітичний висновок для курсу.</w:t>
      </w:r>
      <w:r>
        <w:rPr>
          <w:rFonts w:ascii="Times New Roman" w:cs="Times New Roman" w:eastAsia="Times New Roman" w:hAnsi="Times New Roman"/>
          <w:sz w:val="26"/>
          <w:szCs w:val="26"/>
        </w:rPr>
        <w:t xml:space="preserve"> У сферах освіти, молоді, спорту (ст. 165(4) ДФЄС), професійної підготовки (ст. 166(4)), культури (ст. 167(5)) Договори дозволяють ЄС ухвалювати лише </w:t>
      </w:r>
      <w:r>
        <w:rPr>
          <w:rFonts w:ascii="Times New Roman" w:cs="Times New Roman" w:eastAsia="Times New Roman" w:hAnsi="Times New Roman"/>
          <w:i/>
          <w:iCs/>
          <w:sz w:val="26"/>
          <w:szCs w:val="26"/>
        </w:rPr>
        <w:t xml:space="preserve">стимулюючі заходи</w:t>
      </w:r>
      <w:r>
        <w:rPr>
          <w:rFonts w:ascii="Times New Roman" w:cs="Times New Roman" w:eastAsia="Times New Roman" w:hAnsi="Times New Roman"/>
          <w:sz w:val="26"/>
          <w:szCs w:val="26"/>
        </w:rPr>
        <w:t xml:space="preserve"> без гармонізації законодавства держав-членів. Саме тому основним інструментом політики ЄС у цих сферах є </w:t>
      </w:r>
      <w:r>
        <w:rPr>
          <w:rFonts w:ascii="Times New Roman" w:cs="Times New Roman" w:eastAsia="Times New Roman" w:hAnsi="Times New Roman"/>
          <w:b/>
          <w:bCs/>
          <w:sz w:val="26"/>
          <w:szCs w:val="26"/>
        </w:rPr>
        <w:t xml:space="preserve">фінансові програми</w:t>
      </w:r>
      <w:r>
        <w:rPr>
          <w:rFonts w:ascii="Times New Roman" w:cs="Times New Roman" w:eastAsia="Times New Roman" w:hAnsi="Times New Roman"/>
          <w:sz w:val="26"/>
          <w:szCs w:val="26"/>
        </w:rPr>
        <w:t xml:space="preserve"> — Erasmus+, Creative Europe, European Solidarity Corps. Грантово-проєктна політика тут є не допоміжним, а головним механізмом реалізації компетенції Союзу.</w:t>
      </w:r>
    </w:p>
    <w:p>
      <w:pPr>
        <w:spacing w:after="0" w:line="360"/>
        <w:ind w:firstLine="709"/>
        <w:jc w:val="both"/>
      </w:pPr>
      <w:r>
        <w:rPr>
          <w:rFonts w:ascii="Times New Roman" w:cs="Times New Roman" w:eastAsia="Times New Roman" w:hAnsi="Times New Roman"/>
          <w:sz w:val="28"/>
          <w:szCs w:val="28"/>
        </w:rPr>
        <w:t xml:space="preserve">Система компетенцій доповнюється: </w:t>
      </w:r>
      <w:r>
        <w:rPr>
          <w:rFonts w:ascii="Times New Roman" w:cs="Times New Roman" w:eastAsia="Times New Roman" w:hAnsi="Times New Roman"/>
          <w:i/>
          <w:iCs/>
          <w:sz w:val="28"/>
          <w:szCs w:val="28"/>
        </w:rPr>
        <w:t xml:space="preserve">доктриною неявних зовнішніх повноважень</w:t>
      </w:r>
      <w:r>
        <w:rPr>
          <w:rFonts w:ascii="Times New Roman" w:cs="Times New Roman" w:eastAsia="Times New Roman" w:hAnsi="Times New Roman"/>
          <w:sz w:val="28"/>
          <w:szCs w:val="28"/>
        </w:rPr>
        <w:t xml:space="preserve"> (справа ERTA, 22/70), яка кодифікована у ст. 3(2) і 216 ДФЄС; </w:t>
      </w:r>
      <w:r>
        <w:rPr>
          <w:rFonts w:ascii="Times New Roman" w:cs="Times New Roman" w:eastAsia="Times New Roman" w:hAnsi="Times New Roman"/>
          <w:i/>
          <w:iCs/>
          <w:sz w:val="28"/>
          <w:szCs w:val="28"/>
        </w:rPr>
        <w:t xml:space="preserve">положенням про гнучкість</w:t>
      </w:r>
      <w:r>
        <w:rPr>
          <w:rFonts w:ascii="Times New Roman" w:cs="Times New Roman" w:eastAsia="Times New Roman" w:hAnsi="Times New Roman"/>
          <w:sz w:val="28"/>
          <w:szCs w:val="28"/>
        </w:rPr>
        <w:t xml:space="preserve"> (ст. 352 ДФЄС), що дає змогу Раді одностайно, за згодою Парламенту, ухвалювати заходи для досягнення цілей Договорів за відсутності спеціальної правової основи; </w:t>
      </w:r>
      <w:r>
        <w:rPr>
          <w:rFonts w:ascii="Times New Roman" w:cs="Times New Roman" w:eastAsia="Times New Roman" w:hAnsi="Times New Roman"/>
          <w:i/>
          <w:iCs/>
          <w:sz w:val="28"/>
          <w:szCs w:val="28"/>
        </w:rPr>
        <w:t xml:space="preserve">механізмом посиленої співпраці</w:t>
      </w:r>
      <w:r>
        <w:rPr>
          <w:rFonts w:ascii="Times New Roman" w:cs="Times New Roman" w:eastAsia="Times New Roman" w:hAnsi="Times New Roman"/>
          <w:sz w:val="28"/>
          <w:szCs w:val="28"/>
        </w:rPr>
        <w:t xml:space="preserve"> (ст. 20 ДЄС). Вибір правової основи акта має істотне значення і неодноразово ставав предметом спорів у Суді ЄС, адже він визначає процедуру, спосіб голосування і роль Парламенту.</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2. Законодавчі процедури ЄС: звичайна та спеціальні процедури ухвалення рішень</w:t>
      </w:r>
    </w:p>
    <w:p>
      <w:pPr>
        <w:spacing w:after="0" w:line="360"/>
        <w:ind w:firstLine="709"/>
        <w:jc w:val="both"/>
      </w:pPr>
      <w:r>
        <w:rPr>
          <w:rFonts w:ascii="Times New Roman" w:cs="Times New Roman" w:eastAsia="Times New Roman" w:hAnsi="Times New Roman"/>
          <w:b/>
          <w:bCs/>
          <w:sz w:val="28"/>
          <w:szCs w:val="28"/>
        </w:rPr>
        <w:t xml:space="preserve">Типологія актів.</w:t>
      </w:r>
      <w:r>
        <w:rPr>
          <w:rFonts w:ascii="Times New Roman" w:cs="Times New Roman" w:eastAsia="Times New Roman" w:hAnsi="Times New Roman"/>
          <w:sz w:val="28"/>
          <w:szCs w:val="28"/>
        </w:rPr>
        <w:t xml:space="preserve"> Договір розрізняє </w:t>
      </w:r>
      <w:r>
        <w:rPr>
          <w:rFonts w:ascii="Times New Roman" w:cs="Times New Roman" w:eastAsia="Times New Roman" w:hAnsi="Times New Roman"/>
          <w:i/>
          <w:iCs/>
          <w:sz w:val="28"/>
          <w:szCs w:val="28"/>
        </w:rPr>
        <w:t xml:space="preserve">законодавчі акти</w:t>
      </w:r>
      <w:r>
        <w:rPr>
          <w:rFonts w:ascii="Times New Roman" w:cs="Times New Roman" w:eastAsia="Times New Roman" w:hAnsi="Times New Roman"/>
          <w:sz w:val="28"/>
          <w:szCs w:val="28"/>
        </w:rPr>
        <w:t xml:space="preserve"> — ухвалені за законодавчою процедурою (ст. 289(3) ДФЄС) — та </w:t>
      </w:r>
      <w:r>
        <w:rPr>
          <w:rFonts w:ascii="Times New Roman" w:cs="Times New Roman" w:eastAsia="Times New Roman" w:hAnsi="Times New Roman"/>
          <w:i/>
          <w:iCs/>
          <w:sz w:val="28"/>
          <w:szCs w:val="28"/>
        </w:rPr>
        <w:t xml:space="preserve">незаконодавчі акти</w:t>
      </w:r>
      <w:r>
        <w:rPr>
          <w:rFonts w:ascii="Times New Roman" w:cs="Times New Roman" w:eastAsia="Times New Roman" w:hAnsi="Times New Roman"/>
          <w:sz w:val="28"/>
          <w:szCs w:val="28"/>
        </w:rPr>
        <w:t xml:space="preserve">: делеговані (ст. 290) і виконавчі (ст. 291). За формою акти поділяються на регламенти, директиви, рішення, рекомендації та висновки (ст. 288 ДФЄС).</w:t>
      </w:r>
    </w:p>
    <w:p>
      <w:pPr>
        <w:spacing w:after="0" w:line="360"/>
        <w:ind w:firstLine="709"/>
        <w:jc w:val="both"/>
      </w:pPr>
      <w:r>
        <w:rPr>
          <w:rFonts w:ascii="Times New Roman" w:cs="Times New Roman" w:eastAsia="Times New Roman" w:hAnsi="Times New Roman"/>
          <w:b/>
          <w:bCs/>
          <w:sz w:val="28"/>
          <w:szCs w:val="28"/>
        </w:rPr>
        <w:t xml:space="preserve">Звичайна законодавча процедура</w:t>
      </w:r>
      <w:r>
        <w:rPr>
          <w:rFonts w:ascii="Times New Roman" w:cs="Times New Roman" w:eastAsia="Times New Roman" w:hAnsi="Times New Roman"/>
          <w:sz w:val="28"/>
          <w:szCs w:val="28"/>
        </w:rPr>
        <w:t xml:space="preserve"> (ст. 294 ДФЄС) полягає у спільному ухваленні регламенту, директиви чи рішення Європейським Парламентом і Радою за пропозицією Комісії. Вона застосовується до переважної більшості сфер, зокрема внутрішнього ринку, згуртованості, досліджень, освіти, довкілля, транспорту, торговельної політики.</w:t>
      </w:r>
    </w:p>
    <w:p>
      <w:pPr>
        <w:keepNext/>
        <w:spacing w:after="40" w:before="120" w:line="276"/>
        <w:jc w:val="right"/>
      </w:pPr>
      <w:r>
        <w:rPr>
          <w:rFonts w:ascii="Times New Roman" w:cs="Times New Roman" w:eastAsia="Times New Roman" w:hAnsi="Times New Roman"/>
          <w:i/>
          <w:iCs/>
          <w:sz w:val="26"/>
          <w:szCs w:val="26"/>
        </w:rPr>
        <w:t xml:space="preserve">Таблиця 3.2</w:t>
      </w:r>
    </w:p>
    <w:p>
      <w:pPr>
        <w:keepNext/>
        <w:spacing w:after="80" w:before="0" w:line="276"/>
        <w:jc w:val="center"/>
      </w:pPr>
      <w:r>
        <w:rPr>
          <w:rFonts w:ascii="Times New Roman" w:cs="Times New Roman" w:eastAsia="Times New Roman" w:hAnsi="Times New Roman"/>
          <w:b/>
          <w:bCs/>
          <w:sz w:val="26"/>
          <w:szCs w:val="26"/>
        </w:rPr>
        <w:t xml:space="preserve">Етапи звичайної законодавчої процедури (ст. 294 ДФЄС)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29"/>
        <w:gridCol w:w="2290"/>
        <w:gridCol w:w="3650"/>
        <w:gridCol w:w="2169"/>
      </w:tblGrid>
      <w:tr>
        <w:trPr>
          <w:tblHeader/>
        </w:trPr>
        <w:tc>
          <w:tcPr>
            <w:tcW w:type="dxa" w:w="152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Етап</w:t>
            </w:r>
          </w:p>
        </w:tc>
        <w:tc>
          <w:tcPr>
            <w:tcW w:type="dxa" w:w="229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Суб’єкт</w:t>
            </w:r>
          </w:p>
        </w:tc>
        <w:tc>
          <w:tcPr>
            <w:tcW w:type="dxa" w:w="365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 і строки</w:t>
            </w:r>
          </w:p>
        </w:tc>
        <w:tc>
          <w:tcPr>
            <w:tcW w:type="dxa" w:w="216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Можливі результати</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Ініціатива</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Комісія</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Законодавча пропозиція; оцінка впливу; консультації зі стейкхолдерами; направлення національним парламентам, ЄЕСК/Комітету регіонів (у визначених випадках)</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Пропозиція внесена до Парламенту і Ради</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Перше читання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Позиція (з поправками або без); строк не встановлено</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Позиція передається Раді</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Перше читання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Рада</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Схвалення позиції Парламенту або ухвалення власної позиції; строк не встановлено</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Акт ухвалено / позиція Ради передається Парламенту</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Друге читання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 місяці (+1): схвалення, відхилення абсолютною більшістю або поправки абсолютною більшістю</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Акт ухвалено / не ухвалено / поправки передаються Раді</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Друге читання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Рада</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 місяці (+1): схвалення всіх поправок (кваліфікованою більшістю; одностайно — щодо поправок із негативним висновком Комісії)</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Акт ухвалено / скликання Погоджувального комітету</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Погодження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Погоджувальний комітет (27 представників Ради + 27 депутатів)</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6 тижнів (+2) на узгодження спільного тексту</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Спільний текст / акт не ухвалено</w:t>
            </w:r>
          </w:p>
        </w:tc>
      </w:tr>
      <w:tr>
        <w:trPr>
          <w:tblHeader w:val="false"/>
        </w:trPr>
        <w:tc>
          <w:tcPr>
            <w:tcW w:type="dxa" w:w="152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Третє читання</w:t>
            </w:r>
          </w:p>
        </w:tc>
        <w:tc>
          <w:tcPr>
            <w:tcW w:type="dxa" w:w="229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 і Рада</w:t>
            </w:r>
          </w:p>
        </w:tc>
        <w:tc>
          <w:tcPr>
            <w:tcW w:type="dxa" w:w="365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6 тижнів (+2): Парламент — більшістю поданих голосів, Рада — кваліфікованою більшістю</w:t>
            </w:r>
          </w:p>
        </w:tc>
        <w:tc>
          <w:tcPr>
            <w:tcW w:type="dxa" w:w="216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Акт ухвалено / не ухвалено</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ст. 294 ДФЄС та [15].</w:t>
      </w:r>
    </w:p>
    <w:p>
      <w:pPr>
        <w:spacing w:after="0" w:line="360"/>
        <w:ind w:firstLine="709"/>
        <w:jc w:val="both"/>
      </w:pPr>
      <w:r>
        <w:rPr>
          <w:rFonts w:ascii="Times New Roman" w:cs="Times New Roman" w:eastAsia="Times New Roman" w:hAnsi="Times New Roman"/>
          <w:sz w:val="28"/>
          <w:szCs w:val="28"/>
        </w:rPr>
        <w:t xml:space="preserve">На практиці ключову роль відіграють </w:t>
      </w:r>
      <w:r>
        <w:rPr>
          <w:rFonts w:ascii="Times New Roman" w:cs="Times New Roman" w:eastAsia="Times New Roman" w:hAnsi="Times New Roman"/>
          <w:b/>
          <w:bCs/>
          <w:sz w:val="28"/>
          <w:szCs w:val="28"/>
        </w:rPr>
        <w:t xml:space="preserve">неформальні тристоронні діалоги (трилоги)</w:t>
      </w:r>
      <w:r>
        <w:rPr>
          <w:rFonts w:ascii="Times New Roman" w:cs="Times New Roman" w:eastAsia="Times New Roman" w:hAnsi="Times New Roman"/>
          <w:sz w:val="28"/>
          <w:szCs w:val="28"/>
        </w:rPr>
        <w:t xml:space="preserve"> між представниками Парламенту, Ради (головування) та Комісії, які дають змогу досягати домовленостей на ранніх етапах. За даними Європейського Парламенту, у дев’ятому скликанні (2019–2024) </w:t>
      </w:r>
      <w:r>
        <w:rPr>
          <w:rFonts w:ascii="Times New Roman" w:cs="Times New Roman" w:eastAsia="Times New Roman" w:hAnsi="Times New Roman"/>
          <w:i/>
          <w:iCs/>
          <w:sz w:val="28"/>
          <w:szCs w:val="28"/>
        </w:rPr>
        <w:t xml:space="preserve">усі</w:t>
      </w:r>
      <w:r>
        <w:rPr>
          <w:rFonts w:ascii="Times New Roman" w:cs="Times New Roman" w:eastAsia="Times New Roman" w:hAnsi="Times New Roman"/>
          <w:sz w:val="28"/>
          <w:szCs w:val="28"/>
        </w:rPr>
        <w:t xml:space="preserve"> файли звичайної законодавчої процедури було узгоджено в першому або «ранньому другому» читанні; погоджувальна процедура не застосовувалася. Це свідчить про високий рівень інституційної співпраці, але водночас породжує дискусію щодо прозорості трилогів.</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Приклад.</w:t>
      </w:r>
      <w:r>
        <w:rPr>
          <w:rFonts w:ascii="Times New Roman" w:cs="Times New Roman" w:eastAsia="Times New Roman" w:hAnsi="Times New Roman"/>
          <w:sz w:val="26"/>
          <w:szCs w:val="26"/>
        </w:rPr>
        <w:t xml:space="preserve"> Регламент (ЄС) 2021/817 про заснування програми Erasmus+ на 2021–2027 рр. ухвалено Європейським Парламентом і Радою за звичайною законодавчою процедурою на правовій основі ст. 165(4) і 166(4) ДФЄС (пропозиція Комісії COM(2018) 367 — травень 2018 р.; акт від 20 травня 2021 р., застосовується з 1 січня 2021 р.). Тривалість процедури (близько трьох років) була зумовлена прив’язкою до переговорів щодо БФР 2021–2027 рр.</w:t>
      </w:r>
    </w:p>
    <w:p>
      <w:pPr>
        <w:spacing w:after="0" w:line="360"/>
        <w:ind w:firstLine="709"/>
        <w:jc w:val="both"/>
      </w:pPr>
      <w:r>
        <w:rPr>
          <w:rFonts w:ascii="Times New Roman" w:cs="Times New Roman" w:eastAsia="Times New Roman" w:hAnsi="Times New Roman"/>
          <w:b/>
          <w:bCs/>
          <w:sz w:val="28"/>
          <w:szCs w:val="28"/>
        </w:rPr>
        <w:t xml:space="preserve">Спеціальні законодавчі процедури</w:t>
      </w:r>
      <w:r>
        <w:rPr>
          <w:rFonts w:ascii="Times New Roman" w:cs="Times New Roman" w:eastAsia="Times New Roman" w:hAnsi="Times New Roman"/>
          <w:sz w:val="28"/>
          <w:szCs w:val="28"/>
        </w:rPr>
        <w:t xml:space="preserve"> (ст. 289(2) ДФЄС) передбачають ухвалення акта Радою за участі Парламенту або (рідше) Парламентом за участі Ради:</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процедура консультацій</w:t>
      </w:r>
      <w:r>
        <w:rPr>
          <w:rFonts w:ascii="Times New Roman" w:cs="Times New Roman" w:eastAsia="Times New Roman" w:hAnsi="Times New Roman"/>
          <w:sz w:val="28"/>
          <w:szCs w:val="28"/>
        </w:rPr>
        <w:t xml:space="preserve">: Рада ухвалює акт після отримання (необов’язкового) висновку Парламенту. Приклади: гармонізація непрямих податків (ст. 113 ДФЄС, одностайно); спеціальні програми реалізації рамкової програми досліджень (ст. 182(4) ДФЄС) — так, Рішення Ради (ЄС) 2021/764 про Спеціальну програму реалізації Horizon Europe ухвалено після консультацій з Парламентом та ЄЕСК;</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процедура згоди</w:t>
      </w:r>
      <w:r>
        <w:rPr>
          <w:rFonts w:ascii="Times New Roman" w:cs="Times New Roman" w:eastAsia="Times New Roman" w:hAnsi="Times New Roman"/>
          <w:sz w:val="28"/>
          <w:szCs w:val="28"/>
        </w:rPr>
        <w:t xml:space="preserve">: Рада ухвалює акт лише за згодою Парламенту. Приклади: регламент про Багаторічну фінансову рамку (ст. 312 ДФЄС — Рада одностайно, Парламент — більшістю від загального складу); положення про гнучкість (ст. 352 ДФЄС);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рішення про власні ресурси</w:t>
      </w:r>
      <w:r>
        <w:rPr>
          <w:rFonts w:ascii="Times New Roman" w:cs="Times New Roman" w:eastAsia="Times New Roman" w:hAnsi="Times New Roman"/>
          <w:sz w:val="28"/>
          <w:szCs w:val="28"/>
        </w:rPr>
        <w:t xml:space="preserve"> (ст. 311 ДФЄС): Рада одностайно після консультацій з Парламентом; набирає чинності після схвалення державами-членами відповідно до їхніх конституційних вимог.</w:t>
      </w:r>
    </w:p>
    <w:p>
      <w:pPr>
        <w:spacing w:after="0" w:line="360"/>
        <w:ind w:firstLine="709"/>
        <w:jc w:val="both"/>
      </w:pPr>
      <w:r>
        <w:rPr>
          <w:rFonts w:ascii="Times New Roman" w:cs="Times New Roman" w:eastAsia="Times New Roman" w:hAnsi="Times New Roman"/>
          <w:sz w:val="28"/>
          <w:szCs w:val="28"/>
        </w:rPr>
        <w:t xml:space="preserve">Окремо слід виокремити процедуру укладення </w:t>
      </w:r>
      <w:r>
        <w:rPr>
          <w:rFonts w:ascii="Times New Roman" w:cs="Times New Roman" w:eastAsia="Times New Roman" w:hAnsi="Times New Roman"/>
          <w:b/>
          <w:bCs/>
          <w:sz w:val="28"/>
          <w:szCs w:val="28"/>
        </w:rPr>
        <w:t xml:space="preserve">міжнародних угод</w:t>
      </w:r>
      <w:r>
        <w:rPr>
          <w:rFonts w:ascii="Times New Roman" w:cs="Times New Roman" w:eastAsia="Times New Roman" w:hAnsi="Times New Roman"/>
          <w:sz w:val="28"/>
          <w:szCs w:val="28"/>
        </w:rPr>
        <w:t xml:space="preserve"> (ст. 218 ДФЄС): Комісія (або Високий представник) веде переговори за мандатом Ради; Рада підписує та укладає угоду; для угод про асоціацію, угод із бюджетними наслідками і таких, що охоплюють сфери звичайної законодавчої процедури, потрібна згода Парламенту. Вступ нової держави вимагає одностайного рішення Ради, згоди Парламенту більшістю від загального складу та ратифікації договору про вступ усіма державами-членами (ст. 49 ДЄС).</w:t>
      </w:r>
    </w:p>
    <w:p>
      <w:pPr>
        <w:spacing w:after="0" w:line="360"/>
        <w:ind w:firstLine="709"/>
        <w:jc w:val="both"/>
      </w:pPr>
      <w:r>
        <w:rPr>
          <w:rFonts w:ascii="Times New Roman" w:cs="Times New Roman" w:eastAsia="Times New Roman" w:hAnsi="Times New Roman"/>
          <w:b/>
          <w:bCs/>
          <w:sz w:val="28"/>
          <w:szCs w:val="28"/>
        </w:rPr>
        <w:t xml:space="preserve">Незаконодавчі акти і комітологія.</w:t>
      </w:r>
      <w:r>
        <w:rPr>
          <w:rFonts w:ascii="Times New Roman" w:cs="Times New Roman" w:eastAsia="Times New Roman" w:hAnsi="Times New Roman"/>
          <w:sz w:val="28"/>
          <w:szCs w:val="28"/>
        </w:rPr>
        <w:t xml:space="preserve"> Для реалізації законодавства Комісія ухвалює:</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делеговані акти</w:t>
      </w:r>
      <w:r>
        <w:rPr>
          <w:rFonts w:ascii="Times New Roman" w:cs="Times New Roman" w:eastAsia="Times New Roman" w:hAnsi="Times New Roman"/>
          <w:sz w:val="28"/>
          <w:szCs w:val="28"/>
        </w:rPr>
        <w:t xml:space="preserve"> (ст. 290 ДФЄС) — доповнюють або змінюють неосновні елементи законодавчого акта; Парламент і Рада можуть заперечити проти них або відкликати делегування;</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виконавчі акти</w:t>
      </w:r>
      <w:r>
        <w:rPr>
          <w:rFonts w:ascii="Times New Roman" w:cs="Times New Roman" w:eastAsia="Times New Roman" w:hAnsi="Times New Roman"/>
          <w:sz w:val="28"/>
          <w:szCs w:val="28"/>
        </w:rPr>
        <w:t xml:space="preserve"> (ст. 291 ДФЄС) — встановлюють однакові умови імплементації; ухвалюються з участю комітетів представників держав-членів за Регламентом (ЄС) № 182/2011 (консультативна процедура і процедура експертизи) — так звана </w:t>
      </w:r>
      <w:r>
        <w:rPr>
          <w:rFonts w:ascii="Times New Roman" w:cs="Times New Roman" w:eastAsia="Times New Roman" w:hAnsi="Times New Roman"/>
          <w:i/>
          <w:iCs/>
          <w:sz w:val="28"/>
          <w:szCs w:val="28"/>
        </w:rPr>
        <w:t xml:space="preserve">комітологія</w:t>
      </w:r>
      <w:r>
        <w:rPr>
          <w:rFonts w:ascii="Times New Roman" w:cs="Times New Roman" w:eastAsia="Times New Roman" w:hAnsi="Times New Roman"/>
          <w:sz w:val="28"/>
          <w:szCs w:val="28"/>
        </w:rPr>
        <w:t xml:space="preserve">.</w:t>
      </w:r>
    </w:p>
    <w:p>
      <w:pPr>
        <w:spacing w:after="0" w:line="360"/>
        <w:ind w:firstLine="709"/>
        <w:jc w:val="both"/>
      </w:pPr>
      <w:r>
        <w:rPr>
          <w:rFonts w:ascii="Times New Roman" w:cs="Times New Roman" w:eastAsia="Times New Roman" w:hAnsi="Times New Roman"/>
          <w:sz w:val="28"/>
          <w:szCs w:val="28"/>
        </w:rPr>
        <w:t xml:space="preserve">Для грантово-проєктної політики це принципово: </w:t>
      </w:r>
      <w:r>
        <w:rPr>
          <w:rFonts w:ascii="Times New Roman" w:cs="Times New Roman" w:eastAsia="Times New Roman" w:hAnsi="Times New Roman"/>
          <w:b/>
          <w:bCs/>
          <w:sz w:val="28"/>
          <w:szCs w:val="28"/>
        </w:rPr>
        <w:t xml:space="preserve">робочі програми</w:t>
      </w:r>
      <w:r>
        <w:rPr>
          <w:rFonts w:ascii="Times New Roman" w:cs="Times New Roman" w:eastAsia="Times New Roman" w:hAnsi="Times New Roman"/>
          <w:sz w:val="28"/>
          <w:szCs w:val="28"/>
        </w:rPr>
        <w:t xml:space="preserve"> Erasmus+ та Horizon Europe, у яких визначаються пріоритети конкурсів, бюджети і очікувані результати, Комісія ухвалює як виконавчі акти після розгляду в програмних комітетах за участі представників держав-членів. Отже, держави-члени впливають на зміст конкурсів не лише на законодавчому етапі, а й на етапі програмування.</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3. Роль інституцій ЄС у формуванні стратегічних пріоритетів розвитку</w:t>
      </w:r>
    </w:p>
    <w:p>
      <w:pPr>
        <w:spacing w:after="0" w:line="360"/>
        <w:ind w:firstLine="709"/>
        <w:jc w:val="both"/>
      </w:pPr>
      <w:r>
        <w:rPr>
          <w:rFonts w:ascii="Times New Roman" w:cs="Times New Roman" w:eastAsia="Times New Roman" w:hAnsi="Times New Roman"/>
          <w:sz w:val="28"/>
          <w:szCs w:val="28"/>
        </w:rPr>
        <w:t xml:space="preserve">Стратегічне планування в ЄС має </w:t>
      </w:r>
      <w:r>
        <w:rPr>
          <w:rFonts w:ascii="Times New Roman" w:cs="Times New Roman" w:eastAsia="Times New Roman" w:hAnsi="Times New Roman"/>
          <w:i/>
          <w:iCs/>
          <w:sz w:val="28"/>
          <w:szCs w:val="28"/>
        </w:rPr>
        <w:t xml:space="preserve">багаторівневий і циклічний</w:t>
      </w:r>
      <w:r>
        <w:rPr>
          <w:rFonts w:ascii="Times New Roman" w:cs="Times New Roman" w:eastAsia="Times New Roman" w:hAnsi="Times New Roman"/>
          <w:sz w:val="28"/>
          <w:szCs w:val="28"/>
        </w:rPr>
        <w:t xml:space="preserve"> характер і прив’язане до п’ятирічного інституційного циклу (вибори до Парламенту — формування Комісії) та семирічного фінансового циклу (БФР).</w:t>
      </w:r>
    </w:p>
    <w:p>
      <w:pPr>
        <w:keepNext/>
        <w:spacing w:after="40" w:before="120" w:line="276"/>
        <w:jc w:val="right"/>
      </w:pPr>
      <w:r>
        <w:rPr>
          <w:rFonts w:ascii="Times New Roman" w:cs="Times New Roman" w:eastAsia="Times New Roman" w:hAnsi="Times New Roman"/>
          <w:i/>
          <w:iCs/>
          <w:sz w:val="26"/>
          <w:szCs w:val="26"/>
        </w:rPr>
        <w:t xml:space="preserve">Таблиця 3.3</w:t>
      </w:r>
    </w:p>
    <w:p>
      <w:pPr>
        <w:keepNext/>
        <w:spacing w:after="80" w:before="0" w:line="276"/>
        <w:jc w:val="center"/>
      </w:pPr>
      <w:r>
        <w:rPr>
          <w:rFonts w:ascii="Times New Roman" w:cs="Times New Roman" w:eastAsia="Times New Roman" w:hAnsi="Times New Roman"/>
          <w:b/>
          <w:bCs/>
          <w:sz w:val="26"/>
          <w:szCs w:val="26"/>
        </w:rPr>
        <w:t xml:space="preserve">Цикл стратегічного планування ЄС (інституційний цикл 2024–2029 рр.)</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63"/>
        <w:gridCol w:w="2259"/>
        <w:gridCol w:w="1801"/>
        <w:gridCol w:w="3415"/>
      </w:tblGrid>
      <w:tr>
        <w:trPr>
          <w:tblHeader/>
        </w:trPr>
        <w:tc>
          <w:tcPr>
            <w:tcW w:type="dxa" w:w="216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Рівень</w:t>
            </w:r>
          </w:p>
        </w:tc>
        <w:tc>
          <w:tcPr>
            <w:tcW w:type="dxa" w:w="2259"/>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Документ</w:t>
            </w:r>
          </w:p>
        </w:tc>
        <w:tc>
          <w:tcPr>
            <w:tcW w:type="dxa" w:w="18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Ініціатор, дата</w:t>
            </w:r>
          </w:p>
        </w:tc>
        <w:tc>
          <w:tcPr>
            <w:tcW w:type="dxa" w:w="341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 / значення</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Стратегічний (міждержавний)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Стратегічний порядок денний 2024–2029</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Європейська Рада, 27.06.2024</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Три пріоритети: вільна і демократична Європа; сильна і безпечна Європа; процвітаюча і конкурентоспроможна Європа</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Політичний (наднаціональний)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Політичні настанови Комісії 2024–2029 «Вибір Європи»</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Кандидатка на посаду Голови Комісії, 18.07.2024</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Сім напрямів: сталий добробут і конкурентоспроможність; оборона і безпека; соціальна модель; якість життя; демократія і цінності; глобальна Європа; спільне виконання і підготовка Союзу до майбутнього</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Персональний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Місійні листи членам Комісії</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Голова Комісії, вересень 2024 р.</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Конкретні завдання для портфелів (напр., підготовка нової БФР, Союз навичок, Європейська дослідницька зона)</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Щорічний (наднаціональний)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Робоча програма Комісії на 2026 р. «Момент незалежності Європи»</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Комісія, 21.10.2025</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Нові ініціативи, пропозиції зі спрощення законодавства, відкликання пропозицій</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Міжінституційний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Спільна декларація про законодавчі пріоритети ЄС на 2026 р.</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 Рада, Комісія, 18.12.2025</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Пріоритетні файли: оборона і безпека, конкурентоспроможність, спрощення, соціальна модель, міграція, демократія, глобальний вплив, БФР 2028–2034</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Секторний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Повідомлення, стратегії, плани дій (напр., Компас конкурентоспроможності, COM(2025) 30)</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Комісія</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Розгортання пріоритетів у конкретні політики та законодавчі ініціативи</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Головування в Раді</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Програма тріо та програма головуючої держави (Ірландія, липень–грудень 2026 р.)</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Держави-члени</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Операційні пріоритети законодавчих переговорів у Раді</w:t>
            </w:r>
          </w:p>
        </w:tc>
      </w:tr>
      <w:tr>
        <w:trPr>
          <w:tblHeader w:val="false"/>
        </w:trPr>
        <w:tc>
          <w:tcPr>
            <w:tcW w:type="dxa" w:w="216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Парламентський</w:t>
            </w:r>
          </w:p>
        </w:tc>
        <w:tc>
          <w:tcPr>
            <w:tcW w:type="dxa" w:w="2259"/>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Резолюції, звіти з власної ініціативи, промова Голови Комісії «Про стан Союзу»</w:t>
            </w:r>
          </w:p>
        </w:tc>
        <w:tc>
          <w:tcPr>
            <w:tcW w:type="dxa" w:w="18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Парламент</w:t>
            </w:r>
          </w:p>
        </w:tc>
        <w:tc>
          <w:tcPr>
            <w:tcW w:type="dxa" w:w="341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Політичний тиск, запити на законодавчі ініціативи (ст. 225 ДФЄС)</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на основі [6–11].</w:t>
      </w:r>
    </w:p>
    <w:p>
      <w:pPr>
        <w:spacing w:after="0" w:line="360"/>
        <w:ind w:firstLine="709"/>
        <w:jc w:val="both"/>
      </w:pPr>
      <w:r>
        <w:rPr>
          <w:rFonts w:ascii="Times New Roman" w:cs="Times New Roman" w:eastAsia="Times New Roman" w:hAnsi="Times New Roman"/>
          <w:sz w:val="28"/>
          <w:szCs w:val="28"/>
        </w:rPr>
        <w:t xml:space="preserve">Інституційна динаміка стратегічного планування ілюструє концепції, розглянуті в лекції 1: Європейська Рада як міждержавний орган задає «рамку», Комісія як наднаціональний орган наповнює її конкретними ініціативами, Парламент і Рада через законодавчі та бюджетні процедури визначають остаточний зміст і фінансові параметри. Консультативні органи (ЄЕСК, Комітет регіонів) та стейкхолдери залучаються через консультації («Have Your Say»), а експертну основу забезпечують Спільний дослідницький центр (JRC), доповіді зі стратегічного передбачення та незалежні доповіді високого рівня (Е. Летти, М. Драгі).</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4. Програмні та стратегічні документи ЄС як основа реалізації політик</w:t>
      </w:r>
    </w:p>
    <w:p>
      <w:pPr>
        <w:spacing w:after="0" w:line="360"/>
        <w:ind w:firstLine="709"/>
        <w:jc w:val="both"/>
      </w:pPr>
      <w:r>
        <w:rPr>
          <w:rFonts w:ascii="Times New Roman" w:cs="Times New Roman" w:eastAsia="Times New Roman" w:hAnsi="Times New Roman"/>
          <w:sz w:val="28"/>
          <w:szCs w:val="28"/>
        </w:rPr>
        <w:t xml:space="preserve">Документи ЄС утворюють ієрархію, яку в аналітиці програм прийнято описувати через </w:t>
      </w:r>
      <w:r>
        <w:rPr>
          <w:rFonts w:ascii="Times New Roman" w:cs="Times New Roman" w:eastAsia="Times New Roman" w:hAnsi="Times New Roman"/>
          <w:b/>
          <w:bCs/>
          <w:sz w:val="28"/>
          <w:szCs w:val="28"/>
        </w:rPr>
        <w:t xml:space="preserve">логіку втручання</w:t>
      </w:r>
      <w:r>
        <w:rPr>
          <w:rFonts w:ascii="Times New Roman" w:cs="Times New Roman" w:eastAsia="Times New Roman" w:hAnsi="Times New Roman"/>
          <w:sz w:val="28"/>
          <w:szCs w:val="28"/>
        </w:rPr>
        <w:t xml:space="preserve"> (intervention logic): загальні цілі → специфічні цілі → пріоритети → дії (конкурси) → результати (outputs) → наслідки (outcomes) → вплив (impact). Для суб’єкта, що готує проєкт, уміння «зчитувати» цю ієрархію визначає якість обґрунтування доречності (relevance) проєктної ініціативи.</w:t>
      </w:r>
    </w:p>
    <w:p>
      <w:pPr>
        <w:keepNext/>
        <w:spacing w:after="40" w:before="120" w:line="276"/>
        <w:jc w:val="right"/>
      </w:pPr>
      <w:r>
        <w:rPr>
          <w:rFonts w:ascii="Times New Roman" w:cs="Times New Roman" w:eastAsia="Times New Roman" w:hAnsi="Times New Roman"/>
          <w:i/>
          <w:iCs/>
          <w:sz w:val="26"/>
          <w:szCs w:val="26"/>
        </w:rPr>
        <w:t xml:space="preserve">Таблиця 3.4</w:t>
      </w:r>
    </w:p>
    <w:p>
      <w:pPr>
        <w:keepNext/>
        <w:spacing w:after="80" w:before="0" w:line="276"/>
        <w:jc w:val="center"/>
      </w:pPr>
      <w:r>
        <w:rPr>
          <w:rFonts w:ascii="Times New Roman" w:cs="Times New Roman" w:eastAsia="Times New Roman" w:hAnsi="Times New Roman"/>
          <w:b/>
          <w:bCs/>
          <w:sz w:val="26"/>
          <w:szCs w:val="26"/>
        </w:rPr>
        <w:t xml:space="preserve">Ієрархія програмних і стратегічних документів ЄС та їх функції</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88"/>
        <w:gridCol w:w="1901"/>
        <w:gridCol w:w="1736"/>
        <w:gridCol w:w="2852"/>
        <w:gridCol w:w="2161"/>
      </w:tblGrid>
      <w:tr>
        <w:trPr>
          <w:tblHeader/>
        </w:trPr>
        <w:tc>
          <w:tcPr>
            <w:tcW w:type="dxa" w:w="98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Рівень</w:t>
            </w:r>
          </w:p>
        </w:tc>
        <w:tc>
          <w:tcPr>
            <w:tcW w:type="dxa" w:w="19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Тип документа</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Юридична сила</w:t>
            </w:r>
          </w:p>
        </w:tc>
        <w:tc>
          <w:tcPr>
            <w:tcW w:type="dxa" w:w="285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Приклад</w:t>
            </w:r>
          </w:p>
        </w:tc>
        <w:tc>
          <w:tcPr>
            <w:tcW w:type="dxa" w:w="216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Функція для проєктної діяльності</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1</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Установчі договори</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Первинне право</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 165–166, 179–190 ДФЄС</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Визначають межі компетенції та правову основу програм</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2</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Стратегічні документи інституцій</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Політичні зобов’язання</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Стратегічний порядок денний 2024–2029; Політичні настанови Комісії</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Формують загальні пріоритети</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3</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Секторні стратегії та повідомлення</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«М’яке право»</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Компас конкурентоспроможності (2025); Європейський зелений курс (2019); Стратегія економічної безпеки (2023)</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Уточнюють цілі та очікувані зміни</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4</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Законодавчі акти про програми та фінансова рамка</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Обов’язкові</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Регламент (ЄС) 2021/817 (Erasmus+); Регламент (ЄС) 2021/695 (Horizon Europe); Регламент про БФР</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Визначають цілі, бюджет, учасників, правила участі</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5</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Робочі програми (виконавчі акти)</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Обов’язкові для Комісії</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Щорічна робоча програма Erasmus+; робоча програма Horizon Europe</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Визначають пріоритети конкурсів, бюджети, очікувані результати</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6</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Програмні настанови, оголошення конкурсів</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Умови конкурсу</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Керівництво програми Erasmus+ 2026 (Programme Guide); тематичні запити (topics) на Funding &amp; Tenders Portal</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Встановлюють критерії прийнятності, відбору, оцінювання</w:t>
            </w:r>
          </w:p>
        </w:tc>
      </w:tr>
      <w:tr>
        <w:trPr>
          <w:tblHeader w:val="false"/>
        </w:trPr>
        <w:tc>
          <w:tcPr>
            <w:tcW w:type="dxa" w:w="98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7</w:t>
            </w:r>
          </w:p>
        </w:tc>
        <w:tc>
          <w:tcPr>
            <w:tcW w:type="dxa" w:w="19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Грантова угода</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Договірне зобов’язання</w:t>
            </w:r>
          </w:p>
        </w:tc>
        <w:tc>
          <w:tcPr>
            <w:tcW w:type="dxa" w:w="28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Модельна грантова угода ЄС</w:t>
            </w:r>
          </w:p>
        </w:tc>
        <w:tc>
          <w:tcPr>
            <w:tcW w:type="dxa" w:w="216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Закріплює результати, бюджет і звітність конкретного проєкту</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 на основі [16; 17; 20–22].</w:t>
      </w:r>
    </w:p>
    <w:p>
      <w:pPr>
        <w:spacing w:after="0" w:line="360"/>
        <w:ind w:firstLine="709"/>
        <w:jc w:val="both"/>
      </w:pPr>
      <w:r>
        <w:rPr>
          <w:rFonts w:ascii="Times New Roman" w:cs="Times New Roman" w:eastAsia="Times New Roman" w:hAnsi="Times New Roman"/>
          <w:sz w:val="28"/>
          <w:szCs w:val="28"/>
        </w:rPr>
        <w:t xml:space="preserve">Приклад «розгортання» пріоритету: ціль ЄС щодо науково-технічного прогресу (ст. 3(3) ДЄС) та компетенція у сфері досліджень (ст. 4(3), 179–190 ДФЄС) → пріоритет «процвітаюча і конкурентоспроможна Європа» Стратегічного порядку денного → Компас конкурентоспроможності (імператив «подолання інноваційного розриву») → Регламент (ЄС) 2021/695 про Horizon Europe → робоча програма Horizon Europe (зокрема частина «Widening participation and strengthening the European Research Area») → конкретний тематичний запит → проєкт консорціуму за участі українського університету. Кожен наступний рівень конкретизує попередній (на цьому наголошують і вітчизняні дослідники грантових програм ЄС [2–4; 27]), а оцінювачі проєкту перевіряють, наскільки заявлені результати проєкту узгоджуються з очікуваними наслідками (expected outcomes) відповідного запиту.</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5. Механізми координації політик між ЄС, державами-членами та партнерськими країнами</w:t>
      </w:r>
    </w:p>
    <w:p>
      <w:pPr>
        <w:spacing w:after="0" w:line="360"/>
        <w:ind w:firstLine="709"/>
        <w:jc w:val="both"/>
      </w:pPr>
      <w:r>
        <w:rPr>
          <w:rFonts w:ascii="Times New Roman" w:cs="Times New Roman" w:eastAsia="Times New Roman" w:hAnsi="Times New Roman"/>
          <w:sz w:val="28"/>
          <w:szCs w:val="28"/>
        </w:rPr>
        <w:t xml:space="preserve">Реалізація політик ЄС значною мірою залежить від державних адміністрацій, регіонів та партнерів, тому в ЄС розвинена система координаційних механізмів різного ступеня обов’язковості.</w:t>
      </w:r>
    </w:p>
    <w:p>
      <w:pPr>
        <w:keepNext/>
        <w:spacing w:after="40" w:before="120" w:line="276"/>
        <w:jc w:val="right"/>
      </w:pPr>
      <w:r>
        <w:rPr>
          <w:rFonts w:ascii="Times New Roman" w:cs="Times New Roman" w:eastAsia="Times New Roman" w:hAnsi="Times New Roman"/>
          <w:i/>
          <w:iCs/>
          <w:sz w:val="26"/>
          <w:szCs w:val="26"/>
        </w:rPr>
        <w:t xml:space="preserve">Таблиця 3.5</w:t>
      </w:r>
    </w:p>
    <w:p>
      <w:pPr>
        <w:keepNext/>
        <w:spacing w:after="80" w:before="0" w:line="276"/>
        <w:jc w:val="center"/>
      </w:pPr>
      <w:r>
        <w:rPr>
          <w:rFonts w:ascii="Times New Roman" w:cs="Times New Roman" w:eastAsia="Times New Roman" w:hAnsi="Times New Roman"/>
          <w:b/>
          <w:bCs/>
          <w:sz w:val="26"/>
          <w:szCs w:val="26"/>
        </w:rPr>
        <w:t xml:space="preserve">Механізми координації політик ЄС</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71"/>
        <w:gridCol w:w="3093"/>
        <w:gridCol w:w="4374"/>
      </w:tblGrid>
      <w:tr>
        <w:trPr>
          <w:tblHeader/>
        </w:trPr>
        <w:tc>
          <w:tcPr>
            <w:tcW w:type="dxa" w:w="217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Вимір</w:t>
            </w:r>
          </w:p>
        </w:tc>
        <w:tc>
          <w:tcPr>
            <w:tcW w:type="dxa" w:w="309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Механізм</w:t>
            </w:r>
          </w:p>
        </w:tc>
        <w:tc>
          <w:tcPr>
            <w:tcW w:type="dxa" w:w="437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Зміст</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держави-члени</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семестр (з 2011 р.)</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Щорічний цикл координації економічної, фіскальної, соціальної політики та політики зайнятості: аналіз Комісії → рекомендації для окремих країн, схвалені Радою → національні програми реформ</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держави-члени</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Відкритий метод координації</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«М’яка» координація у сферах підтримувальної компетенції (освіта, молодь, соціальна інклюзія): спільні цілі, індикатори, обмін практиками</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держави-члени</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Спільне управління фондами</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Угоди про партнерство та програми політики згуртованості; національні плани відновлення і стійкості в межах RRF</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держави-члени — регіони</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Макрорегіональні стратегії та Interreg</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Стратегія ЄС для Дунайського регіону (за участі України) та інші; програми транскордонного співробітництва</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Україна (асоціація)</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Інституції Угоди про асоціацію</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Саміт Україна — ЄС; Рада асоціації; Комітет асоціації (зокрема у торговельному складі); Парламентський комітет асоціації; Платформа громадянського суспільства</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Україна (вступ)</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Переговорна рамка</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Міжурядові конференції; скринінг; переговорні позиції; контрольні показники (benchmarks); щорічний пакет розширення з доповіддю щодо України</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ЄС — Україна (фінанси)</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Ukraine Facility / План для України</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Реформи та індикатори, виконання яких є умовою траншів; моніторинг Комісією, рішення Ради про виплати</w:t>
            </w:r>
          </w:p>
        </w:tc>
      </w:tr>
      <w:tr>
        <w:trPr>
          <w:tblHeader w:val="false"/>
        </w:trPr>
        <w:tc>
          <w:tcPr>
            <w:tcW w:type="dxa" w:w="21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Багатосторонній</w:t>
            </w:r>
          </w:p>
        </w:tc>
        <w:tc>
          <w:tcPr>
            <w:tcW w:type="dxa" w:w="309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Платформа координації донорів для України; «Команда Європа»; конференції з відновлення України</w:t>
            </w:r>
          </w:p>
        </w:tc>
        <w:tc>
          <w:tcPr>
            <w:tcW w:type="dxa" w:w="43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Узгодження допомоги ЄС, держав-членів, G7 і міжнародних фінансових установ (конференція з відновлення — Гданськ, 25–26 червня 2026 р.)</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 на основі [12; 23–25].</w:t>
      </w:r>
    </w:p>
    <w:p>
      <w:pPr>
        <w:spacing w:after="0" w:line="360"/>
        <w:ind w:firstLine="709"/>
        <w:jc w:val="both"/>
      </w:pPr>
      <w:r>
        <w:rPr>
          <w:rFonts w:ascii="Times New Roman" w:cs="Times New Roman" w:eastAsia="Times New Roman" w:hAnsi="Times New Roman"/>
          <w:sz w:val="28"/>
          <w:szCs w:val="28"/>
        </w:rPr>
        <w:t xml:space="preserve">Вирізняють </w:t>
      </w:r>
      <w:r>
        <w:rPr>
          <w:rFonts w:ascii="Times New Roman" w:cs="Times New Roman" w:eastAsia="Times New Roman" w:hAnsi="Times New Roman"/>
          <w:i/>
          <w:iCs/>
          <w:sz w:val="28"/>
          <w:szCs w:val="28"/>
        </w:rPr>
        <w:t xml:space="preserve">жорстку координацію</w:t>
      </w:r>
      <w:r>
        <w:rPr>
          <w:rFonts w:ascii="Times New Roman" w:cs="Times New Roman" w:eastAsia="Times New Roman" w:hAnsi="Times New Roman"/>
          <w:sz w:val="28"/>
          <w:szCs w:val="28"/>
        </w:rPr>
        <w:t xml:space="preserve"> (правові зобов’язання, фінансова обумовленість, санкції за невиконання) та </w:t>
      </w:r>
      <w:r>
        <w:rPr>
          <w:rFonts w:ascii="Times New Roman" w:cs="Times New Roman" w:eastAsia="Times New Roman" w:hAnsi="Times New Roman"/>
          <w:i/>
          <w:iCs/>
          <w:sz w:val="28"/>
          <w:szCs w:val="28"/>
        </w:rPr>
        <w:t xml:space="preserve">м’яку координацію</w:t>
      </w:r>
      <w:r>
        <w:rPr>
          <w:rFonts w:ascii="Times New Roman" w:cs="Times New Roman" w:eastAsia="Times New Roman" w:hAnsi="Times New Roman"/>
          <w:sz w:val="28"/>
          <w:szCs w:val="28"/>
        </w:rPr>
        <w:t xml:space="preserve"> (рекомендації, порівняльний аналіз, взаємне навчання). Для держав-кандидатів характерне поєднання обох [1; 26]: переговорна рамка і фінансові інструменти (Ukraine Facility) містять жорсткі умови, тоді як участь у програмах ЄС і платформах співпраці сприяє «соціалізації» адміністрацій і громадянського суспільства в європейських практиках управління.</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6. Принципи субсидіарності, пропорційності, прозорості та підзвітності в управлінні ЄС</w:t>
      </w:r>
    </w:p>
    <w:p>
      <w:pPr>
        <w:pStyle w:val="Heading2"/>
        <w:keepNext/>
        <w:spacing w:after="120" w:before="240" w:line="300"/>
      </w:pPr>
      <w:r>
        <w:rPr>
          <w:rFonts w:ascii="Times New Roman" w:cs="Times New Roman" w:eastAsia="Times New Roman" w:hAnsi="Times New Roman"/>
          <w:b/>
          <w:bCs/>
          <w:color w:val="1F3864"/>
          <w:sz w:val="28"/>
          <w:szCs w:val="28"/>
        </w:rPr>
        <w:t xml:space="preserve">6.1. Субсидіарність і пропорційність</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Субсидіарність</w:t>
      </w:r>
      <w:r>
        <w:rPr>
          <w:rFonts w:ascii="Times New Roman" w:cs="Times New Roman" w:eastAsia="Times New Roman" w:hAnsi="Times New Roman"/>
          <w:sz w:val="26"/>
          <w:szCs w:val="26"/>
        </w:rPr>
        <w:t xml:space="preserve"> (ст. 5(3) ДЄС): у сферах, які не належать до його виключної компетенції, Союз діє лише тоді й настільки, наскільки цілі передбачуваної дії не можуть бути достатньою мірою досягнуті державами-членами на центральному, регіональному чи місцевому рівні, але з огляду на масштаби чи наслідки дії можуть бути краще досягнуті на рівні Союзу.</w:t>
      </w:r>
    </w:p>
    <w:p>
      <w:pPr>
        <w:pBdr>
          <w:left w:val="single" w:color="2E5597" w:sz="24" w:space="6"/>
        </w:pBdr>
        <w:shd w:fill="EEF3FA" w:color="auto" w:val="clear"/>
        <w:spacing w:after="80" w:before="80" w:line="300"/>
        <w:ind w:left="284" w:right="142"/>
        <w:jc w:val="both"/>
      </w:pPr>
      <w:r>
        <w:rPr>
          <w:rFonts w:ascii="Times New Roman" w:cs="Times New Roman" w:eastAsia="Times New Roman" w:hAnsi="Times New Roman"/>
          <w:b/>
          <w:bCs/>
          <w:sz w:val="26"/>
          <w:szCs w:val="26"/>
        </w:rPr>
        <w:t xml:space="preserve">Пропорційність</w:t>
      </w:r>
      <w:r>
        <w:rPr>
          <w:rFonts w:ascii="Times New Roman" w:cs="Times New Roman" w:eastAsia="Times New Roman" w:hAnsi="Times New Roman"/>
          <w:sz w:val="26"/>
          <w:szCs w:val="26"/>
        </w:rPr>
        <w:t xml:space="preserve"> (ст. 5(4) ДЄС): зміст і форма дій Союзу не повинні виходити за межі того, що є необхідним для досягнення цілей Договорів.</w:t>
      </w:r>
    </w:p>
    <w:p>
      <w:pPr>
        <w:spacing w:after="0" w:line="360"/>
        <w:ind w:firstLine="709"/>
        <w:jc w:val="both"/>
      </w:pPr>
      <w:r>
        <w:rPr>
          <w:rFonts w:ascii="Times New Roman" w:cs="Times New Roman" w:eastAsia="Times New Roman" w:hAnsi="Times New Roman"/>
          <w:sz w:val="28"/>
          <w:szCs w:val="28"/>
        </w:rPr>
        <w:t xml:space="preserve">Субсидіарність передбачає </w:t>
      </w:r>
      <w:r>
        <w:rPr>
          <w:rFonts w:ascii="Times New Roman" w:cs="Times New Roman" w:eastAsia="Times New Roman" w:hAnsi="Times New Roman"/>
          <w:i/>
          <w:iCs/>
          <w:sz w:val="28"/>
          <w:szCs w:val="28"/>
        </w:rPr>
        <w:t xml:space="preserve">подвійний тест</w:t>
      </w:r>
      <w:r>
        <w:rPr>
          <w:rFonts w:ascii="Times New Roman" w:cs="Times New Roman" w:eastAsia="Times New Roman" w:hAnsi="Times New Roman"/>
          <w:sz w:val="28"/>
          <w:szCs w:val="28"/>
        </w:rPr>
        <w:t xml:space="preserve">: (1) тест необхідності (чи недостатні дії держав?); (2) тест доданої вартості (чи кращий результат на рівні ЄС?). Саме логіка «доданої європейської вартості» (European added value) лежить в основі вимоги до проєктів ЄС демонструвати транснаціональний характер і результати, які неможливо досягти на національному рівні (тема 8 курсу).</w:t>
      </w:r>
    </w:p>
    <w:p>
      <w:pPr>
        <w:spacing w:after="0" w:line="360"/>
        <w:ind w:firstLine="709"/>
        <w:jc w:val="both"/>
      </w:pPr>
      <w:r>
        <w:rPr>
          <w:rFonts w:ascii="Times New Roman" w:cs="Times New Roman" w:eastAsia="Times New Roman" w:hAnsi="Times New Roman"/>
          <w:sz w:val="28"/>
          <w:szCs w:val="28"/>
        </w:rPr>
        <w:t xml:space="preserve">Контроль за дотриманням субсидіарності здійснюють національні парламенти відповідно до Протоколу № 2 [13]:</w:t>
      </w:r>
    </w:p>
    <w:p>
      <w:pPr>
        <w:pStyle w:val="ListParagraph"/>
        <w:numPr>
          <w:ilvl w:val="0"/>
          <w:numId w:val="2"/>
        </w:numPr>
        <w:spacing w:after="0" w:line="360"/>
        <w:jc w:val="both"/>
      </w:pPr>
      <w:r>
        <w:rPr>
          <w:rFonts w:ascii="Times New Roman" w:cs="Times New Roman" w:eastAsia="Times New Roman" w:hAnsi="Times New Roman"/>
          <w:sz w:val="28"/>
          <w:szCs w:val="28"/>
        </w:rPr>
        <w:t xml:space="preserve">кожна законодавча пропозиція надсилається національним парламентам, які протягом </w:t>
      </w:r>
      <w:r>
        <w:rPr>
          <w:rFonts w:ascii="Times New Roman" w:cs="Times New Roman" w:eastAsia="Times New Roman" w:hAnsi="Times New Roman"/>
          <w:b/>
          <w:bCs/>
          <w:sz w:val="28"/>
          <w:szCs w:val="28"/>
        </w:rPr>
        <w:t xml:space="preserve">8 тижнів</w:t>
      </w:r>
      <w:r>
        <w:rPr>
          <w:rFonts w:ascii="Times New Roman" w:cs="Times New Roman" w:eastAsia="Times New Roman" w:hAnsi="Times New Roman"/>
          <w:sz w:val="28"/>
          <w:szCs w:val="28"/>
        </w:rPr>
        <w:t xml:space="preserve"> можуть надіслати </w:t>
      </w:r>
      <w:r>
        <w:rPr>
          <w:rFonts w:ascii="Times New Roman" w:cs="Times New Roman" w:eastAsia="Times New Roman" w:hAnsi="Times New Roman"/>
          <w:i/>
          <w:iCs/>
          <w:sz w:val="28"/>
          <w:szCs w:val="28"/>
        </w:rPr>
        <w:t xml:space="preserve">мотивований висновок</w:t>
      </w:r>
      <w:r>
        <w:rPr>
          <w:rFonts w:ascii="Times New Roman" w:cs="Times New Roman" w:eastAsia="Times New Roman" w:hAnsi="Times New Roman"/>
          <w:sz w:val="28"/>
          <w:szCs w:val="28"/>
        </w:rPr>
        <w:t xml:space="preserve">;</w:t>
      </w:r>
    </w:p>
    <w:p>
      <w:pPr>
        <w:pStyle w:val="ListParagraph"/>
        <w:numPr>
          <w:ilvl w:val="0"/>
          <w:numId w:val="2"/>
        </w:numPr>
        <w:spacing w:after="0" w:line="360"/>
        <w:jc w:val="both"/>
      </w:pPr>
      <w:r>
        <w:rPr>
          <w:rFonts w:ascii="Times New Roman" w:cs="Times New Roman" w:eastAsia="Times New Roman" w:hAnsi="Times New Roman"/>
          <w:sz w:val="28"/>
          <w:szCs w:val="28"/>
        </w:rPr>
        <w:t xml:space="preserve">кожен національний парламент має 2 голоси (у двопалатних парламентах — по одному на палату), усього — 54 голоси;</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«жовта картка»</w:t>
      </w:r>
      <w:r>
        <w:rPr>
          <w:rFonts w:ascii="Times New Roman" w:cs="Times New Roman" w:eastAsia="Times New Roman" w:hAnsi="Times New Roman"/>
          <w:sz w:val="28"/>
          <w:szCs w:val="28"/>
        </w:rPr>
        <w:t xml:space="preserve">: якщо висновки становлять щонайменше третину голосів (18 з 54; для пропозицій у сфері простору свободи, безпеки і юстиції — чверть, тобто 14), пропозицію має бути переглянуто; ініціатор може зберегти, змінити або відкликати її з обґрунтуванням;</w:t>
      </w:r>
    </w:p>
    <w:p>
      <w:pPr>
        <w:pStyle w:val="ListParagraph"/>
        <w:numPr>
          <w:ilvl w:val="0"/>
          <w:numId w:val="2"/>
        </w:numPr>
        <w:spacing w:after="0" w:line="360"/>
        <w:jc w:val="both"/>
      </w:pPr>
      <w:r>
        <w:rPr>
          <w:rFonts w:ascii="Times New Roman" w:cs="Times New Roman" w:eastAsia="Times New Roman" w:hAnsi="Times New Roman"/>
          <w:b/>
          <w:bCs/>
          <w:sz w:val="28"/>
          <w:szCs w:val="28"/>
        </w:rPr>
        <w:t xml:space="preserve">«помаранчева картка»</w:t>
      </w:r>
      <w:r>
        <w:rPr>
          <w:rFonts w:ascii="Times New Roman" w:cs="Times New Roman" w:eastAsia="Times New Roman" w:hAnsi="Times New Roman"/>
          <w:sz w:val="28"/>
          <w:szCs w:val="28"/>
        </w:rPr>
        <w:t xml:space="preserve">: у звичайній законодавчій процедурі, якщо висновки становлять просту більшість голосів (28 з 54) і Комісія зберігає пропозицію, Парламент (більшістю поданих голосів) або Рада (55 % членів) можуть припинити її розгляд;</w:t>
      </w:r>
    </w:p>
    <w:p>
      <w:pPr>
        <w:pStyle w:val="ListParagraph"/>
        <w:numPr>
          <w:ilvl w:val="0"/>
          <w:numId w:val="2"/>
        </w:numPr>
        <w:spacing w:after="0" w:line="360"/>
        <w:jc w:val="both"/>
      </w:pPr>
      <w:r>
        <w:rPr>
          <w:rFonts w:ascii="Times New Roman" w:cs="Times New Roman" w:eastAsia="Times New Roman" w:hAnsi="Times New Roman"/>
          <w:sz w:val="28"/>
          <w:szCs w:val="28"/>
        </w:rPr>
        <w:t xml:space="preserve">наступний судовий контроль: держава-член (від імені національного парламенту) або Комітет регіонів можуть звернутися до Суду ЄС (ст. 8 Протоколу № 2).</w:t>
      </w:r>
    </w:p>
    <w:p>
      <w:pPr>
        <w:spacing w:after="0" w:line="360"/>
        <w:ind w:firstLine="709"/>
        <w:jc w:val="both"/>
      </w:pPr>
      <w:r>
        <w:rPr>
          <w:rFonts w:ascii="Times New Roman" w:cs="Times New Roman" w:eastAsia="Times New Roman" w:hAnsi="Times New Roman"/>
          <w:sz w:val="28"/>
          <w:szCs w:val="28"/>
        </w:rPr>
        <w:t xml:space="preserve">«Жовту картку» застосовували тричі: щодо пропозиції про право на колективні дії (Monti II, 2012 — відкликано), Європейської прокуратури (2013 — збережено) та перегляду Директиви про відрядження працівників (2016 — збережено). «Помаранчева картка» жодного разу не застосовувалася.</w:t>
      </w:r>
    </w:p>
    <w:p>
      <w:pPr>
        <w:pStyle w:val="Heading2"/>
        <w:keepNext/>
        <w:spacing w:after="120" w:before="240" w:line="300"/>
      </w:pPr>
      <w:r>
        <w:rPr>
          <w:rFonts w:ascii="Times New Roman" w:cs="Times New Roman" w:eastAsia="Times New Roman" w:hAnsi="Times New Roman"/>
          <w:b/>
          <w:bCs/>
          <w:color w:val="1F3864"/>
          <w:sz w:val="28"/>
          <w:szCs w:val="28"/>
        </w:rPr>
        <w:t xml:space="preserve">6.2. Прозорість</w:t>
      </w:r>
    </w:p>
    <w:p>
      <w:pPr>
        <w:spacing w:after="0" w:line="360"/>
        <w:ind w:firstLine="709"/>
        <w:jc w:val="both"/>
      </w:pPr>
      <w:r>
        <w:rPr>
          <w:rFonts w:ascii="Times New Roman" w:cs="Times New Roman" w:eastAsia="Times New Roman" w:hAnsi="Times New Roman"/>
          <w:sz w:val="28"/>
          <w:szCs w:val="28"/>
        </w:rPr>
        <w:t xml:space="preserve">Згідно зі ст. 1 ДЄС, рішення в Союзі ухвалюються якомога відкритіше і якомога ближче до громадян. Стаття 15 ДФЄС закріплює право доступу до документів інституцій (деталізоване Регламентом (ЄС) № 1049/2001) і публічність законодавчих засідань Парламенту і Ради. Інструментами прозорості є: обов’язковий Реєстр прозорості (Міжінституційна угода від 20 травня 2021 р.), портал консультацій «Have Your Say», законодавча обсерваторія Парламенту (OEIL), EUR-Lex. У сфері фінансів ЄС прозорість забезпечують бази даних одержувачів коштів: Financial Transparency System (для коштів прямого управління), Kohesio (проєкти політики згуртованості), CORDIS (дослідницькі проєкти), Erasmus+ Project Results Platform. Ці бази є цінним джерелом для аналізу успішних проєктів і пошуку партнерів.</w:t>
      </w:r>
    </w:p>
    <w:p>
      <w:pPr>
        <w:pStyle w:val="Heading2"/>
        <w:keepNext/>
        <w:spacing w:after="120" w:before="240" w:line="300"/>
      </w:pPr>
      <w:r>
        <w:rPr>
          <w:rFonts w:ascii="Times New Roman" w:cs="Times New Roman" w:eastAsia="Times New Roman" w:hAnsi="Times New Roman"/>
          <w:b/>
          <w:bCs/>
          <w:color w:val="1F3864"/>
          <w:sz w:val="28"/>
          <w:szCs w:val="28"/>
        </w:rPr>
        <w:t xml:space="preserve">6.3. Підзвітність і «краще регулювання»</w:t>
      </w:r>
    </w:p>
    <w:p>
      <w:pPr>
        <w:spacing w:after="0" w:line="360"/>
        <w:ind w:firstLine="709"/>
        <w:jc w:val="both"/>
      </w:pPr>
      <w:r>
        <w:rPr>
          <w:rFonts w:ascii="Times New Roman" w:cs="Times New Roman" w:eastAsia="Times New Roman" w:hAnsi="Times New Roman"/>
          <w:sz w:val="28"/>
          <w:szCs w:val="28"/>
        </w:rPr>
        <w:t xml:space="preserve">Підзвітність в ЄС має кілька вимірів:</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політична</w:t>
      </w:r>
      <w:r>
        <w:rPr>
          <w:rFonts w:ascii="Times New Roman" w:cs="Times New Roman" w:eastAsia="Times New Roman" w:hAnsi="Times New Roman"/>
          <w:sz w:val="28"/>
          <w:szCs w:val="28"/>
        </w:rPr>
        <w:t xml:space="preserve">: Комісія підзвітна Парламенту (вотум недовіри, запитання, слухання); члени Ради — національним парламентам;</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фінансова</w:t>
      </w:r>
      <w:r>
        <w:rPr>
          <w:rFonts w:ascii="Times New Roman" w:cs="Times New Roman" w:eastAsia="Times New Roman" w:hAnsi="Times New Roman"/>
          <w:sz w:val="28"/>
          <w:szCs w:val="28"/>
        </w:rPr>
        <w:t xml:space="preserve">: процедура звільнення від відповідальності за виконання бюджету (ст. 319 ДФЄС); аудит Рахункової палати; розслідування OLAF; кримінальне переслідування Європейською прокуратурою; принцип належного фінансового управління (Фінансовий регламент (ЄС, Євратом) 2024/2509);</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правова</w:t>
      </w:r>
      <w:r>
        <w:rPr>
          <w:rFonts w:ascii="Times New Roman" w:cs="Times New Roman" w:eastAsia="Times New Roman" w:hAnsi="Times New Roman"/>
          <w:sz w:val="28"/>
          <w:szCs w:val="28"/>
        </w:rPr>
        <w:t xml:space="preserve">: судовий контроль Суду ЄС;</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адміністративна</w:t>
      </w:r>
      <w:r>
        <w:rPr>
          <w:rFonts w:ascii="Times New Roman" w:cs="Times New Roman" w:eastAsia="Times New Roman" w:hAnsi="Times New Roman"/>
          <w:sz w:val="28"/>
          <w:szCs w:val="28"/>
        </w:rPr>
        <w:t xml:space="preserve">: скарги до Європейського омбудсмана;</w:t>
      </w:r>
    </w:p>
    <w:p>
      <w:pPr>
        <w:pStyle w:val="ListParagraph"/>
        <w:numPr>
          <w:ilvl w:val="0"/>
          <w:numId w:val="2"/>
        </w:numPr>
        <w:spacing w:after="0" w:line="360"/>
        <w:jc w:val="both"/>
      </w:pPr>
      <w:r>
        <w:rPr>
          <w:rFonts w:ascii="Times New Roman" w:cs="Times New Roman" w:eastAsia="Times New Roman" w:hAnsi="Times New Roman"/>
          <w:i/>
          <w:iCs/>
          <w:sz w:val="28"/>
          <w:szCs w:val="28"/>
        </w:rPr>
        <w:t xml:space="preserve">громадська</w:t>
      </w:r>
      <w:r>
        <w:rPr>
          <w:rFonts w:ascii="Times New Roman" w:cs="Times New Roman" w:eastAsia="Times New Roman" w:hAnsi="Times New Roman"/>
          <w:sz w:val="28"/>
          <w:szCs w:val="28"/>
        </w:rPr>
        <w:t xml:space="preserve">: Європейська громадянська ініціатива (ст. 11(4) ДЄС; щонайменше 1 млн громадян з не менш ніж семи держав-членів).</w:t>
      </w:r>
    </w:p>
    <w:p>
      <w:pPr>
        <w:spacing w:after="0" w:line="360"/>
        <w:ind w:firstLine="709"/>
        <w:jc w:val="both"/>
      </w:pPr>
      <w:r>
        <w:rPr>
          <w:rFonts w:ascii="Times New Roman" w:cs="Times New Roman" w:eastAsia="Times New Roman" w:hAnsi="Times New Roman"/>
          <w:sz w:val="28"/>
          <w:szCs w:val="28"/>
        </w:rPr>
        <w:t xml:space="preserve">Якість процесу ухвалення рішень забезпечує політика </w:t>
      </w:r>
      <w:r>
        <w:rPr>
          <w:rFonts w:ascii="Times New Roman" w:cs="Times New Roman" w:eastAsia="Times New Roman" w:hAnsi="Times New Roman"/>
          <w:b/>
          <w:bCs/>
          <w:sz w:val="28"/>
          <w:szCs w:val="28"/>
        </w:rPr>
        <w:t xml:space="preserve">«кращого регулювання»</w:t>
      </w:r>
      <w:r>
        <w:rPr>
          <w:rFonts w:ascii="Times New Roman" w:cs="Times New Roman" w:eastAsia="Times New Roman" w:hAnsi="Times New Roman"/>
          <w:sz w:val="28"/>
          <w:szCs w:val="28"/>
        </w:rPr>
        <w:t xml:space="preserve">: Міжінституційна угода про краще законотворення від 13 квітня 2016 р. та Повідомлення Комісії COM(2021) 219 передбачають оцінку впливу, незалежний контроль Ради з контролю якості регулювання (Regulatory Scrutiny Board), принцип «спочатку оцінка», підхід «один прийшов — один пішов» (one in, one out). З 2025 р. цей підхід доповнено програмою спрощення законодавства («омнібусні» пакети), що є одним із наскрізних пріоритетів Робочої програми Комісії на 2026 р.</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7. Вплив рішень ЄС на розвиток міжнародних економічних відносин України</w:t>
      </w:r>
    </w:p>
    <w:p>
      <w:pPr>
        <w:spacing w:after="0" w:line="360"/>
        <w:ind w:firstLine="709"/>
        <w:jc w:val="both"/>
      </w:pPr>
      <w:r>
        <w:rPr>
          <w:rFonts w:ascii="Times New Roman" w:cs="Times New Roman" w:eastAsia="Times New Roman" w:hAnsi="Times New Roman"/>
          <w:sz w:val="28"/>
          <w:szCs w:val="28"/>
        </w:rPr>
        <w:t xml:space="preserve">Рішення ЄС впливають на міжнародні економічні відносини України через кілька взаємопов’язаних каналів (табл. 3.6). Для аналітика важливо ідентифікувати </w:t>
      </w:r>
      <w:r>
        <w:rPr>
          <w:rFonts w:ascii="Times New Roman" w:cs="Times New Roman" w:eastAsia="Times New Roman" w:hAnsi="Times New Roman"/>
          <w:i/>
          <w:iCs/>
          <w:sz w:val="28"/>
          <w:szCs w:val="28"/>
        </w:rPr>
        <w:t xml:space="preserve">інституцію</w:t>
      </w:r>
      <w:r>
        <w:rPr>
          <w:rFonts w:ascii="Times New Roman" w:cs="Times New Roman" w:eastAsia="Times New Roman" w:hAnsi="Times New Roman"/>
          <w:sz w:val="28"/>
          <w:szCs w:val="28"/>
        </w:rPr>
        <w:t xml:space="preserve">, </w:t>
      </w:r>
      <w:r>
        <w:rPr>
          <w:rFonts w:ascii="Times New Roman" w:cs="Times New Roman" w:eastAsia="Times New Roman" w:hAnsi="Times New Roman"/>
          <w:i/>
          <w:iCs/>
          <w:sz w:val="28"/>
          <w:szCs w:val="28"/>
        </w:rPr>
        <w:t xml:space="preserve">процедуру</w:t>
      </w:r>
      <w:r>
        <w:rPr>
          <w:rFonts w:ascii="Times New Roman" w:cs="Times New Roman" w:eastAsia="Times New Roman" w:hAnsi="Times New Roman"/>
          <w:sz w:val="28"/>
          <w:szCs w:val="28"/>
        </w:rPr>
        <w:t xml:space="preserve"> і </w:t>
      </w:r>
      <w:r>
        <w:rPr>
          <w:rFonts w:ascii="Times New Roman" w:cs="Times New Roman" w:eastAsia="Times New Roman" w:hAnsi="Times New Roman"/>
          <w:i/>
          <w:iCs/>
          <w:sz w:val="28"/>
          <w:szCs w:val="28"/>
        </w:rPr>
        <w:t xml:space="preserve">правову форму</w:t>
      </w:r>
      <w:r>
        <w:rPr>
          <w:rFonts w:ascii="Times New Roman" w:cs="Times New Roman" w:eastAsia="Times New Roman" w:hAnsi="Times New Roman"/>
          <w:sz w:val="28"/>
          <w:szCs w:val="28"/>
        </w:rPr>
        <w:t xml:space="preserve"> кожного рішення — це дає змогу прогнозувати його стабільність, строки і можливості впливу.</w:t>
      </w:r>
    </w:p>
    <w:p>
      <w:pPr>
        <w:keepNext/>
        <w:spacing w:after="40" w:before="120" w:line="276"/>
        <w:jc w:val="right"/>
      </w:pPr>
      <w:r>
        <w:rPr>
          <w:rFonts w:ascii="Times New Roman" w:cs="Times New Roman" w:eastAsia="Times New Roman" w:hAnsi="Times New Roman"/>
          <w:i/>
          <w:iCs/>
          <w:sz w:val="26"/>
          <w:szCs w:val="26"/>
        </w:rPr>
        <w:t xml:space="preserve">Таблиця 3.6</w:t>
      </w:r>
    </w:p>
    <w:p>
      <w:pPr>
        <w:keepNext/>
        <w:spacing w:after="80" w:before="0" w:line="276"/>
        <w:jc w:val="center"/>
      </w:pPr>
      <w:r>
        <w:rPr>
          <w:rFonts w:ascii="Times New Roman" w:cs="Times New Roman" w:eastAsia="Times New Roman" w:hAnsi="Times New Roman"/>
          <w:b/>
          <w:bCs/>
          <w:sz w:val="26"/>
          <w:szCs w:val="26"/>
        </w:rPr>
        <w:t xml:space="preserve">Канали впливу рішень ЄС на міжнародні економічні відносини України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53"/>
        <w:gridCol w:w="2740"/>
        <w:gridCol w:w="2274"/>
        <w:gridCol w:w="2771"/>
      </w:tblGrid>
      <w:tr>
        <w:trPr>
          <w:tblHeader/>
        </w:trPr>
        <w:tc>
          <w:tcPr>
            <w:tcW w:type="dxa" w:w="185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Канал впливу</w:t>
            </w:r>
          </w:p>
        </w:tc>
        <w:tc>
          <w:tcPr>
            <w:tcW w:type="dxa" w:w="2740"/>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Рішення ЄС (приклади)</w:t>
            </w:r>
          </w:p>
        </w:tc>
        <w:tc>
          <w:tcPr>
            <w:tcW w:type="dxa" w:w="227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Ухвалювач і процедура</w:t>
            </w:r>
          </w:p>
        </w:tc>
        <w:tc>
          <w:tcPr>
            <w:tcW w:type="dxa" w:w="277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Економічні наслідки для України</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Торговельний режим</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Автономні торговельні заходи (червень 2022 — 5 червня 2025 р.); оновлені умови ПВЗВТ за ст. 29 Угоди про асоціацію (чинні з 29.10.2025)</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Регламенти Парламенту і Ради (звичайна процедура); рішення Ради асоціації за мандатом Ради ЄС</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Стабілізація доступу на ринок ЄС; розширені тарифні квоти в обмін на поетапне наближення до виробничих стандартів ЄС; захисне застереження</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Регуляторний</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Механізм CBAM (Регламент (ЄС) 2023/956; остаточний режим з 1.01.2026); технічні регламенти, стандарти ЄС</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Звичайна законодавча процедура; делеговані та виконавчі акти Комісії</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Додаткові витрати експортерів сталі, добрив, алюмінію, цементу, електроенергії; стимул до декарбонізації</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Фінансовий</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Ukraine Facility (Регламент (ЄС) 2024/792); позика ЄС на 2026–2027 рр. (90 млрд євро); інструменти ЄІБ</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Звичайна процедура; рішення Ради про виплати; висновки Європейської Ради</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Макрофінансова стабільність, фінансування відбудови, умовність реформ</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Секторна інтеграція</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Синхронізація енергосистеми з ENTSO-E (2022); спільний транзит (2022); «роумінг як удома» (з 1.01.2026)</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Ради асоціації, міжнародні угоди, рішення операторів систем</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Зниження транзакційних витрат, інтеграція ринків енергії, транспорту, телекомунікацій</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Санкційний</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Пакети обмежувальних заходів проти РФ (20 пакетів станом на червень 2026 р.)</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Рішення Ради (СЗБП, одностайно) та регламенти за ст. 215 ДФЄС</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Обмеження ресурсів агресора; зміна логістики та ринків збуту</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Інтеграційний (вступ)</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Відкриття кластерів 1 (15.06.2026) і 6 (14.07.2026)</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Рада ЄС одностайно на міжурядовій конференції</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Регуляторна конвергенція, зростання інвестиційної привабливості, очікування доступу до політик і фондів ЄС</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Програмний</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Асоціація України до Horizon Europe, Creative Europe, Single Market Programme, Digital Europe, EU4Health, CEF тощо</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Міжнародні угоди (рішення Ради, згода Парламенту за потреби)</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Доступ українських організацій до грантів нарівні з державами-членами; розвиток людського капіталу та інноваційних мереж</w:t>
            </w:r>
          </w:p>
        </w:tc>
      </w:tr>
      <w:tr>
        <w:trPr>
          <w:tblHeader w:val="false"/>
        </w:trPr>
        <w:tc>
          <w:tcPr>
            <w:tcW w:type="dxa" w:w="185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Людський капітал</w:t>
            </w:r>
          </w:p>
        </w:tc>
        <w:tc>
          <w:tcPr>
            <w:tcW w:type="dxa" w:w="2740"/>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Тимчасовий захист для громадян України (продовжено до 4 березня 2027 р.)</w:t>
            </w:r>
          </w:p>
        </w:tc>
        <w:tc>
          <w:tcPr>
            <w:tcW w:type="dxa" w:w="227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Імплементаційне рішення Ради (кваліфікованою більшістю)</w:t>
            </w:r>
          </w:p>
        </w:tc>
        <w:tc>
          <w:tcPr>
            <w:tcW w:type="dxa" w:w="277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Вплив на ринок праці, грошові перекази, людський капітал для відновлення</w:t>
            </w:r>
          </w:p>
        </w:tc>
      </w:tr>
    </w:tbl>
    <w:p>
      <w:pPr>
        <w:spacing w:after="60" w:before="0" w:line="240"/>
      </w:pPr>
    </w:p>
    <w:p>
      <w:pPr>
        <w:spacing w:after="120" w:before="0" w:line="240"/>
        <w:jc w:val="left"/>
      </w:pPr>
      <w:r>
        <w:rPr>
          <w:rFonts w:ascii="Times New Roman" w:cs="Times New Roman" w:eastAsia="Times New Roman" w:hAnsi="Times New Roman"/>
          <w:i/>
          <w:iCs/>
          <w:sz w:val="22"/>
          <w:szCs w:val="22"/>
        </w:rPr>
        <w:t xml:space="preserve">Джерело: складено автором на основі [12; 23–27].</w:t>
      </w:r>
    </w:p>
    <w:p>
      <w:pPr>
        <w:spacing w:after="0" w:line="360"/>
        <w:ind w:firstLine="709"/>
        <w:jc w:val="both"/>
      </w:pPr>
      <w:r>
        <w:rPr>
          <w:rFonts w:ascii="Times New Roman" w:cs="Times New Roman" w:eastAsia="Times New Roman" w:hAnsi="Times New Roman"/>
          <w:sz w:val="28"/>
          <w:szCs w:val="28"/>
        </w:rPr>
        <w:t xml:space="preserve">Аналіз засвідчує, що вплив ЄС на міжнародні економічні відносини України має </w:t>
      </w:r>
      <w:r>
        <w:rPr>
          <w:rFonts w:ascii="Times New Roman" w:cs="Times New Roman" w:eastAsia="Times New Roman" w:hAnsi="Times New Roman"/>
          <w:i/>
          <w:iCs/>
          <w:sz w:val="28"/>
          <w:szCs w:val="28"/>
        </w:rPr>
        <w:t xml:space="preserve">системний</w:t>
      </w:r>
      <w:r>
        <w:rPr>
          <w:rFonts w:ascii="Times New Roman" w:cs="Times New Roman" w:eastAsia="Times New Roman" w:hAnsi="Times New Roman"/>
          <w:sz w:val="28"/>
          <w:szCs w:val="28"/>
        </w:rPr>
        <w:t xml:space="preserve"> характер і виходить далеко за межі торгівлі. Водночас він асиметричний: Україна переважно є «отримувачем правил» (rule-taker), а її можливості впливати на рішення ЄС до вступу обмежені консультаціями в межах асоціації та переговорного процесу. Тому стратегічним завданням для українських органів влади, бізнесу, закладів вищої освіти та громад є </w:t>
      </w:r>
      <w:r>
        <w:rPr>
          <w:rFonts w:ascii="Times New Roman" w:cs="Times New Roman" w:eastAsia="Times New Roman" w:hAnsi="Times New Roman"/>
          <w:i/>
          <w:iCs/>
          <w:sz w:val="28"/>
          <w:szCs w:val="28"/>
        </w:rPr>
        <w:t xml:space="preserve">проактивна</w:t>
      </w:r>
      <w:r>
        <w:rPr>
          <w:rFonts w:ascii="Times New Roman" w:cs="Times New Roman" w:eastAsia="Times New Roman" w:hAnsi="Times New Roman"/>
          <w:sz w:val="28"/>
          <w:szCs w:val="28"/>
        </w:rPr>
        <w:t xml:space="preserve"> участь у консультаціях ЄС, мережах і програмах, що дає змогу не лише адаптуватися до правил, а й впливати на їх формування через європейських партнерів.</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Висновки</w:t>
      </w:r>
    </w:p>
    <w:p>
      <w:pPr>
        <w:spacing w:after="0" w:line="360"/>
        <w:ind w:firstLine="709"/>
        <w:jc w:val="both"/>
      </w:pPr>
      <w:r>
        <w:rPr>
          <w:rFonts w:ascii="Times New Roman" w:cs="Times New Roman" w:eastAsia="Times New Roman" w:hAnsi="Times New Roman"/>
          <w:sz w:val="28"/>
          <w:szCs w:val="28"/>
        </w:rPr>
        <w:t xml:space="preserve">1. Система компетенцій ЄС (ст. 2–6 ДФЄС) визначає межі та інструменти дій Союзу; у сферах підтримувальної компетенції (освіта, культура, молодь) гармонізація виключена, тому фінансові програми є головним інструментом політики ЄС.</w:t>
      </w:r>
    </w:p>
    <w:p>
      <w:pPr>
        <w:spacing w:after="0" w:line="360"/>
        <w:ind w:firstLine="709"/>
        <w:jc w:val="both"/>
      </w:pPr>
      <w:r>
        <w:rPr>
          <w:rFonts w:ascii="Times New Roman" w:cs="Times New Roman" w:eastAsia="Times New Roman" w:hAnsi="Times New Roman"/>
          <w:sz w:val="28"/>
          <w:szCs w:val="28"/>
        </w:rPr>
        <w:t xml:space="preserve">2. Звичайна законодавча процедура є основною процедурою ухвалення законодавства ЄС; на практиці переважна більшість актів узгоджується в першому або ранньому другому читанні через трилоги. Спеціальні процедури (консультації, згода) застосовуються в чутливих сферах, зокрема для БФР і власних ресурсів.</w:t>
      </w:r>
    </w:p>
    <w:p>
      <w:pPr>
        <w:spacing w:after="0" w:line="360"/>
        <w:ind w:firstLine="709"/>
        <w:jc w:val="both"/>
      </w:pPr>
      <w:r>
        <w:rPr>
          <w:rFonts w:ascii="Times New Roman" w:cs="Times New Roman" w:eastAsia="Times New Roman" w:hAnsi="Times New Roman"/>
          <w:sz w:val="28"/>
          <w:szCs w:val="28"/>
        </w:rPr>
        <w:t xml:space="preserve">3. Робочі програми фінансових програм ЄС ухвалюються як виконавчі акти за участі комітетів держав-членів, що робить етап програмування ключовою точкою формування пріоритетів конкурсів.</w:t>
      </w:r>
    </w:p>
    <w:p>
      <w:pPr>
        <w:spacing w:after="0" w:line="360"/>
        <w:ind w:firstLine="709"/>
        <w:jc w:val="both"/>
      </w:pPr>
      <w:r>
        <w:rPr>
          <w:rFonts w:ascii="Times New Roman" w:cs="Times New Roman" w:eastAsia="Times New Roman" w:hAnsi="Times New Roman"/>
          <w:sz w:val="28"/>
          <w:szCs w:val="28"/>
        </w:rPr>
        <w:t xml:space="preserve">4. Стратегічне планування ЄС є багаторівневим: Стратегічний порядок денний Європейської Ради → Політичні настанови та Робоча програма Комісії → спільні законодавчі пріоритети → секторні стратегії → регламенти програм → робочі програми → конкурси.</w:t>
      </w:r>
    </w:p>
    <w:p>
      <w:pPr>
        <w:spacing w:after="0" w:line="360"/>
        <w:ind w:firstLine="709"/>
        <w:jc w:val="both"/>
      </w:pPr>
      <w:r>
        <w:rPr>
          <w:rFonts w:ascii="Times New Roman" w:cs="Times New Roman" w:eastAsia="Times New Roman" w:hAnsi="Times New Roman"/>
          <w:sz w:val="28"/>
          <w:szCs w:val="28"/>
        </w:rPr>
        <w:t xml:space="preserve">5. Координація політик поєднує жорсткі (правові, фінансові умови) і м’які (Європейський семестр, відкритий метод координації) механізми; для України координація здійснюється через інституції асоціації, переговорну рамку та Ukraine Facility.</w:t>
      </w:r>
    </w:p>
    <w:p>
      <w:pPr>
        <w:spacing w:after="0" w:line="360"/>
        <w:ind w:firstLine="709"/>
        <w:jc w:val="both"/>
      </w:pPr>
      <w:r>
        <w:rPr>
          <w:rFonts w:ascii="Times New Roman" w:cs="Times New Roman" w:eastAsia="Times New Roman" w:hAnsi="Times New Roman"/>
          <w:sz w:val="28"/>
          <w:szCs w:val="28"/>
        </w:rPr>
        <w:t xml:space="preserve">6. Субсидіарність, пропорційність, прозорість і підзвітність є не лише принципами управління, а й критеріями, що безпосередньо впливають на дизайн і оцінювання проєктів ЄС (додана європейська вартість, прозорість видатків, належне фінансове управління).</w:t>
      </w:r>
    </w:p>
    <w:p>
      <w:pPr>
        <w:spacing w:after="0" w:line="360"/>
        <w:ind w:firstLine="709"/>
        <w:jc w:val="both"/>
      </w:pPr>
      <w:r>
        <w:rPr>
          <w:rFonts w:ascii="Times New Roman" w:cs="Times New Roman" w:eastAsia="Times New Roman" w:hAnsi="Times New Roman"/>
          <w:sz w:val="28"/>
          <w:szCs w:val="28"/>
        </w:rPr>
        <w:t xml:space="preserve">7. Рішення ЄС впливають на міжнародні економічні відносини України через торговельний, регуляторний, фінансовий, секторний, санкційний, інтеграційний і програмний канали.</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Питання для самоконтролю</w:t>
      </w:r>
    </w:p>
    <w:p>
      <w:pPr>
        <w:spacing w:after="60" w:line="300"/>
        <w:ind w:left="567" w:hanging="567"/>
        <w:jc w:val="both"/>
      </w:pPr>
      <w:r>
        <w:rPr>
          <w:rFonts w:ascii="Times New Roman" w:cs="Times New Roman" w:eastAsia="Times New Roman" w:hAnsi="Times New Roman"/>
          <w:sz w:val="26"/>
          <w:szCs w:val="26"/>
        </w:rPr>
        <w:t xml:space="preserve">1. У чому полягає принцип наділення компетенцією і як він пов’язаний із вибором правової основи акта?</w:t>
      </w:r>
    </w:p>
    <w:p>
      <w:pPr>
        <w:spacing w:after="60" w:line="300"/>
        <w:ind w:left="567" w:hanging="567"/>
        <w:jc w:val="both"/>
      </w:pPr>
      <w:r>
        <w:rPr>
          <w:rFonts w:ascii="Times New Roman" w:cs="Times New Roman" w:eastAsia="Times New Roman" w:hAnsi="Times New Roman"/>
          <w:sz w:val="26"/>
          <w:szCs w:val="26"/>
        </w:rPr>
        <w:t xml:space="preserve">2. Порівняйте виключні, спільні та підтримувальні компетенції ЄС. Наведіть приклади.</w:t>
      </w:r>
    </w:p>
    <w:p>
      <w:pPr>
        <w:spacing w:after="60" w:line="300"/>
        <w:ind w:left="567" w:hanging="567"/>
        <w:jc w:val="both"/>
      </w:pPr>
      <w:r>
        <w:rPr>
          <w:rFonts w:ascii="Times New Roman" w:cs="Times New Roman" w:eastAsia="Times New Roman" w:hAnsi="Times New Roman"/>
          <w:sz w:val="26"/>
          <w:szCs w:val="26"/>
        </w:rPr>
        <w:t xml:space="preserve">3. Чому у сферах освіти, молоді та культури фінансові програми є основним інструментом політики ЄС?</w:t>
      </w:r>
    </w:p>
    <w:p>
      <w:pPr>
        <w:spacing w:after="60" w:line="300"/>
        <w:ind w:left="567" w:hanging="567"/>
        <w:jc w:val="both"/>
      </w:pPr>
      <w:r>
        <w:rPr>
          <w:rFonts w:ascii="Times New Roman" w:cs="Times New Roman" w:eastAsia="Times New Roman" w:hAnsi="Times New Roman"/>
          <w:sz w:val="26"/>
          <w:szCs w:val="26"/>
        </w:rPr>
        <w:t xml:space="preserve">4. Опишіть етапи звичайної законодавчої процедури. Яку роль відіграють трилоги?</w:t>
      </w:r>
    </w:p>
    <w:p>
      <w:pPr>
        <w:spacing w:after="60" w:line="300"/>
        <w:ind w:left="567" w:hanging="567"/>
        <w:jc w:val="both"/>
      </w:pPr>
      <w:r>
        <w:rPr>
          <w:rFonts w:ascii="Times New Roman" w:cs="Times New Roman" w:eastAsia="Times New Roman" w:hAnsi="Times New Roman"/>
          <w:sz w:val="26"/>
          <w:szCs w:val="26"/>
        </w:rPr>
        <w:t xml:space="preserve">5. Чим спеціальні законодавчі процедури відрізняються від звичайної? Наведіть приклади їх застосування.</w:t>
      </w:r>
    </w:p>
    <w:p>
      <w:pPr>
        <w:spacing w:after="60" w:line="300"/>
        <w:ind w:left="567" w:hanging="567"/>
        <w:jc w:val="both"/>
      </w:pPr>
      <w:r>
        <w:rPr>
          <w:rFonts w:ascii="Times New Roman" w:cs="Times New Roman" w:eastAsia="Times New Roman" w:hAnsi="Times New Roman"/>
          <w:sz w:val="26"/>
          <w:szCs w:val="26"/>
        </w:rPr>
        <w:t xml:space="preserve">6. Розмежуйте делеговані та виконавчі акти. Що таке комітологія і як вона пов’язана з робочими програмами фінансових програм ЄС?</w:t>
      </w:r>
    </w:p>
    <w:p>
      <w:pPr>
        <w:spacing w:after="60" w:line="300"/>
        <w:ind w:left="567" w:hanging="567"/>
        <w:jc w:val="both"/>
      </w:pPr>
      <w:r>
        <w:rPr>
          <w:rFonts w:ascii="Times New Roman" w:cs="Times New Roman" w:eastAsia="Times New Roman" w:hAnsi="Times New Roman"/>
          <w:sz w:val="26"/>
          <w:szCs w:val="26"/>
        </w:rPr>
        <w:t xml:space="preserve">7. Охарактеризуйте роль Європейської Ради, Комісії, Парламенту і Ради у формуванні стратегічних пріоритетів ЄС.</w:t>
      </w:r>
    </w:p>
    <w:p>
      <w:pPr>
        <w:spacing w:after="60" w:line="300"/>
        <w:ind w:left="567" w:hanging="567"/>
        <w:jc w:val="both"/>
      </w:pPr>
      <w:r>
        <w:rPr>
          <w:rFonts w:ascii="Times New Roman" w:cs="Times New Roman" w:eastAsia="Times New Roman" w:hAnsi="Times New Roman"/>
          <w:sz w:val="26"/>
          <w:szCs w:val="26"/>
        </w:rPr>
        <w:t xml:space="preserve">8. Які пріоритети визначає Стратегічний порядок денний 2024–2029 рр.?</w:t>
      </w:r>
    </w:p>
    <w:p>
      <w:pPr>
        <w:spacing w:after="60" w:line="300"/>
        <w:ind w:left="567" w:hanging="567"/>
        <w:jc w:val="both"/>
      </w:pPr>
      <w:r>
        <w:rPr>
          <w:rFonts w:ascii="Times New Roman" w:cs="Times New Roman" w:eastAsia="Times New Roman" w:hAnsi="Times New Roman"/>
          <w:sz w:val="26"/>
          <w:szCs w:val="26"/>
        </w:rPr>
        <w:t xml:space="preserve">9. Побудуйте ієрархію документів ЄС від установчих договорів до грантової угоди.</w:t>
      </w:r>
    </w:p>
    <w:p>
      <w:pPr>
        <w:spacing w:after="60" w:line="300"/>
        <w:ind w:left="567" w:hanging="567"/>
        <w:jc w:val="both"/>
      </w:pPr>
      <w:r>
        <w:rPr>
          <w:rFonts w:ascii="Times New Roman" w:cs="Times New Roman" w:eastAsia="Times New Roman" w:hAnsi="Times New Roman"/>
          <w:sz w:val="26"/>
          <w:szCs w:val="26"/>
        </w:rPr>
        <w:t xml:space="preserve">10. Що таке логіка втручання і як вона використовується для обґрунтування доречності проєкту?</w:t>
      </w:r>
    </w:p>
    <w:p>
      <w:pPr>
        <w:spacing w:after="60" w:line="300"/>
        <w:ind w:left="567" w:hanging="567"/>
        <w:jc w:val="both"/>
      </w:pPr>
      <w:r>
        <w:rPr>
          <w:rFonts w:ascii="Times New Roman" w:cs="Times New Roman" w:eastAsia="Times New Roman" w:hAnsi="Times New Roman"/>
          <w:sz w:val="26"/>
          <w:szCs w:val="26"/>
        </w:rPr>
        <w:t xml:space="preserve">11. Охарактеризуйте механізми координації політик ЄС із державами-членами та Україною.</w:t>
      </w:r>
    </w:p>
    <w:p>
      <w:pPr>
        <w:spacing w:after="60" w:line="300"/>
        <w:ind w:left="567" w:hanging="567"/>
        <w:jc w:val="both"/>
      </w:pPr>
      <w:r>
        <w:rPr>
          <w:rFonts w:ascii="Times New Roman" w:cs="Times New Roman" w:eastAsia="Times New Roman" w:hAnsi="Times New Roman"/>
          <w:sz w:val="26"/>
          <w:szCs w:val="26"/>
        </w:rPr>
        <w:t xml:space="preserve">12. Розкрийте механізм контролю національних парламентів за дотриманням субсидіарності («жовта» і «помаранчева» картки).</w:t>
      </w:r>
    </w:p>
    <w:p>
      <w:pPr>
        <w:spacing w:after="60" w:line="300"/>
        <w:ind w:left="567" w:hanging="567"/>
        <w:jc w:val="both"/>
      </w:pPr>
      <w:r>
        <w:rPr>
          <w:rFonts w:ascii="Times New Roman" w:cs="Times New Roman" w:eastAsia="Times New Roman" w:hAnsi="Times New Roman"/>
          <w:sz w:val="26"/>
          <w:szCs w:val="26"/>
        </w:rPr>
        <w:t xml:space="preserve">13. Які інструменти забезпечують прозорість і підзвітність у сфері фінансів ЄС?</w:t>
      </w:r>
    </w:p>
    <w:p>
      <w:pPr>
        <w:spacing w:after="60" w:line="300"/>
        <w:ind w:left="567" w:hanging="567"/>
        <w:jc w:val="both"/>
      </w:pPr>
      <w:r>
        <w:rPr>
          <w:rFonts w:ascii="Times New Roman" w:cs="Times New Roman" w:eastAsia="Times New Roman" w:hAnsi="Times New Roman"/>
          <w:sz w:val="26"/>
          <w:szCs w:val="26"/>
        </w:rPr>
        <w:t xml:space="preserve">14. Через які канали рішення ЄС впливають на міжнародні економічні відносини України?</w:t>
      </w:r>
    </w:p>
    <w:p>
      <w:pPr>
        <w:spacing w:after="60" w:line="300"/>
        <w:ind w:left="567" w:hanging="567"/>
        <w:jc w:val="both"/>
      </w:pPr>
      <w:r>
        <w:rPr>
          <w:rFonts w:ascii="Times New Roman" w:cs="Times New Roman" w:eastAsia="Times New Roman" w:hAnsi="Times New Roman"/>
          <w:sz w:val="26"/>
          <w:szCs w:val="26"/>
        </w:rPr>
        <w:t xml:space="preserve">15. Чому Україну характеризують як rule-taker у відносинах з ЄС і як можна посилити її вплив до набуття членства?</w:t>
      </w: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Глосарій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52"/>
        <w:gridCol w:w="6486"/>
      </w:tblGrid>
      <w:tr>
        <w:trPr>
          <w:tblHeader/>
        </w:trPr>
        <w:tc>
          <w:tcPr>
            <w:tcW w:type="dxa" w:w="315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Термін</w:t>
            </w:r>
          </w:p>
        </w:tc>
        <w:tc>
          <w:tcPr>
            <w:tcW w:type="dxa" w:w="648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0" w:before="0" w:line="240"/>
              <w:jc w:val="center"/>
            </w:pPr>
            <w:r>
              <w:rPr>
                <w:rFonts w:ascii="Times New Roman" w:cs="Times New Roman" w:eastAsia="Times New Roman" w:hAnsi="Times New Roman"/>
                <w:b/>
                <w:bCs/>
                <w:sz w:val="24"/>
                <w:szCs w:val="24"/>
              </w:rPr>
              <w:t xml:space="preserve">Визначення</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Звичайна законодавча процедура</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Спільне ухвалення законодавчих актів Європейським Парламентом і Радою за пропозицією Комісії (ст. 294 ДФЄС)</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Трилог</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Неформальні переговори представників Парламенту, Ради і Комісії для досягнення компромісу щодо законодавчої пропозиції</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Делегований акт</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Незаконодавчий акт Комісії, що доповнює або змінює неосновні елементи законодавчого акта (ст. 290 ДФЄС)</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Виконавчий акт</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Акт, що встановлює однакові умови імплементації правових актів ЄС (ст. 291 ДФЄС)</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Комітологія</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Система комітетів представників держав-членів, які контролюють ухвалення Комісією виконавчих актів</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Логіка втручання</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Причинно-наслідковий ланцюг від потреб і цілей політики до діяльності, результатів, наслідків і впливу</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Європейський семестр</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Щорічний цикл координації економічної і соціальної політики держав-членів ЄС</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«Жовта картка»</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Механізм, за якого мотивовані висновки третини голосів національних парламентів зобов’язують переглянути законодавчу пропозицію</w:t>
            </w:r>
          </w:p>
        </w:tc>
      </w:tr>
      <w:tr>
        <w:trPr>
          <w:tblHeader w:val="false"/>
        </w:trPr>
        <w:tc>
          <w:tcPr>
            <w:tcW w:type="dxa" w:w="315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Додана європейська вартість</w:t>
            </w:r>
          </w:p>
        </w:tc>
        <w:tc>
          <w:tcPr>
            <w:tcW w:type="dxa" w:w="648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0" w:before="0" w:line="240"/>
              <w:jc w:val="left"/>
            </w:pPr>
            <w:r>
              <w:rPr>
                <w:rFonts w:ascii="Times New Roman" w:cs="Times New Roman" w:eastAsia="Times New Roman" w:hAnsi="Times New Roman"/>
                <w:b w:val="false"/>
                <w:bCs w:val="false"/>
                <w:sz w:val="24"/>
                <w:szCs w:val="24"/>
              </w:rPr>
              <w:t xml:space="preserve">Цінність, створена дією ЄС понад те, чого могли б досягти держави-члени самостійно</w:t>
            </w:r>
          </w:p>
        </w:tc>
      </w:tr>
    </w:tbl>
    <w:p>
      <w:pPr>
        <w:spacing w:after="60" w:before="0" w:line="240"/>
      </w:pPr>
    </w:p>
    <w:p>
      <w:pPr>
        <w:pStyle w:val="Heading1"/>
        <w:keepNext/>
        <w:spacing w:after="160" w:before="300" w:line="300"/>
        <w:jc w:val="center"/>
      </w:pPr>
      <w:r>
        <w:rPr>
          <w:rFonts w:ascii="Times New Roman" w:cs="Times New Roman" w:eastAsia="Times New Roman" w:hAnsi="Times New Roman"/>
          <w:b/>
          <w:bCs/>
          <w:color w:val="1F3864"/>
          <w:sz w:val="30"/>
          <w:szCs w:val="30"/>
        </w:rPr>
        <w:t xml:space="preserve">Список використаних джерел</w:t>
      </w:r>
    </w:p>
    <w:p>
      <w:pPr>
        <w:spacing w:after="60" w:line="300"/>
        <w:ind w:left="567" w:hanging="567"/>
        <w:jc w:val="both"/>
      </w:pPr>
      <w:r>
        <w:rPr>
          <w:rFonts w:ascii="Times New Roman" w:cs="Times New Roman" w:eastAsia="Times New Roman" w:hAnsi="Times New Roman"/>
          <w:sz w:val="26"/>
          <w:szCs w:val="26"/>
        </w:rPr>
        <w:t xml:space="preserve">1. Основи зовнішньої політики Європейського Союзу : навч. посіб. / Н. А. Вінникова та ін. ; за заг. ред. Л. В. Новікової. Харків : ХНУ імені В. Н. Каразіна, 2022. 144 с.</w:t>
      </w:r>
    </w:p>
    <w:p>
      <w:pPr>
        <w:spacing w:after="60" w:line="300"/>
        <w:ind w:left="567" w:hanging="567"/>
        <w:jc w:val="both"/>
      </w:pPr>
      <w:r>
        <w:rPr>
          <w:rFonts w:ascii="Times New Roman" w:cs="Times New Roman" w:eastAsia="Times New Roman" w:hAnsi="Times New Roman"/>
          <w:sz w:val="26"/>
          <w:szCs w:val="26"/>
        </w:rPr>
        <w:t xml:space="preserve">2. Грант: керівництво до дії : посібник / О. Ващук, О. Торбас, В. Лемещенко-Лагода, А. Сімахова, А. Мандич ; за заг. ред. В. Лемещенко-Лагоди, А. Сухіх. Запоріжжя : ФОП Однорог Т. В., 2024. 114 с.</w:t>
      </w:r>
    </w:p>
    <w:p>
      <w:pPr>
        <w:spacing w:after="60" w:line="300"/>
        <w:ind w:left="567" w:hanging="567"/>
        <w:jc w:val="both"/>
      </w:pPr>
      <w:r>
        <w:rPr>
          <w:rFonts w:ascii="Times New Roman" w:cs="Times New Roman" w:eastAsia="Times New Roman" w:hAnsi="Times New Roman"/>
          <w:sz w:val="26"/>
          <w:szCs w:val="26"/>
        </w:rPr>
        <w:t xml:space="preserve">3. Кобеля-Звір М. Я. Грантові програми Європейського Союзу для України в умовах війни. </w:t>
      </w:r>
      <w:r>
        <w:rPr>
          <w:rFonts w:ascii="Times New Roman" w:cs="Times New Roman" w:eastAsia="Times New Roman" w:hAnsi="Times New Roman"/>
          <w:i/>
          <w:iCs/>
          <w:sz w:val="26"/>
          <w:szCs w:val="26"/>
        </w:rPr>
        <w:t xml:space="preserve">Підприємництво і торгівля</w:t>
      </w:r>
      <w:r>
        <w:rPr>
          <w:rFonts w:ascii="Times New Roman" w:cs="Times New Roman" w:eastAsia="Times New Roman" w:hAnsi="Times New Roman"/>
          <w:sz w:val="26"/>
          <w:szCs w:val="26"/>
        </w:rPr>
        <w:t xml:space="preserve">. 2024. № 40. С. 56–66. DOI: https://doi.org/10.32782/2522-1256-2024-40-08</w:t>
      </w:r>
    </w:p>
    <w:p>
      <w:pPr>
        <w:spacing w:after="60" w:line="300"/>
        <w:ind w:left="567" w:hanging="567"/>
        <w:jc w:val="both"/>
      </w:pPr>
      <w:r>
        <w:rPr>
          <w:rFonts w:ascii="Times New Roman" w:cs="Times New Roman" w:eastAsia="Times New Roman" w:hAnsi="Times New Roman"/>
          <w:sz w:val="26"/>
          <w:szCs w:val="26"/>
        </w:rPr>
        <w:t xml:space="preserve">4. Грицишен Д. О., Абрамова І. В. Формування та реалізації фінансових механізмів ЄС щодо сталого розвитку сільських громад. </w:t>
      </w:r>
      <w:r>
        <w:rPr>
          <w:rFonts w:ascii="Times New Roman" w:cs="Times New Roman" w:eastAsia="Times New Roman" w:hAnsi="Times New Roman"/>
          <w:i/>
          <w:iCs/>
          <w:sz w:val="26"/>
          <w:szCs w:val="26"/>
        </w:rPr>
        <w:t xml:space="preserve">Таврійський науковий вісник. Серія: Економіка</w:t>
      </w:r>
      <w:r>
        <w:rPr>
          <w:rFonts w:ascii="Times New Roman" w:cs="Times New Roman" w:eastAsia="Times New Roman" w:hAnsi="Times New Roman"/>
          <w:sz w:val="26"/>
          <w:szCs w:val="26"/>
        </w:rPr>
        <w:t xml:space="preserve">. 2024. № 20. С. 67–78. DOI: https://doi.org/10.32782/2708-0366/2024.20.8</w:t>
      </w:r>
    </w:p>
    <w:p>
      <w:pPr>
        <w:spacing w:after="60" w:line="300"/>
        <w:ind w:left="567" w:hanging="567"/>
        <w:jc w:val="both"/>
      </w:pPr>
      <w:r>
        <w:rPr>
          <w:rFonts w:ascii="Times New Roman" w:cs="Times New Roman" w:eastAsia="Times New Roman" w:hAnsi="Times New Roman"/>
          <w:sz w:val="26"/>
          <w:szCs w:val="26"/>
        </w:rPr>
        <w:t xml:space="preserve">5. Consolidated version of the Treaty on European Union ; Consolidated version of the Treaty on the Functioning of the European Union.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w:t>
      </w:r>
    </w:p>
    <w:p>
      <w:pPr>
        <w:spacing w:after="60" w:line="300"/>
        <w:ind w:left="567" w:hanging="567"/>
        <w:jc w:val="both"/>
      </w:pPr>
      <w:r>
        <w:rPr>
          <w:rFonts w:ascii="Times New Roman" w:cs="Times New Roman" w:eastAsia="Times New Roman" w:hAnsi="Times New Roman"/>
          <w:sz w:val="26"/>
          <w:szCs w:val="26"/>
        </w:rPr>
        <w:t xml:space="preserve">6. European Council. Strategic agenda 2024–2029. Brussels, 27 June 2024. URL: https://www.consilium.europa.eu/en/european-council/strategic-agenda-2024-2029/</w:t>
      </w:r>
    </w:p>
    <w:p>
      <w:pPr>
        <w:spacing w:after="60" w:line="300"/>
        <w:ind w:left="567" w:hanging="567"/>
        <w:jc w:val="both"/>
      </w:pPr>
      <w:r>
        <w:rPr>
          <w:rFonts w:ascii="Times New Roman" w:cs="Times New Roman" w:eastAsia="Times New Roman" w:hAnsi="Times New Roman"/>
          <w:sz w:val="26"/>
          <w:szCs w:val="26"/>
        </w:rPr>
        <w:t xml:space="preserve">7. von der Leyen U. Europe’s Choice: Political Guidelines for the Next European Commission 2024–2029. Strasbourg, 18 July 2024. URL: https://commission.europa.eu/priorities-2024-2029_en</w:t>
      </w:r>
    </w:p>
    <w:p>
      <w:pPr>
        <w:spacing w:after="60" w:line="300"/>
        <w:ind w:left="567" w:hanging="567"/>
        <w:jc w:val="both"/>
      </w:pPr>
      <w:r>
        <w:rPr>
          <w:rFonts w:ascii="Times New Roman" w:cs="Times New Roman" w:eastAsia="Times New Roman" w:hAnsi="Times New Roman"/>
          <w:sz w:val="26"/>
          <w:szCs w:val="26"/>
        </w:rPr>
        <w:t xml:space="preserve">8. European Commission. Commission work programme 2026: Europe’s Independence Moment. Strasbourg, 21.10.2025. URL: https://commission.europa.eu/strategy-and-policy/strategy-documents/commission-work-programme_en</w:t>
      </w:r>
    </w:p>
    <w:p>
      <w:pPr>
        <w:spacing w:after="60" w:line="300"/>
        <w:ind w:left="567" w:hanging="567"/>
        <w:jc w:val="both"/>
      </w:pPr>
      <w:r>
        <w:rPr>
          <w:rFonts w:ascii="Times New Roman" w:cs="Times New Roman" w:eastAsia="Times New Roman" w:hAnsi="Times New Roman"/>
          <w:sz w:val="26"/>
          <w:szCs w:val="26"/>
        </w:rPr>
        <w:t xml:space="preserve">9. Joint Declaration on EU legislative priorities for 2026. Brussels, 18 December 2025. URL: https://commission.europa.eu/strategy-and-policy/joint-legislative-priorities-eu-institutions-2026_en</w:t>
      </w:r>
    </w:p>
    <w:p>
      <w:pPr>
        <w:spacing w:after="60" w:line="300"/>
        <w:ind w:left="567" w:hanging="567"/>
        <w:jc w:val="both"/>
      </w:pPr>
      <w:r>
        <w:rPr>
          <w:rFonts w:ascii="Times New Roman" w:cs="Times New Roman" w:eastAsia="Times New Roman" w:hAnsi="Times New Roman"/>
          <w:sz w:val="26"/>
          <w:szCs w:val="26"/>
        </w:rPr>
        <w:t xml:space="preserve">10. European Commission. A Competitiveness Compass for the EU : Communication COM(2025) 30 final. Brussels, 29.01.2025.</w:t>
      </w:r>
    </w:p>
    <w:p>
      <w:pPr>
        <w:spacing w:after="60" w:line="300"/>
        <w:ind w:left="567" w:hanging="567"/>
        <w:jc w:val="both"/>
      </w:pPr>
      <w:r>
        <w:rPr>
          <w:rFonts w:ascii="Times New Roman" w:cs="Times New Roman" w:eastAsia="Times New Roman" w:hAnsi="Times New Roman"/>
          <w:sz w:val="26"/>
          <w:szCs w:val="26"/>
        </w:rPr>
        <w:t xml:space="preserve">11. Programme of the Irish Presidency of the Council of the European Union (July–December 2026). URL: https://irish-presidency.consilium.europa.eu/en/programme/</w:t>
      </w:r>
    </w:p>
    <w:p>
      <w:pPr>
        <w:spacing w:after="60" w:line="300"/>
        <w:ind w:left="567" w:hanging="567"/>
        <w:jc w:val="both"/>
      </w:pPr>
      <w:r>
        <w:rPr>
          <w:rFonts w:ascii="Times New Roman" w:cs="Times New Roman" w:eastAsia="Times New Roman" w:hAnsi="Times New Roman"/>
          <w:sz w:val="26"/>
          <w:szCs w:val="26"/>
        </w:rPr>
        <w:t xml:space="preserve">12. European Council conclusions on Ukraine and on European defence and security, 18 June 2026. URL: https://www.consilium.europa.eu</w:t>
      </w:r>
    </w:p>
    <w:p>
      <w:pPr>
        <w:spacing w:after="60" w:line="300"/>
        <w:ind w:left="567" w:hanging="567"/>
        <w:jc w:val="both"/>
      </w:pPr>
      <w:r>
        <w:rPr>
          <w:rFonts w:ascii="Times New Roman" w:cs="Times New Roman" w:eastAsia="Times New Roman" w:hAnsi="Times New Roman"/>
          <w:sz w:val="26"/>
          <w:szCs w:val="26"/>
        </w:rPr>
        <w:t xml:space="preserve">13. Protocol (No 2) on the application of the principles of subsidiarity and proportionality.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C 202. 07.06.2016. P. 206–209.</w:t>
      </w:r>
    </w:p>
    <w:p>
      <w:pPr>
        <w:spacing w:after="60" w:line="300"/>
        <w:ind w:left="567" w:hanging="567"/>
        <w:jc w:val="both"/>
      </w:pPr>
      <w:r>
        <w:rPr>
          <w:rFonts w:ascii="Times New Roman" w:cs="Times New Roman" w:eastAsia="Times New Roman" w:hAnsi="Times New Roman"/>
          <w:sz w:val="26"/>
          <w:szCs w:val="26"/>
        </w:rPr>
        <w:t xml:space="preserve">14. Regulation (EU) No 182/2011 of the European Parliament and of the Council of 16 February 2011 laying down the rules and general principles concerning mechanisms for control by Member States of the Commission’s exercise of implementing powers.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55. 28.02.2011. P. 13–18.</w:t>
      </w:r>
    </w:p>
    <w:p>
      <w:pPr>
        <w:spacing w:after="60" w:line="300"/>
        <w:ind w:left="567" w:hanging="567"/>
        <w:jc w:val="both"/>
      </w:pPr>
      <w:r>
        <w:rPr>
          <w:rFonts w:ascii="Times New Roman" w:cs="Times New Roman" w:eastAsia="Times New Roman" w:hAnsi="Times New Roman"/>
          <w:sz w:val="26"/>
          <w:szCs w:val="26"/>
        </w:rPr>
        <w:t xml:space="preserve">15. European Parliament. Ordinary legislative procedure: Overview. URL: https://www.europarl.europa.eu/olp/en/ordinary-legislative-procedure/overview</w:t>
      </w:r>
    </w:p>
    <w:p>
      <w:pPr>
        <w:spacing w:after="60" w:line="300"/>
        <w:ind w:left="567" w:hanging="567"/>
        <w:jc w:val="both"/>
      </w:pPr>
      <w:r>
        <w:rPr>
          <w:rFonts w:ascii="Times New Roman" w:cs="Times New Roman" w:eastAsia="Times New Roman" w:hAnsi="Times New Roman"/>
          <w:sz w:val="26"/>
          <w:szCs w:val="26"/>
        </w:rPr>
        <w:t xml:space="preserve">16. Regulation (EU) 2021/817 of the European Parliament and of the Council of 20 May 2021 establishing Erasmus+: the Union Programme for education and training, youth and sport.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189. 28.05.2021.</w:t>
      </w:r>
    </w:p>
    <w:p>
      <w:pPr>
        <w:spacing w:after="60" w:line="300"/>
        <w:ind w:left="567" w:hanging="567"/>
        <w:jc w:val="both"/>
      </w:pPr>
      <w:r>
        <w:rPr>
          <w:rFonts w:ascii="Times New Roman" w:cs="Times New Roman" w:eastAsia="Times New Roman" w:hAnsi="Times New Roman"/>
          <w:sz w:val="26"/>
          <w:szCs w:val="26"/>
        </w:rPr>
        <w:t xml:space="preserve">17. Regulation (EU) 2021/695 of the European Parliament and of the Council of 28 April 2021 establishing Horizon Europe – the Framework Programme for Research and Innovation.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170. 12.05.2021.</w:t>
      </w:r>
    </w:p>
    <w:p>
      <w:pPr>
        <w:spacing w:after="60" w:line="300"/>
        <w:ind w:left="567" w:hanging="567"/>
        <w:jc w:val="both"/>
      </w:pPr>
      <w:r>
        <w:rPr>
          <w:rFonts w:ascii="Times New Roman" w:cs="Times New Roman" w:eastAsia="Times New Roman" w:hAnsi="Times New Roman"/>
          <w:sz w:val="26"/>
          <w:szCs w:val="26"/>
        </w:rPr>
        <w:t xml:space="preserve">18. Wallace H., Pollack M. A., Roederer-Rynning C., Young A. R. (eds.). Policy-Making in the European Union. 8th ed. Oxford : Oxford University Press, 2020. 592 p.</w:t>
      </w:r>
    </w:p>
    <w:p>
      <w:pPr>
        <w:spacing w:after="60" w:line="300"/>
        <w:ind w:left="567" w:hanging="567"/>
        <w:jc w:val="both"/>
      </w:pPr>
      <w:r>
        <w:rPr>
          <w:rFonts w:ascii="Times New Roman" w:cs="Times New Roman" w:eastAsia="Times New Roman" w:hAnsi="Times New Roman"/>
          <w:sz w:val="26"/>
          <w:szCs w:val="26"/>
        </w:rPr>
        <w:t xml:space="preserve">19. Craig P., de Búrca G. EU Law: Text, Cases, and Materials. 7th ed. Oxford : Oxford University Press, 2020. 1376 p.</w:t>
      </w:r>
    </w:p>
    <w:p>
      <w:pPr>
        <w:spacing w:after="60" w:line="300"/>
        <w:ind w:left="567" w:hanging="567"/>
        <w:jc w:val="both"/>
      </w:pPr>
      <w:r>
        <w:rPr>
          <w:rFonts w:ascii="Times New Roman" w:cs="Times New Roman" w:eastAsia="Times New Roman" w:hAnsi="Times New Roman"/>
          <w:sz w:val="26"/>
          <w:szCs w:val="26"/>
        </w:rPr>
        <w:t xml:space="preserve">20. European Commission. Erasmus+ Programme Guide 2026. URL: https://erasmus-plus.ec.europa.eu/erasmus-programme-guide</w:t>
      </w:r>
    </w:p>
    <w:p>
      <w:pPr>
        <w:spacing w:after="60" w:line="300"/>
        <w:ind w:left="567" w:hanging="567"/>
        <w:jc w:val="both"/>
      </w:pPr>
      <w:r>
        <w:rPr>
          <w:rFonts w:ascii="Times New Roman" w:cs="Times New Roman" w:eastAsia="Times New Roman" w:hAnsi="Times New Roman"/>
          <w:sz w:val="26"/>
          <w:szCs w:val="26"/>
        </w:rPr>
        <w:t xml:space="preserve">21. Interinstitutional Agreement between the European Parliament, the Council of the European Union and the European Commission on Better Law-Making of 13 April 2016.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123. 12.05.2016. P. 1–14.</w:t>
      </w:r>
    </w:p>
    <w:p>
      <w:pPr>
        <w:spacing w:after="60" w:line="300"/>
        <w:ind w:left="567" w:hanging="567"/>
        <w:jc w:val="both"/>
      </w:pPr>
      <w:r>
        <w:rPr>
          <w:rFonts w:ascii="Times New Roman" w:cs="Times New Roman" w:eastAsia="Times New Roman" w:hAnsi="Times New Roman"/>
          <w:sz w:val="26"/>
          <w:szCs w:val="26"/>
        </w:rPr>
        <w:t xml:space="preserve">22. Regulation (EU, Euratom) 2024/2509 of the European Parliament and of the Council of 23 September 2024 on the financial rules applicable to the general budget of the Union (recast).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series. 26.09.2024.</w:t>
      </w:r>
    </w:p>
    <w:p>
      <w:pPr>
        <w:spacing w:after="60" w:line="300"/>
        <w:ind w:left="567" w:hanging="567"/>
        <w:jc w:val="both"/>
      </w:pPr>
      <w:r>
        <w:rPr>
          <w:rFonts w:ascii="Times New Roman" w:cs="Times New Roman" w:eastAsia="Times New Roman" w:hAnsi="Times New Roman"/>
          <w:sz w:val="26"/>
          <w:szCs w:val="26"/>
        </w:rPr>
        <w:t xml:space="preserve">23. Regulation (EU) 2024/792 of the European Parliament and of the Council of 29 February 2024 establishing the Ukraine Facility. </w:t>
      </w:r>
      <w:r>
        <w:rPr>
          <w:rFonts w:ascii="Times New Roman" w:cs="Times New Roman" w:eastAsia="Times New Roman" w:hAnsi="Times New Roman"/>
          <w:i/>
          <w:iCs/>
          <w:sz w:val="26"/>
          <w:szCs w:val="26"/>
        </w:rPr>
        <w:t xml:space="preserve">Official Journal of the European Union</w:t>
      </w:r>
      <w:r>
        <w:rPr>
          <w:rFonts w:ascii="Times New Roman" w:cs="Times New Roman" w:eastAsia="Times New Roman" w:hAnsi="Times New Roman"/>
          <w:sz w:val="26"/>
          <w:szCs w:val="26"/>
        </w:rPr>
        <w:t xml:space="preserve">. L series. 29.02.2024.</w:t>
      </w:r>
    </w:p>
    <w:p>
      <w:pPr>
        <w:spacing w:after="60" w:line="300"/>
        <w:ind w:left="567" w:hanging="567"/>
        <w:jc w:val="both"/>
      </w:pPr>
      <w:r>
        <w:rPr>
          <w:rFonts w:ascii="Times New Roman" w:cs="Times New Roman" w:eastAsia="Times New Roman" w:hAnsi="Times New Roman"/>
          <w:sz w:val="26"/>
          <w:szCs w:val="26"/>
        </w:rPr>
        <w:t xml:space="preserve">24. Council of the EU. Council amends Ukraine Plan to reflect more than €8 billion in additional Ukraine Facility financing for 2026 : press release, 30 July 2026. URL: https://www.consilium.europa.eu</w:t>
      </w:r>
    </w:p>
    <w:p>
      <w:pPr>
        <w:spacing w:after="60" w:line="300"/>
        <w:ind w:left="567" w:hanging="567"/>
        <w:jc w:val="both"/>
      </w:pPr>
      <w:r>
        <w:rPr>
          <w:rFonts w:ascii="Times New Roman" w:cs="Times New Roman" w:eastAsia="Times New Roman" w:hAnsi="Times New Roman"/>
          <w:sz w:val="26"/>
          <w:szCs w:val="26"/>
        </w:rPr>
        <w:t xml:space="preserve">25. European Commission, DG Trade. EU trade relations with Ukraine. URL: https://policy.trade.ec.europa.eu/eu-trade-relationships-country-and-region/countries-and-regions/ukraine_en</w:t>
      </w:r>
    </w:p>
    <w:p>
      <w:pPr>
        <w:spacing w:after="60" w:line="300"/>
        <w:ind w:left="567" w:hanging="567"/>
        <w:jc w:val="both"/>
      </w:pPr>
      <w:r>
        <w:rPr>
          <w:rFonts w:ascii="Times New Roman" w:cs="Times New Roman" w:eastAsia="Times New Roman" w:hAnsi="Times New Roman"/>
          <w:sz w:val="26"/>
          <w:szCs w:val="26"/>
        </w:rPr>
        <w:t xml:space="preserve">26. Кобеля-Звір М. Я. Грантові програми транскордонного співробітництва: можливості, перспективи, перепони. </w:t>
      </w:r>
      <w:r>
        <w:rPr>
          <w:rFonts w:ascii="Times New Roman" w:cs="Times New Roman" w:eastAsia="Times New Roman" w:hAnsi="Times New Roman"/>
          <w:i/>
          <w:iCs/>
          <w:sz w:val="26"/>
          <w:szCs w:val="26"/>
        </w:rPr>
        <w:t xml:space="preserve">Економічний простір</w:t>
      </w:r>
      <w:r>
        <w:rPr>
          <w:rFonts w:ascii="Times New Roman" w:cs="Times New Roman" w:eastAsia="Times New Roman" w:hAnsi="Times New Roman"/>
          <w:sz w:val="26"/>
          <w:szCs w:val="26"/>
        </w:rPr>
        <w:t xml:space="preserve">. 2023. № 186. С. 44–48. DOI: https://doi.org/10.32782/2224-6282/186-8</w:t>
      </w:r>
    </w:p>
    <w:p>
      <w:pPr>
        <w:spacing w:after="60" w:line="300"/>
        <w:ind w:left="567" w:hanging="567"/>
        <w:jc w:val="both"/>
      </w:pPr>
      <w:r>
        <w:rPr>
          <w:rFonts w:ascii="Times New Roman" w:cs="Times New Roman" w:eastAsia="Times New Roman" w:hAnsi="Times New Roman"/>
          <w:sz w:val="26"/>
          <w:szCs w:val="26"/>
        </w:rPr>
        <w:t xml:space="preserve">27. Каплинський О. В. Програма ЄС із досліджень та інновацій «Горизонт Європа»: можливості для української науки. </w:t>
      </w:r>
      <w:r>
        <w:rPr>
          <w:rFonts w:ascii="Times New Roman" w:cs="Times New Roman" w:eastAsia="Times New Roman" w:hAnsi="Times New Roman"/>
          <w:i/>
          <w:iCs/>
          <w:sz w:val="26"/>
          <w:szCs w:val="26"/>
        </w:rPr>
        <w:t xml:space="preserve">Підприємництво та інновації</w:t>
      </w:r>
      <w:r>
        <w:rPr>
          <w:rFonts w:ascii="Times New Roman" w:cs="Times New Roman" w:eastAsia="Times New Roman" w:hAnsi="Times New Roman"/>
          <w:sz w:val="26"/>
          <w:szCs w:val="26"/>
        </w:rPr>
        <w:t xml:space="preserve">. 2023. № 29. С. 14–21.</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EA9DB" w:sz="4" w:space="2"/>
      </w:pBdr>
      <w:jc w:val="right"/>
    </w:pPr>
    <w:r>
      <w:rPr>
        <w:rFonts w:ascii="Times New Roman" w:cs="Times New Roman" w:eastAsia="Times New Roman" w:hAnsi="Times New Roman"/>
        <w:i/>
        <w:iCs/>
        <w:color w:val="595959"/>
        <w:sz w:val="18"/>
        <w:szCs w:val="18"/>
      </w:rPr>
      <w:t xml:space="preserve">Європейські інституції та грантово-проєктна політика ЄС · Лекція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9" w:hanging="284"/>
      </w:pPr>
    </w:lvl>
    <w:lvl w:ilvl="1" w15:tentative="1">
      <w:start w:val="1"/>
      <w:numFmt w:val="bullet"/>
      <w:lvlText w:val="•"/>
      <w:lvlJc w:val="left"/>
      <w:pPr>
        <w:ind w:left="1134"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864"/>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864"/>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Європейські інституції та грантово-проєктна політика ЄС · Лекція 3</dc:title>
  <dc:creator>ЖПУ, кафедра МЕВ і ПМ</dc:creator>
  <cp:lastModifiedBy>Un-named</cp:lastModifiedBy>
  <cp:revision>1</cp:revision>
  <dcterms:created xsi:type="dcterms:W3CDTF">2026-09-11T15:43:47.873Z</dcterms:created>
  <dcterms:modified xsi:type="dcterms:W3CDTF">2026-09-11T15:43:47.873Z</dcterms:modified>
</cp:coreProperties>
</file>

<file path=docProps/custom.xml><?xml version="1.0" encoding="utf-8"?>
<Properties xmlns="http://schemas.openxmlformats.org/officeDocument/2006/custom-properties" xmlns:vt="http://schemas.openxmlformats.org/officeDocument/2006/docPropsVTypes"/>
</file>