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300"/>
        <w:jc w:val="center"/>
      </w:pPr>
      <w:r>
        <w:rPr>
          <w:rFonts w:ascii="Times New Roman" w:cs="Times New Roman" w:eastAsia="Times New Roman" w:hAnsi="Times New Roman"/>
          <w:b/>
          <w:bCs/>
          <w:color w:val="1F3864"/>
          <w:sz w:val="32"/>
          <w:szCs w:val="32"/>
        </w:rPr>
        <w:t xml:space="preserve">ЛЕКЦІЯ 2</w:t>
      </w:r>
    </w:p>
    <w:p>
      <w:pPr>
        <w:spacing w:after="120" w:before="120" w:line="300"/>
        <w:jc w:val="center"/>
      </w:pPr>
      <w:r>
        <w:rPr>
          <w:rFonts w:ascii="Times New Roman" w:cs="Times New Roman" w:eastAsia="Times New Roman" w:hAnsi="Times New Roman"/>
          <w:b/>
          <w:bCs/>
          <w:color w:val="1F3864"/>
          <w:sz w:val="32"/>
          <w:szCs w:val="32"/>
        </w:rPr>
        <w:t xml:space="preserve">Основні інституції Європейського Союзу та їх роль у формуванні політик ЄС</w:t>
      </w:r>
    </w:p>
    <w:p>
      <w:pPr>
        <w:spacing w:after="80" w:before="0" w:line="276"/>
        <w:jc w:val="center"/>
      </w:pPr>
      <w:r>
        <w:rPr>
          <w:rFonts w:ascii="Times New Roman" w:cs="Times New Roman" w:eastAsia="Times New Roman" w:hAnsi="Times New Roman"/>
          <w:sz w:val="28"/>
          <w:szCs w:val="28"/>
        </w:rPr>
        <w:t xml:space="preserve">Навчальна дисципліна «Європейські інституції та грантово-проєктна політика ЄС»</w:t>
      </w:r>
    </w:p>
    <w:p>
      <w:pPr>
        <w:spacing w:after="80" w:before="0" w:line="276"/>
        <w:jc w:val="center"/>
      </w:pPr>
      <w:r>
        <w:rPr>
          <w:rFonts w:ascii="Times New Roman" w:cs="Times New Roman" w:eastAsia="Times New Roman" w:hAnsi="Times New Roman"/>
          <w:sz w:val="28"/>
          <w:szCs w:val="28"/>
        </w:rPr>
        <w:t xml:space="preserve">Змістовий модуль 1. Інституційна система Європейського Союзу та механізми формування політик ЄС</w:t>
      </w:r>
    </w:p>
    <w:p>
      <w:pPr>
        <w:spacing w:after="80" w:before="0" w:line="276"/>
        <w:jc w:val="center"/>
      </w:pPr>
      <w:r>
        <w:rPr>
          <w:rFonts w:ascii="Times New Roman" w:cs="Times New Roman" w:eastAsia="Times New Roman" w:hAnsi="Times New Roman"/>
          <w:sz w:val="28"/>
          <w:szCs w:val="28"/>
        </w:rPr>
        <w:t xml:space="preserve">Освітній ступінь «магістр» · спеціальність С1 «Економіка та міжнародні економічні відносини» · спеціалізація С1.02</w:t>
      </w:r>
    </w:p>
    <w:p>
      <w:pPr>
        <w:spacing w:after="80" w:before="0" w:line="276"/>
        <w:jc w:val="center"/>
      </w:pPr>
      <w:r>
        <w:rPr>
          <w:rFonts w:ascii="Times New Roman" w:cs="Times New Roman" w:eastAsia="Times New Roman" w:hAnsi="Times New Roman"/>
          <w:sz w:val="28"/>
          <w:szCs w:val="28"/>
        </w:rPr>
        <w:t xml:space="preserve">Обсяг: 3 академічні години · Компетентності та результати навчання: ЗК5, СК1, РН4, РН6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96"/>
        <w:gridCol w:w="7642"/>
      </w:tblGrid>
      <w:tr>
        <w:trPr>
          <w:tblHeader/>
        </w:trPr>
        <w:tc>
          <w:tcPr>
            <w:tcW w:type="dxa" w:w="199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Елемент</w:t>
            </w:r>
          </w:p>
        </w:tc>
        <w:tc>
          <w:tcPr>
            <w:tcW w:type="dxa" w:w="76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Мета лекції</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Розкрити інституційну архітектуру ЄС, склад, порядок формування, повноваження та способи ухвалення рішень основних інституцій і консультативних органів, а також їхню роль у визначенні пріоритетів, фінансових інструментів і програм ЄС</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План</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 Європейська Рада як інституція стратегічного політичного керівництва ЄС.</w:t>
            </w:r>
          </w:p>
          <w:p>
            <w:pPr>
              <w:spacing w:after="0" w:before="0" w:line="240"/>
              <w:jc w:val="left"/>
            </w:pPr>
            <w:r>
              <w:rPr>
                <w:rFonts w:ascii="Times New Roman" w:cs="Times New Roman" w:eastAsia="Times New Roman" w:hAnsi="Times New Roman"/>
                <w:b w:val="false"/>
                <w:bCs w:val="false"/>
                <w:sz w:val="24"/>
                <w:szCs w:val="24"/>
              </w:rPr>
              <w:t xml:space="preserve">2. Європейська Комісія: функції, повноваження та роль у розробленні політик і програм ЄС.</w:t>
            </w:r>
          </w:p>
          <w:p>
            <w:pPr>
              <w:spacing w:after="0" w:before="0" w:line="240"/>
              <w:jc w:val="left"/>
            </w:pPr>
            <w:r>
              <w:rPr>
                <w:rFonts w:ascii="Times New Roman" w:cs="Times New Roman" w:eastAsia="Times New Roman" w:hAnsi="Times New Roman"/>
                <w:b w:val="false"/>
                <w:bCs w:val="false"/>
                <w:sz w:val="24"/>
                <w:szCs w:val="24"/>
              </w:rPr>
              <w:t xml:space="preserve">3. Європейський Парламент у системі демократичного представництва та контролю.</w:t>
            </w:r>
          </w:p>
          <w:p>
            <w:pPr>
              <w:spacing w:after="0" w:before="0" w:line="240"/>
              <w:jc w:val="left"/>
            </w:pPr>
            <w:r>
              <w:rPr>
                <w:rFonts w:ascii="Times New Roman" w:cs="Times New Roman" w:eastAsia="Times New Roman" w:hAnsi="Times New Roman"/>
                <w:b w:val="false"/>
                <w:bCs w:val="false"/>
                <w:sz w:val="24"/>
                <w:szCs w:val="24"/>
              </w:rPr>
              <w:t xml:space="preserve">4. Рада Європейського Союзу як інституція узгодження позицій держав-членів.</w:t>
            </w:r>
          </w:p>
          <w:p>
            <w:pPr>
              <w:spacing w:after="0" w:before="0" w:line="240"/>
              <w:jc w:val="left"/>
            </w:pPr>
            <w:r>
              <w:rPr>
                <w:rFonts w:ascii="Times New Roman" w:cs="Times New Roman" w:eastAsia="Times New Roman" w:hAnsi="Times New Roman"/>
                <w:b w:val="false"/>
                <w:bCs w:val="false"/>
                <w:sz w:val="24"/>
                <w:szCs w:val="24"/>
              </w:rPr>
              <w:t xml:space="preserve">5. Суд Європейського Союзу та забезпечення дотримання права ЄС.</w:t>
            </w:r>
          </w:p>
          <w:p>
            <w:pPr>
              <w:spacing w:after="0" w:before="0" w:line="240"/>
              <w:jc w:val="left"/>
            </w:pPr>
            <w:r>
              <w:rPr>
                <w:rFonts w:ascii="Times New Roman" w:cs="Times New Roman" w:eastAsia="Times New Roman" w:hAnsi="Times New Roman"/>
                <w:b w:val="false"/>
                <w:bCs w:val="false"/>
                <w:sz w:val="24"/>
                <w:szCs w:val="24"/>
              </w:rPr>
              <w:t xml:space="preserve">6. Європейський центральний банк та інституційне забезпечення валютно-фінансової політики ЄС.</w:t>
            </w:r>
          </w:p>
          <w:p>
            <w:pPr>
              <w:spacing w:after="0" w:before="0" w:line="240"/>
              <w:jc w:val="left"/>
            </w:pPr>
            <w:r>
              <w:rPr>
                <w:rFonts w:ascii="Times New Roman" w:cs="Times New Roman" w:eastAsia="Times New Roman" w:hAnsi="Times New Roman"/>
                <w:b w:val="false"/>
                <w:bCs w:val="false"/>
                <w:sz w:val="24"/>
                <w:szCs w:val="24"/>
              </w:rPr>
              <w:t xml:space="preserve">7. Консультативні та спеціалізовані органи ЄС: ЄЕСК, Європейський комітет регіонів, Європейський інвестиційний банк.</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Ключові поняття</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інституційна рамка; інституційний трикутник; метод Співтовариства; право законодавчої ініціативи; кваліфікована більшість; головування в Раді ЄС; COREPER; преюдиційний запит; незалежність центрального банку; Євросистема; консультативні органи; група ЄІБ</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Базові джерела</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13–19 ДЄС; ст. 223–309 ДФЄС; Протоколи № 4, 5 до Договорів; [1–3; 9; 13–16]</w:t>
            </w:r>
          </w:p>
        </w:tc>
      </w:tr>
    </w:tbl>
    <w:p>
      <w:pPr>
        <w:spacing w:after="60" w:before="0" w:line="240"/>
      </w:pP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Методологічне застереження.</w:t>
      </w:r>
      <w:r>
        <w:rPr>
          <w:rFonts w:ascii="Times New Roman" w:cs="Times New Roman" w:eastAsia="Times New Roman" w:hAnsi="Times New Roman"/>
          <w:sz w:val="26"/>
          <w:szCs w:val="26"/>
        </w:rPr>
        <w:t xml:space="preserve"> Персональний склад керівництва інституцій, кількісні та фінансові показники наведено станом на вересень 2026 р. Їх слід актуалізувати перед кожним новим циклом викладання.</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Вступ. Інституційна рамка ЄС</w:t>
      </w:r>
    </w:p>
    <w:p>
      <w:pPr>
        <w:spacing w:after="0" w:line="360"/>
        <w:ind w:firstLine="709"/>
        <w:jc w:val="both"/>
      </w:pPr>
      <w:r>
        <w:rPr>
          <w:rFonts w:ascii="Times New Roman" w:cs="Times New Roman" w:eastAsia="Times New Roman" w:hAnsi="Times New Roman"/>
          <w:sz w:val="28"/>
          <w:szCs w:val="28"/>
        </w:rPr>
        <w:t xml:space="preserve">Відповідно до ст. 13(1) ДЄС, Союз має інституційну рамку, покликану утверджувати його цінності, досягати цілей, служити інтересам Союзу, громадян і держав-членів, а також забезпечувати послідовність, ефективність і безперервність політик. Договір визначає </w:t>
      </w:r>
      <w:r>
        <w:rPr>
          <w:rFonts w:ascii="Times New Roman" w:cs="Times New Roman" w:eastAsia="Times New Roman" w:hAnsi="Times New Roman"/>
          <w:b/>
          <w:bCs/>
          <w:sz w:val="28"/>
          <w:szCs w:val="28"/>
        </w:rPr>
        <w:t xml:space="preserve">сім інституцій</w:t>
      </w:r>
      <w:r>
        <w:rPr>
          <w:rFonts w:ascii="Times New Roman" w:cs="Times New Roman" w:eastAsia="Times New Roman" w:hAnsi="Times New Roman"/>
          <w:sz w:val="28"/>
          <w:szCs w:val="28"/>
        </w:rPr>
        <w:t xml:space="preserve">: Європейський Парламент, Європейську Раду, Раду (Раду ЄС), Європейську Комісію, Суд Європейського Союзу, Європейський центральний банк і Рахункову палату. Кожна інституція діє в межах повноважень, наданих їй Договорами, згідно з процедурами, умовами та цілями, визначеними ними, і практикує взаємну щиру співпрацю (ст. 13(2) ДЄС).</w:t>
      </w:r>
    </w:p>
    <w:p>
      <w:pPr>
        <w:spacing w:after="0" w:line="360"/>
        <w:ind w:firstLine="709"/>
        <w:jc w:val="both"/>
      </w:pPr>
      <w:r>
        <w:rPr>
          <w:rFonts w:ascii="Times New Roman" w:cs="Times New Roman" w:eastAsia="Times New Roman" w:hAnsi="Times New Roman"/>
          <w:sz w:val="28"/>
          <w:szCs w:val="28"/>
        </w:rPr>
        <w:t xml:space="preserve">Інституції доповнюють </w:t>
      </w:r>
      <w:r>
        <w:rPr>
          <w:rFonts w:ascii="Times New Roman" w:cs="Times New Roman" w:eastAsia="Times New Roman" w:hAnsi="Times New Roman"/>
          <w:b/>
          <w:bCs/>
          <w:sz w:val="28"/>
          <w:szCs w:val="28"/>
        </w:rPr>
        <w:t xml:space="preserve">консультативні органи</w:t>
      </w:r>
      <w:r>
        <w:rPr>
          <w:rFonts w:ascii="Times New Roman" w:cs="Times New Roman" w:eastAsia="Times New Roman" w:hAnsi="Times New Roman"/>
          <w:sz w:val="28"/>
          <w:szCs w:val="28"/>
        </w:rPr>
        <w:t xml:space="preserve"> — Європейський економічний і соціальний комітет (ЄЕСК) та Європейський комітет регіонів (ст. 13(4) ДЄС), а також </w:t>
      </w:r>
      <w:r>
        <w:rPr>
          <w:rFonts w:ascii="Times New Roman" w:cs="Times New Roman" w:eastAsia="Times New Roman" w:hAnsi="Times New Roman"/>
          <w:b/>
          <w:bCs/>
          <w:sz w:val="28"/>
          <w:szCs w:val="28"/>
        </w:rPr>
        <w:t xml:space="preserve">органи зі спеціальним статусом</w:t>
      </w:r>
      <w:r>
        <w:rPr>
          <w:rFonts w:ascii="Times New Roman" w:cs="Times New Roman" w:eastAsia="Times New Roman" w:hAnsi="Times New Roman"/>
          <w:sz w:val="28"/>
          <w:szCs w:val="28"/>
        </w:rPr>
        <w:t xml:space="preserve"> — Європейський інвестиційний банк (ст. 308–309 ДФЄС), Європейська служба зовнішніх дій, Європейський омбудсман, Європейська прокуратура, Європейське бюро з боротьби з шахрайством (OLAF) та понад 40 децентралізованих і виконавчих агенцій.</w:t>
      </w:r>
    </w:p>
    <w:p>
      <w:pPr>
        <w:spacing w:after="0" w:line="360"/>
        <w:ind w:firstLine="709"/>
        <w:jc w:val="both"/>
      </w:pPr>
      <w:r>
        <w:rPr>
          <w:rFonts w:ascii="Times New Roman" w:cs="Times New Roman" w:eastAsia="Times New Roman" w:hAnsi="Times New Roman"/>
          <w:sz w:val="28"/>
          <w:szCs w:val="28"/>
        </w:rPr>
        <w:t xml:space="preserve">У політичній науці ядро системи описують як </w:t>
      </w:r>
      <w:r>
        <w:rPr>
          <w:rFonts w:ascii="Times New Roman" w:cs="Times New Roman" w:eastAsia="Times New Roman" w:hAnsi="Times New Roman"/>
          <w:b/>
          <w:bCs/>
          <w:sz w:val="28"/>
          <w:szCs w:val="28"/>
        </w:rPr>
        <w:t xml:space="preserve">«інституційний трикутник»</w:t>
      </w:r>
      <w:r>
        <w:rPr>
          <w:rFonts w:ascii="Times New Roman" w:cs="Times New Roman" w:eastAsia="Times New Roman" w:hAnsi="Times New Roman"/>
          <w:sz w:val="28"/>
          <w:szCs w:val="28"/>
        </w:rPr>
        <w:t xml:space="preserve">: Європейська Комісія (представляє загальний інтерес Союзу), Рада ЄС (представляє уряди держав-членів) і Європейський Парламент (представляє громадян). Над ним у ролі стратегічного «архітектора» діє Європейська Рада. Класичний </w:t>
      </w:r>
      <w:r>
        <w:rPr>
          <w:rFonts w:ascii="Times New Roman" w:cs="Times New Roman" w:eastAsia="Times New Roman" w:hAnsi="Times New Roman"/>
          <w:i/>
          <w:iCs/>
          <w:sz w:val="28"/>
          <w:szCs w:val="28"/>
        </w:rPr>
        <w:t xml:space="preserve">метод Співтовариства</w:t>
      </w:r>
      <w:r>
        <w:rPr>
          <w:rFonts w:ascii="Times New Roman" w:cs="Times New Roman" w:eastAsia="Times New Roman" w:hAnsi="Times New Roman"/>
          <w:sz w:val="28"/>
          <w:szCs w:val="28"/>
        </w:rPr>
        <w:t xml:space="preserve"> передбачає монополію Комісії на законодавчу ініціативу, ухвалення актів Радою кваліфікованою більшістю разом із Парламентом і судовий контроль Суду ЄС [13; 14].</w:t>
      </w:r>
    </w:p>
    <w:p>
      <w:pPr>
        <w:keepNext/>
        <w:spacing w:after="40" w:before="120" w:line="276"/>
        <w:jc w:val="right"/>
      </w:pPr>
      <w:r>
        <w:rPr>
          <w:rFonts w:ascii="Times New Roman" w:cs="Times New Roman" w:eastAsia="Times New Roman" w:hAnsi="Times New Roman"/>
          <w:i/>
          <w:iCs/>
          <w:sz w:val="26"/>
          <w:szCs w:val="26"/>
        </w:rPr>
        <w:t xml:space="preserve">Таблиця 2.1</w:t>
      </w:r>
    </w:p>
    <w:p>
      <w:pPr>
        <w:keepNext/>
        <w:spacing w:after="80" w:before="0" w:line="276"/>
        <w:jc w:val="center"/>
      </w:pPr>
      <w:r>
        <w:rPr>
          <w:rFonts w:ascii="Times New Roman" w:cs="Times New Roman" w:eastAsia="Times New Roman" w:hAnsi="Times New Roman"/>
          <w:b/>
          <w:bCs/>
          <w:sz w:val="26"/>
          <w:szCs w:val="26"/>
        </w:rPr>
        <w:t xml:space="preserve">Інституції та органи ЄС: місцезнаходження і правова основа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4"/>
        <w:gridCol w:w="2576"/>
        <w:gridCol w:w="2189"/>
        <w:gridCol w:w="2869"/>
      </w:tblGrid>
      <w:tr>
        <w:trPr>
          <w:tblHeader/>
        </w:trPr>
        <w:tc>
          <w:tcPr>
            <w:tcW w:type="dxa" w:w="200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Інституція / орган</w:t>
            </w:r>
          </w:p>
        </w:tc>
        <w:tc>
          <w:tcPr>
            <w:tcW w:type="dxa" w:w="257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Місцезнаходження</w:t>
            </w:r>
          </w:p>
        </w:tc>
        <w:tc>
          <w:tcPr>
            <w:tcW w:type="dxa" w:w="218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Правова основа</w:t>
            </w:r>
          </w:p>
        </w:tc>
        <w:tc>
          <w:tcPr>
            <w:tcW w:type="dxa" w:w="286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Кого представляє / основна роль</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Європейська Рада</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Брюссель</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15 ДЄС; ст. 235–236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Глави держав/урядів; стратегічне керівництво</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Рада ЄС</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Брюссель (сесії у квітні, червні, жовтні — Люксембург)</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16 ДЄС; ст. 237–243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Уряди держав-членів; законодавча і бюджетна функції, координація</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Європейська Комісія</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Брюссель</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17 ДЄС; ст. 244–250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Загальний інтерес ЄС; ініціатива, виконання, контроль</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Парламент</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Страсбург (пленарні сесії), Брюссель, Люксембург</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14 ДЄС; ст. 223–234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Громадяни ЄС; законодавча, бюджетна, контрольна функції</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Суд ЄС</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Люксембург</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19 ДЄС; ст. 251–281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Правопорядок ЄС; тлумачення і забезпечення права</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центральний банк</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Франкфурт-на-Майні</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282–284, 127–133 ДФЄС; Протокол № 4</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Цінова стабільність у зоні євро</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Рахункова палата</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Люксембург</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285–287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Зовнішній аудит фінансів ЄС</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ЄЕСК / Комітет регіонів</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Брюссель</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300–307 ДФЄС</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Організоване громадянське суспільство / регіональна і місцева влада</w:t>
            </w:r>
          </w:p>
        </w:tc>
      </w:tr>
      <w:tr>
        <w:trPr>
          <w:tblHeader w:val="false"/>
        </w:trPr>
        <w:tc>
          <w:tcPr>
            <w:tcW w:type="dxa" w:w="200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інвестиційний банк</w:t>
            </w:r>
          </w:p>
        </w:tc>
        <w:tc>
          <w:tcPr>
            <w:tcW w:type="dxa" w:w="257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Люксембург</w:t>
            </w:r>
          </w:p>
        </w:tc>
        <w:tc>
          <w:tcPr>
            <w:tcW w:type="dxa" w:w="218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308–309 ДФЄС; Протокол № 5</w:t>
            </w:r>
          </w:p>
        </w:tc>
        <w:tc>
          <w:tcPr>
            <w:tcW w:type="dxa" w:w="28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Фінансування інвестицій в інтересах ЄС</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[15; 16].</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1. Європейська Рада як інституція стратегічного політичного керівництва ЄС</w:t>
      </w:r>
    </w:p>
    <w:p>
      <w:pPr>
        <w:spacing w:after="0" w:line="360"/>
        <w:ind w:firstLine="709"/>
        <w:jc w:val="both"/>
      </w:pPr>
      <w:r>
        <w:rPr>
          <w:rFonts w:ascii="Times New Roman" w:cs="Times New Roman" w:eastAsia="Times New Roman" w:hAnsi="Times New Roman"/>
          <w:b/>
          <w:bCs/>
          <w:sz w:val="28"/>
          <w:szCs w:val="28"/>
        </w:rPr>
        <w:t xml:space="preserve">Статус і склад.</w:t>
      </w:r>
      <w:r>
        <w:rPr>
          <w:rFonts w:ascii="Times New Roman" w:cs="Times New Roman" w:eastAsia="Times New Roman" w:hAnsi="Times New Roman"/>
          <w:sz w:val="28"/>
          <w:szCs w:val="28"/>
        </w:rPr>
        <w:t xml:space="preserve"> Європейська Рада стала офіційною інституцією ЄС лише з набуттям чинності Лісабонським договором (1 грудня 2009 р.), хоча саміти глав держав і урядів регулярно проводилися з 1974 р. До її складу входять глави держав або урядів 27 держав-членів, Голова Європейської Ради та Голова Європейської Комісії; у роботі бере участь Високий представник Союзу з питань закордонних справ і політики безпеки (ст. 15(2) ДЄС).</w:t>
      </w:r>
    </w:p>
    <w:p>
      <w:pPr>
        <w:spacing w:after="0" w:line="360"/>
        <w:ind w:firstLine="709"/>
        <w:jc w:val="both"/>
      </w:pPr>
      <w:r>
        <w:rPr>
          <w:rFonts w:ascii="Times New Roman" w:cs="Times New Roman" w:eastAsia="Times New Roman" w:hAnsi="Times New Roman"/>
          <w:b/>
          <w:bCs/>
          <w:sz w:val="28"/>
          <w:szCs w:val="28"/>
        </w:rPr>
        <w:t xml:space="preserve">Голова Європейської Ради</w:t>
      </w:r>
      <w:r>
        <w:rPr>
          <w:rFonts w:ascii="Times New Roman" w:cs="Times New Roman" w:eastAsia="Times New Roman" w:hAnsi="Times New Roman"/>
          <w:sz w:val="28"/>
          <w:szCs w:val="28"/>
        </w:rPr>
        <w:t xml:space="preserve"> обирається Європейською Радою кваліфікованою більшістю на строк два з половиною роки з можливістю одноразового переобрання (ст. 15(5) ДЄС). Голова головує на засіданнях, забезпечує підготовку і безперервність роботи, сприяє згуртованості та консенсусу, представляє Союз у питаннях СЗБП на своєму рівні. З 1 грудня 2024 р. цю посаду обіймає </w:t>
      </w:r>
      <w:r>
        <w:rPr>
          <w:rFonts w:ascii="Times New Roman" w:cs="Times New Roman" w:eastAsia="Times New Roman" w:hAnsi="Times New Roman"/>
          <w:b/>
          <w:bCs/>
          <w:sz w:val="28"/>
          <w:szCs w:val="28"/>
        </w:rPr>
        <w:t xml:space="preserve">Антоніу Кошта</w:t>
      </w:r>
      <w:r>
        <w:rPr>
          <w:rFonts w:ascii="Times New Roman" w:cs="Times New Roman" w:eastAsia="Times New Roman" w:hAnsi="Times New Roman"/>
          <w:sz w:val="28"/>
          <w:szCs w:val="28"/>
        </w:rPr>
        <w:t xml:space="preserve"> (Португалія).</w:t>
      </w:r>
    </w:p>
    <w:p>
      <w:pPr>
        <w:spacing w:after="0" w:line="360"/>
        <w:ind w:firstLine="709"/>
        <w:jc w:val="both"/>
      </w:pPr>
      <w:r>
        <w:rPr>
          <w:rFonts w:ascii="Times New Roman" w:cs="Times New Roman" w:eastAsia="Times New Roman" w:hAnsi="Times New Roman"/>
          <w:b/>
          <w:bCs/>
          <w:sz w:val="28"/>
          <w:szCs w:val="28"/>
        </w:rPr>
        <w:t xml:space="preserve">Функції.</w:t>
      </w:r>
      <w:r>
        <w:rPr>
          <w:rFonts w:ascii="Times New Roman" w:cs="Times New Roman" w:eastAsia="Times New Roman" w:hAnsi="Times New Roman"/>
          <w:sz w:val="28"/>
          <w:szCs w:val="28"/>
        </w:rPr>
        <w:t xml:space="preserve"> Європейська Рада надає Союзу необхідні імпульси для розвитку і визначає загальні політичні напрями та пріоритети, проте </w:t>
      </w:r>
      <w:r>
        <w:rPr>
          <w:rFonts w:ascii="Times New Roman" w:cs="Times New Roman" w:eastAsia="Times New Roman" w:hAnsi="Times New Roman"/>
          <w:i/>
          <w:iCs/>
          <w:sz w:val="28"/>
          <w:szCs w:val="28"/>
        </w:rPr>
        <w:t xml:space="preserve">не здійснює законодавчих функцій</w:t>
      </w:r>
      <w:r>
        <w:rPr>
          <w:rFonts w:ascii="Times New Roman" w:cs="Times New Roman" w:eastAsia="Times New Roman" w:hAnsi="Times New Roman"/>
          <w:sz w:val="28"/>
          <w:szCs w:val="28"/>
        </w:rPr>
        <w:t xml:space="preserve"> (ст. 15(1) ДЄС). Її роль можна структурувати так:</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стратегічна</w:t>
      </w:r>
      <w:r>
        <w:rPr>
          <w:rFonts w:ascii="Times New Roman" w:cs="Times New Roman" w:eastAsia="Times New Roman" w:hAnsi="Times New Roman"/>
          <w:sz w:val="28"/>
          <w:szCs w:val="28"/>
        </w:rPr>
        <w:t xml:space="preserve"> — ухвалення Стратегічного порядку денного (чинний — на 2024–2029 рр., ухвалений 27 червня 2024 р.) та висновків саміту, які орієнтують роботу інших інституцій;</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кадрова (номінаційна)</w:t>
      </w:r>
      <w:r>
        <w:rPr>
          <w:rFonts w:ascii="Times New Roman" w:cs="Times New Roman" w:eastAsia="Times New Roman" w:hAnsi="Times New Roman"/>
          <w:sz w:val="28"/>
          <w:szCs w:val="28"/>
        </w:rPr>
        <w:t xml:space="preserve"> — пропонування кандидатури Голови Комісії з урахуванням результатів виборів до Європейського Парламенту (ст. 17(7) ДЄС), призначення Високого представника (ст. 18(1) ДЄС), членів Виконавчої ради ЄЦБ (ст. 283(2) ДФЄС). Показовий приклад — призначення 19 березня 2026 р. Бориса Вуйчича віцепрезидентом ЄЦБ (з 1 червня 2026 р.);</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конституційна</w:t>
      </w:r>
      <w:r>
        <w:rPr>
          <w:rFonts w:ascii="Times New Roman" w:cs="Times New Roman" w:eastAsia="Times New Roman" w:hAnsi="Times New Roman"/>
          <w:sz w:val="28"/>
          <w:szCs w:val="28"/>
        </w:rPr>
        <w:t xml:space="preserve"> — участь у процедурах перегляду Договорів (ст. 48 ДЄС), зокрема застосування «перехідних положень» (passerelle) щодо переходу від одностайності до кваліфікованої більшості;</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кризового управління</w:t>
      </w:r>
      <w:r>
        <w:rPr>
          <w:rFonts w:ascii="Times New Roman" w:cs="Times New Roman" w:eastAsia="Times New Roman" w:hAnsi="Times New Roman"/>
          <w:sz w:val="28"/>
          <w:szCs w:val="28"/>
        </w:rPr>
        <w:t xml:space="preserve"> — ухвалення політичних рішень у періоди криз (фінансова підтримка України, санкційна політика, безпекові рішення);</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у політиці розширення</w:t>
      </w:r>
      <w:r>
        <w:rPr>
          <w:rFonts w:ascii="Times New Roman" w:cs="Times New Roman" w:eastAsia="Times New Roman" w:hAnsi="Times New Roman"/>
          <w:sz w:val="28"/>
          <w:szCs w:val="28"/>
        </w:rPr>
        <w:t xml:space="preserve"> — визначення умов прийнятності (ст. 49 ДЄС), політичні рішення про надання статусу кандидата та відкриття переговорів (для України — 23 червня 2022 р. і 14 грудня 2023 р.);</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щодо цінностей і членства</w:t>
      </w:r>
      <w:r>
        <w:rPr>
          <w:rFonts w:ascii="Times New Roman" w:cs="Times New Roman" w:eastAsia="Times New Roman" w:hAnsi="Times New Roman"/>
          <w:sz w:val="28"/>
          <w:szCs w:val="28"/>
        </w:rPr>
        <w:t xml:space="preserve"> — констатація серйозного і тривалого порушення цінностей (ст. 7(2) ДЄС), визначення настанов для переговорів про вихід (ст. 50 ДЄС).</w:t>
      </w:r>
    </w:p>
    <w:p>
      <w:pPr>
        <w:spacing w:after="0" w:line="360"/>
        <w:ind w:firstLine="709"/>
        <w:jc w:val="both"/>
      </w:pPr>
      <w:r>
        <w:rPr>
          <w:rFonts w:ascii="Times New Roman" w:cs="Times New Roman" w:eastAsia="Times New Roman" w:hAnsi="Times New Roman"/>
          <w:b/>
          <w:bCs/>
          <w:sz w:val="28"/>
          <w:szCs w:val="28"/>
        </w:rPr>
        <w:t xml:space="preserve">Ухвалення рішень.</w:t>
      </w:r>
      <w:r>
        <w:rPr>
          <w:rFonts w:ascii="Times New Roman" w:cs="Times New Roman" w:eastAsia="Times New Roman" w:hAnsi="Times New Roman"/>
          <w:sz w:val="28"/>
          <w:szCs w:val="28"/>
        </w:rPr>
        <w:t xml:space="preserve"> Якщо Договори не передбачають іншого, Європейська Рада ухвалює рішення </w:t>
      </w:r>
      <w:r>
        <w:rPr>
          <w:rFonts w:ascii="Times New Roman" w:cs="Times New Roman" w:eastAsia="Times New Roman" w:hAnsi="Times New Roman"/>
          <w:i/>
          <w:iCs/>
          <w:sz w:val="28"/>
          <w:szCs w:val="28"/>
        </w:rPr>
        <w:t xml:space="preserve">консенсусом</w:t>
      </w:r>
      <w:r>
        <w:rPr>
          <w:rFonts w:ascii="Times New Roman" w:cs="Times New Roman" w:eastAsia="Times New Roman" w:hAnsi="Times New Roman"/>
          <w:sz w:val="28"/>
          <w:szCs w:val="28"/>
        </w:rPr>
        <w:t xml:space="preserve"> (ст. 15(4) ДЄС). У низці випадків застосовуються одностайність (наприклад, щодо складу Європейського Парламенту) або кваліфікована більшість (обрання свого Голови, пропозиція кандидатури Голови Комісії). Засідання відбуваються щонайменше двічі на пів року; на практиці — чотири офіційні засідання на рік і позачергові/неформальні саміти. Так, висновки Європейської Ради від 18–19 червня 2026 р. привітали відкриття першого переговорного кластера з Україною, закликали прискорити ухвалення 21-го пакета санкцій та зафіксували очікування першого надходження за позикою для України обсягом 90 млрд євро на 2026–2027 рр.</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Значення для грантово-проєктної політики.</w:t>
      </w:r>
      <w:r>
        <w:rPr>
          <w:rFonts w:ascii="Times New Roman" w:cs="Times New Roman" w:eastAsia="Times New Roman" w:hAnsi="Times New Roman"/>
          <w:sz w:val="26"/>
          <w:szCs w:val="26"/>
        </w:rPr>
        <w:t xml:space="preserve"> Висновки Європейської Ради не є юридично обов’язковими актами, однак саме вони задають «рамку очікувань» для Багаторічної фінансової рамки: остаточний політичний компроміс щодо обсягу і структури бюджету ЄС ухвалюється на рівні глав держав і урядів, після чого оформлюється регламентом Ради за згодою Парламенту (ст. 312 ДФЄС).</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2. Європейська Комісія: функції, повноваження та роль у розробленні політик і програм ЄС</w:t>
      </w:r>
    </w:p>
    <w:p>
      <w:pPr>
        <w:spacing w:after="0" w:line="360"/>
        <w:ind w:firstLine="709"/>
        <w:jc w:val="both"/>
      </w:pPr>
      <w:r>
        <w:rPr>
          <w:rFonts w:ascii="Times New Roman" w:cs="Times New Roman" w:eastAsia="Times New Roman" w:hAnsi="Times New Roman"/>
          <w:b/>
          <w:bCs/>
          <w:sz w:val="28"/>
          <w:szCs w:val="28"/>
        </w:rPr>
        <w:t xml:space="preserve">Склад і формування.</w:t>
      </w:r>
      <w:r>
        <w:rPr>
          <w:rFonts w:ascii="Times New Roman" w:cs="Times New Roman" w:eastAsia="Times New Roman" w:hAnsi="Times New Roman"/>
          <w:sz w:val="28"/>
          <w:szCs w:val="28"/>
        </w:rPr>
        <w:t xml:space="preserve"> Комісія складається з 27 членів — по одному громадянину від кожної держави-члена (Рішення Європейської Ради 2013/272/ЄС зберегло цей принцип попри положення ст. 17(5) ДЄС про можливе скорочення складу). Строк повноважень — п’ять років. Порядок формування (ст. 17(7) ДЄС):</w:t>
      </w:r>
    </w:p>
    <w:p>
      <w:pPr>
        <w:pStyle w:val="ListParagraph"/>
        <w:numPr>
          <w:ilvl w:val="0"/>
          <w:numId w:val="2"/>
        </w:numPr>
        <w:spacing w:after="0" w:line="360"/>
        <w:jc w:val="both"/>
      </w:pPr>
      <w:r>
        <w:rPr>
          <w:rFonts w:ascii="Times New Roman" w:cs="Times New Roman" w:eastAsia="Times New Roman" w:hAnsi="Times New Roman"/>
          <w:sz w:val="28"/>
          <w:szCs w:val="28"/>
        </w:rPr>
        <w:t xml:space="preserve">Європейська Рада кваліфікованою більшістю пропонує кандидатуру Голови Комісії з урахуванням результатів виборів до Європейського Парламенту;</w:t>
      </w:r>
    </w:p>
    <w:p>
      <w:pPr>
        <w:pStyle w:val="ListParagraph"/>
        <w:numPr>
          <w:ilvl w:val="0"/>
          <w:numId w:val="2"/>
        </w:numPr>
        <w:spacing w:after="0" w:line="360"/>
        <w:jc w:val="both"/>
      </w:pPr>
      <w:r>
        <w:rPr>
          <w:rFonts w:ascii="Times New Roman" w:cs="Times New Roman" w:eastAsia="Times New Roman" w:hAnsi="Times New Roman"/>
          <w:sz w:val="28"/>
          <w:szCs w:val="28"/>
        </w:rPr>
        <w:t xml:space="preserve">Європейський Парламент </w:t>
      </w:r>
      <w:r>
        <w:rPr>
          <w:rFonts w:ascii="Times New Roman" w:cs="Times New Roman" w:eastAsia="Times New Roman" w:hAnsi="Times New Roman"/>
          <w:i/>
          <w:iCs/>
          <w:sz w:val="28"/>
          <w:szCs w:val="28"/>
        </w:rPr>
        <w:t xml:space="preserve">обирає</w:t>
      </w:r>
      <w:r>
        <w:rPr>
          <w:rFonts w:ascii="Times New Roman" w:cs="Times New Roman" w:eastAsia="Times New Roman" w:hAnsi="Times New Roman"/>
          <w:sz w:val="28"/>
          <w:szCs w:val="28"/>
        </w:rPr>
        <w:t xml:space="preserve"> Голову Комісії більшістю голосів від загального складу (У. фон дер Ляєн переобрано 18 липня 2024 р.);</w:t>
      </w:r>
    </w:p>
    <w:p>
      <w:pPr>
        <w:pStyle w:val="ListParagraph"/>
        <w:numPr>
          <w:ilvl w:val="0"/>
          <w:numId w:val="2"/>
        </w:numPr>
        <w:spacing w:after="0" w:line="360"/>
        <w:jc w:val="both"/>
      </w:pPr>
      <w:r>
        <w:rPr>
          <w:rFonts w:ascii="Times New Roman" w:cs="Times New Roman" w:eastAsia="Times New Roman" w:hAnsi="Times New Roman"/>
          <w:sz w:val="28"/>
          <w:szCs w:val="28"/>
        </w:rPr>
        <w:t xml:space="preserve">Рада ЄС за згодою з обраним Головою ухвалює список інших членів Комісії на основі пропозицій держав-членів;</w:t>
      </w:r>
    </w:p>
    <w:p>
      <w:pPr>
        <w:pStyle w:val="ListParagraph"/>
        <w:numPr>
          <w:ilvl w:val="0"/>
          <w:numId w:val="2"/>
        </w:numPr>
        <w:spacing w:after="0" w:line="360"/>
        <w:jc w:val="both"/>
      </w:pPr>
      <w:r>
        <w:rPr>
          <w:rFonts w:ascii="Times New Roman" w:cs="Times New Roman" w:eastAsia="Times New Roman" w:hAnsi="Times New Roman"/>
          <w:sz w:val="28"/>
          <w:szCs w:val="28"/>
        </w:rPr>
        <w:t xml:space="preserve">кандидати проходять слухання у профільних комітетах Парламенту;</w:t>
      </w:r>
    </w:p>
    <w:p>
      <w:pPr>
        <w:pStyle w:val="ListParagraph"/>
        <w:numPr>
          <w:ilvl w:val="0"/>
          <w:numId w:val="2"/>
        </w:numPr>
        <w:spacing w:after="0" w:line="360"/>
        <w:jc w:val="both"/>
      </w:pPr>
      <w:r>
        <w:rPr>
          <w:rFonts w:ascii="Times New Roman" w:cs="Times New Roman" w:eastAsia="Times New Roman" w:hAnsi="Times New Roman"/>
          <w:sz w:val="28"/>
          <w:szCs w:val="28"/>
        </w:rPr>
        <w:t xml:space="preserve">Парламент голосує за надання згоди колегії в цілому, після чого Європейська Рада призначає Комісію кваліфікованою більшістю.</w:t>
      </w:r>
    </w:p>
    <w:p>
      <w:pPr>
        <w:spacing w:after="0" w:line="360"/>
        <w:ind w:firstLine="709"/>
        <w:jc w:val="both"/>
      </w:pPr>
      <w:r>
        <w:rPr>
          <w:rFonts w:ascii="Times New Roman" w:cs="Times New Roman" w:eastAsia="Times New Roman" w:hAnsi="Times New Roman"/>
          <w:sz w:val="28"/>
          <w:szCs w:val="28"/>
        </w:rPr>
        <w:t xml:space="preserve">Друга Комісія під головуванням </w:t>
      </w:r>
      <w:r>
        <w:rPr>
          <w:rFonts w:ascii="Times New Roman" w:cs="Times New Roman" w:eastAsia="Times New Roman" w:hAnsi="Times New Roman"/>
          <w:b/>
          <w:bCs/>
          <w:sz w:val="28"/>
          <w:szCs w:val="28"/>
        </w:rPr>
        <w:t xml:space="preserve">Урсули фон дер Ляєн</w:t>
      </w:r>
      <w:r>
        <w:rPr>
          <w:rFonts w:ascii="Times New Roman" w:cs="Times New Roman" w:eastAsia="Times New Roman" w:hAnsi="Times New Roman"/>
          <w:sz w:val="28"/>
          <w:szCs w:val="28"/>
        </w:rPr>
        <w:t xml:space="preserve"> розпочала роботу 1 грудня 2024 р. Колегія діє за принципом </w:t>
      </w:r>
      <w:r>
        <w:rPr>
          <w:rFonts w:ascii="Times New Roman" w:cs="Times New Roman" w:eastAsia="Times New Roman" w:hAnsi="Times New Roman"/>
          <w:i/>
          <w:iCs/>
          <w:sz w:val="28"/>
          <w:szCs w:val="28"/>
        </w:rPr>
        <w:t xml:space="preserve">колективної відповідальності</w:t>
      </w:r>
      <w:r>
        <w:rPr>
          <w:rFonts w:ascii="Times New Roman" w:cs="Times New Roman" w:eastAsia="Times New Roman" w:hAnsi="Times New Roman"/>
          <w:sz w:val="28"/>
          <w:szCs w:val="28"/>
        </w:rPr>
        <w:t xml:space="preserve"> перед Європейським Парламентом, який може висловити їй вотум недовіри більшістю у дві третини поданих голосів, що становлять більшість від загального складу (ст. 234 ДФЄС).</w:t>
      </w:r>
    </w:p>
    <w:p>
      <w:pPr>
        <w:keepNext/>
        <w:spacing w:after="40" w:before="120" w:line="276"/>
        <w:jc w:val="right"/>
      </w:pPr>
      <w:r>
        <w:rPr>
          <w:rFonts w:ascii="Times New Roman" w:cs="Times New Roman" w:eastAsia="Times New Roman" w:hAnsi="Times New Roman"/>
          <w:i/>
          <w:iCs/>
          <w:sz w:val="26"/>
          <w:szCs w:val="26"/>
        </w:rPr>
        <w:t xml:space="preserve">Таблиця 2.2</w:t>
      </w:r>
    </w:p>
    <w:p>
      <w:pPr>
        <w:keepNext/>
        <w:spacing w:after="80" w:before="0" w:line="276"/>
        <w:jc w:val="center"/>
      </w:pPr>
      <w:r>
        <w:rPr>
          <w:rFonts w:ascii="Times New Roman" w:cs="Times New Roman" w:eastAsia="Times New Roman" w:hAnsi="Times New Roman"/>
          <w:b/>
          <w:bCs/>
          <w:sz w:val="26"/>
          <w:szCs w:val="26"/>
        </w:rPr>
        <w:t xml:space="preserve">Члени Європейської Комісії 2024–2029 рр., портфелі яких найбільш релевантні для курсу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49"/>
        <w:gridCol w:w="1726"/>
        <w:gridCol w:w="3042"/>
        <w:gridCol w:w="2321"/>
      </w:tblGrid>
      <w:tr>
        <w:trPr>
          <w:tblHeader/>
        </w:trPr>
        <w:tc>
          <w:tcPr>
            <w:tcW w:type="dxa" w:w="254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Посада</w:t>
            </w:r>
          </w:p>
        </w:tc>
        <w:tc>
          <w:tcPr>
            <w:tcW w:type="dxa" w:w="172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Особа</w:t>
            </w:r>
          </w:p>
        </w:tc>
        <w:tc>
          <w:tcPr>
            <w:tcW w:type="dxa" w:w="30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Портфель (скорочено)</w:t>
            </w:r>
          </w:p>
        </w:tc>
        <w:tc>
          <w:tcPr>
            <w:tcW w:type="dxa" w:w="232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Релевантність для курсу</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Голова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Урсула фон дер Ляєн</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Загальне керівництво</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Політичні настанови 2024–2029</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віцепрезидентка / Висока представниця</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Кая Каллас</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Закордонні справи і політика безпеки</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Зовнішня політика, сусідство</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Виконавчий віцепрезидент</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Раффаеле Фітто</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Згуртованість і реформи</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Політика згуртованості, Interreg, RRF</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віцепрезидентка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Генна Вірккунен</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Технологічний суверенітет, безпека і демократія</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Digital Europe, цифровий ринок</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віцепрезидентка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Тереса Рібера</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Чистий, справедливий і конкурентоспроможний перехід</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Зелений курс, конкуренція</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Виконавчий віцепрезидент</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Стефан Сежурне</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Процвітання та промислова стратегія</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Промислова політика, єдиний ринок</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віцепрезидентка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Роксана Мінзату</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Соціальні права і навички, якісні робочі місця, готовність</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Союз навичок, людський капітал</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Марта Кос</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Розширення</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Переговори з Україною, Ukraine Facility</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Петр Серафін</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Бюджет, боротьба з шахрайством, публічне адміністрування</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БФР 2028–2034</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Екатеріна Захарієва</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Стартапи, дослідження та інновації</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Horizon Europe</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Гленн Мікаллеф</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Справедливість між поколіннями, молодь, культура і спорт</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Erasmus+, Creative Europe</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Єврокомісарка</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Джессіка Росвалл</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Довкілля, водна стійкість, конкурентоспроможна циркулярна економіка</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LIFE</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Марош Шефчович</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Торгівля та економічна безпека; міжінституційні відносини</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Торговельна політика, ПВЗВТ</w:t>
            </w:r>
          </w:p>
        </w:tc>
      </w:tr>
      <w:tr>
        <w:trPr>
          <w:tblHeader w:val="false"/>
        </w:trPr>
        <w:tc>
          <w:tcPr>
            <w:tcW w:type="dxa" w:w="254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Єврокомісар</w:t>
            </w:r>
          </w:p>
        </w:tc>
        <w:tc>
          <w:tcPr>
            <w:tcW w:type="dxa" w:w="172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Вальдіс Домбровскіс</w:t>
            </w:r>
          </w:p>
        </w:tc>
        <w:tc>
          <w:tcPr>
            <w:tcW w:type="dxa" w:w="30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Економіка і продуктивність; впровадження і спрощення</w:t>
            </w:r>
          </w:p>
        </w:tc>
        <w:tc>
          <w:tcPr>
            <w:tcW w:type="dxa" w:w="232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семестр, підтримка України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за даними офіційного сайту Європейської Комісії (станом на вересень 2026 р.).</w:t>
      </w:r>
    </w:p>
    <w:p>
      <w:pPr>
        <w:spacing w:after="0" w:line="360"/>
        <w:ind w:firstLine="709"/>
        <w:jc w:val="both"/>
      </w:pPr>
      <w:r>
        <w:rPr>
          <w:rFonts w:ascii="Times New Roman" w:cs="Times New Roman" w:eastAsia="Times New Roman" w:hAnsi="Times New Roman"/>
          <w:b/>
          <w:bCs/>
          <w:sz w:val="28"/>
          <w:szCs w:val="28"/>
        </w:rPr>
        <w:t xml:space="preserve">Функції</w:t>
      </w:r>
      <w:r>
        <w:rPr>
          <w:rFonts w:ascii="Times New Roman" w:cs="Times New Roman" w:eastAsia="Times New Roman" w:hAnsi="Times New Roman"/>
          <w:sz w:val="28"/>
          <w:szCs w:val="28"/>
        </w:rPr>
        <w:t xml:space="preserve"> (ст. 17(1)–(2) ДЄС):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право законодавчої ініціативи</w:t>
      </w:r>
      <w:r>
        <w:rPr>
          <w:rFonts w:ascii="Times New Roman" w:cs="Times New Roman" w:eastAsia="Times New Roman" w:hAnsi="Times New Roman"/>
          <w:sz w:val="28"/>
          <w:szCs w:val="28"/>
        </w:rPr>
        <w:t xml:space="preserve">: законодавчі акти Союзу можуть ухвалюватися лише на основі пропозиції Комісії, якщо Договори не передбачають іншого. Ця «монополія ініціативи» робить Комісію ключовим «архітектором» змісту політик і програм;</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виконавча функція</w:t>
      </w:r>
      <w:r>
        <w:rPr>
          <w:rFonts w:ascii="Times New Roman" w:cs="Times New Roman" w:eastAsia="Times New Roman" w:hAnsi="Times New Roman"/>
          <w:sz w:val="28"/>
          <w:szCs w:val="28"/>
        </w:rPr>
        <w:t xml:space="preserve">: виконання бюджету та управління програмами, ухвалення делегованих і виконавчих актів (ст. 290–291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контрольна функція</w:t>
      </w:r>
      <w:r>
        <w:rPr>
          <w:rFonts w:ascii="Times New Roman" w:cs="Times New Roman" w:eastAsia="Times New Roman" w:hAnsi="Times New Roman"/>
          <w:sz w:val="28"/>
          <w:szCs w:val="28"/>
        </w:rPr>
        <w:t xml:space="preserve"> («охоронниця Договорів»): нагляд за застосуванням права ЄС, ініціювання провадження щодо порушень проти держав-членів (ст. 258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представницька функція</w:t>
      </w:r>
      <w:r>
        <w:rPr>
          <w:rFonts w:ascii="Times New Roman" w:cs="Times New Roman" w:eastAsia="Times New Roman" w:hAnsi="Times New Roman"/>
          <w:sz w:val="28"/>
          <w:szCs w:val="28"/>
        </w:rPr>
        <w:t xml:space="preserve">: зовнішнє представництво Союзу (крім СЗБП), ведення торговельних переговорів і переговорів про вступ;</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програмувальна функція</w:t>
      </w:r>
      <w:r>
        <w:rPr>
          <w:rFonts w:ascii="Times New Roman" w:cs="Times New Roman" w:eastAsia="Times New Roman" w:hAnsi="Times New Roman"/>
          <w:sz w:val="28"/>
          <w:szCs w:val="28"/>
        </w:rPr>
        <w:t xml:space="preserve">: ініціювання щорічного та багаторічного програмування (Робоча програма Комісії; пропозиції щодо БФР).</w:t>
      </w:r>
    </w:p>
    <w:p>
      <w:pPr>
        <w:spacing w:after="0" w:line="360"/>
        <w:ind w:firstLine="709"/>
        <w:jc w:val="both"/>
      </w:pPr>
      <w:r>
        <w:rPr>
          <w:rFonts w:ascii="Times New Roman" w:cs="Times New Roman" w:eastAsia="Times New Roman" w:hAnsi="Times New Roman"/>
          <w:b/>
          <w:bCs/>
          <w:sz w:val="28"/>
          <w:szCs w:val="28"/>
        </w:rPr>
        <w:t xml:space="preserve">Структура і роль у програмах ЄС.</w:t>
      </w:r>
      <w:r>
        <w:rPr>
          <w:rFonts w:ascii="Times New Roman" w:cs="Times New Roman" w:eastAsia="Times New Roman" w:hAnsi="Times New Roman"/>
          <w:sz w:val="28"/>
          <w:szCs w:val="28"/>
        </w:rPr>
        <w:t xml:space="preserve"> Колегію підтримує адміністративний апарат із генеральних директоратів (ГД) і служб. Для курсу найважливішими є: ГД з питань освіти, молоді, спорту і культури (DG EAC), ГД з досліджень та інновацій (DG RTD), ГД з регіональної та міської політики (DG REGIO), ГД з питань розширення та Східного сусідства (DG ENEST), ГД з бюджету (DG BUDG), ГД з комунікаційних мереж, змісту та технологій (DG CNECT), ГД з торгівлі (DG TRADE). Безпосереднє адміністрування значної частини грантових конкурсів делеговано </w:t>
      </w:r>
      <w:r>
        <w:rPr>
          <w:rFonts w:ascii="Times New Roman" w:cs="Times New Roman" w:eastAsia="Times New Roman" w:hAnsi="Times New Roman"/>
          <w:b/>
          <w:bCs/>
          <w:sz w:val="28"/>
          <w:szCs w:val="28"/>
        </w:rPr>
        <w:t xml:space="preserve">виконавчим агенціям</w:t>
      </w:r>
      <w:r>
        <w:rPr>
          <w:rFonts w:ascii="Times New Roman" w:cs="Times New Roman" w:eastAsia="Times New Roman" w:hAnsi="Times New Roman"/>
          <w:sz w:val="28"/>
          <w:szCs w:val="28"/>
        </w:rPr>
        <w:t xml:space="preserve"> (табл. 2.3).</w:t>
      </w:r>
    </w:p>
    <w:p>
      <w:pPr>
        <w:keepNext/>
        <w:spacing w:after="40" w:before="120" w:line="276"/>
        <w:jc w:val="right"/>
      </w:pPr>
      <w:r>
        <w:rPr>
          <w:rFonts w:ascii="Times New Roman" w:cs="Times New Roman" w:eastAsia="Times New Roman" w:hAnsi="Times New Roman"/>
          <w:i/>
          <w:iCs/>
          <w:sz w:val="26"/>
          <w:szCs w:val="26"/>
        </w:rPr>
        <w:t xml:space="preserve">Таблиця 2.3</w:t>
      </w:r>
    </w:p>
    <w:p>
      <w:pPr>
        <w:keepNext/>
        <w:spacing w:after="80" w:before="0" w:line="276"/>
        <w:jc w:val="center"/>
      </w:pPr>
      <w:r>
        <w:rPr>
          <w:rFonts w:ascii="Times New Roman" w:cs="Times New Roman" w:eastAsia="Times New Roman" w:hAnsi="Times New Roman"/>
          <w:b/>
          <w:bCs/>
          <w:sz w:val="26"/>
          <w:szCs w:val="26"/>
        </w:rPr>
        <w:t xml:space="preserve">Виконавчі агенції Європейської Комісії та програми, якими вони управляють</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8"/>
        <w:gridCol w:w="5730"/>
      </w:tblGrid>
      <w:tr>
        <w:trPr>
          <w:tblHeader/>
        </w:trPr>
        <w:tc>
          <w:tcPr>
            <w:tcW w:type="dxa" w:w="390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Агенція</w:t>
            </w:r>
          </w:p>
        </w:tc>
        <w:tc>
          <w:tcPr>
            <w:tcW w:type="dxa" w:w="573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Основні програми / компоненти</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EACEA — Виконавча агенція з питань освіти і культури</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Erasmus+ (централізовані дії, зокрема Capacity Building in Higher Education, Jean Monnet), Creative Europe, European Solidarity Corps (частково)</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REA — Виконавча агенція з досліджень</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Horizon Europe (Marie Skłodowska-Curie Actions, Widening, частина кластерів), послуги з валідації учасників</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ERCEA — Виконавча агенція Європейської дослідницької ради</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Гранти Європейської дослідницької ради (ERC)</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CINEA — Виконавча агенція з клімату, інфраструктури та довкілля</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LIFE, Connecting Europe Facility, кластер 5 Horizon Europe</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HaDEA — Виконавча агенція з охорони здоров’я та цифрових технологій</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EU4Health, частина Digital Europe, кластери 1 і 4 Horizon Europe</w:t>
            </w:r>
          </w:p>
        </w:tc>
      </w:tr>
      <w:tr>
        <w:trPr>
          <w:tblHeader w:val="false"/>
        </w:trPr>
        <w:tc>
          <w:tcPr>
            <w:tcW w:type="dxa" w:w="39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EISMEA — Виконавча агенція Європейської ради з інновацій і МСП</w:t>
            </w:r>
          </w:p>
        </w:tc>
        <w:tc>
          <w:tcPr>
            <w:tcW w:type="dxa" w:w="573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European Innovation Council, Single Market Programme (компонент МСП)</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офіційних сайтів агенцій.</w:t>
      </w:r>
    </w:p>
    <w:p>
      <w:pPr>
        <w:spacing w:after="0" w:line="360"/>
        <w:ind w:firstLine="709"/>
        <w:jc w:val="both"/>
      </w:pPr>
      <w:r>
        <w:rPr>
          <w:rFonts w:ascii="Times New Roman" w:cs="Times New Roman" w:eastAsia="Times New Roman" w:hAnsi="Times New Roman"/>
          <w:sz w:val="28"/>
          <w:szCs w:val="28"/>
        </w:rPr>
        <w:t xml:space="preserve">Аналіз структури видатків бюджету ЄС на дослідження та інновації і моделей фінансування міжнародних грантових угод засвідчує, що саме рівень Комісії та її агенцій визначає параметри конкурсів, ставки фінансування та вимоги до консорціумів [4; 5]. Отже, у грантово-проєктному циклі Комісія виконує потрійну роль: </w:t>
      </w:r>
      <w:r>
        <w:rPr>
          <w:rFonts w:ascii="Times New Roman" w:cs="Times New Roman" w:eastAsia="Times New Roman" w:hAnsi="Times New Roman"/>
          <w:i/>
          <w:iCs/>
          <w:sz w:val="28"/>
          <w:szCs w:val="28"/>
        </w:rPr>
        <w:t xml:space="preserve">розробляє</w:t>
      </w:r>
      <w:r>
        <w:rPr>
          <w:rFonts w:ascii="Times New Roman" w:cs="Times New Roman" w:eastAsia="Times New Roman" w:hAnsi="Times New Roman"/>
          <w:sz w:val="28"/>
          <w:szCs w:val="28"/>
        </w:rPr>
        <w:t xml:space="preserve"> правову основу програм (пропозиції регламентів), </w:t>
      </w:r>
      <w:r>
        <w:rPr>
          <w:rFonts w:ascii="Times New Roman" w:cs="Times New Roman" w:eastAsia="Times New Roman" w:hAnsi="Times New Roman"/>
          <w:i/>
          <w:iCs/>
          <w:sz w:val="28"/>
          <w:szCs w:val="28"/>
        </w:rPr>
        <w:t xml:space="preserve">програмує</w:t>
      </w:r>
      <w:r>
        <w:rPr>
          <w:rFonts w:ascii="Times New Roman" w:cs="Times New Roman" w:eastAsia="Times New Roman" w:hAnsi="Times New Roman"/>
          <w:sz w:val="28"/>
          <w:szCs w:val="28"/>
        </w:rPr>
        <w:t xml:space="preserve"> їх реалізацію (робочі програми, програмні настанови) і </w:t>
      </w:r>
      <w:r>
        <w:rPr>
          <w:rFonts w:ascii="Times New Roman" w:cs="Times New Roman" w:eastAsia="Times New Roman" w:hAnsi="Times New Roman"/>
          <w:i/>
          <w:iCs/>
          <w:sz w:val="28"/>
          <w:szCs w:val="28"/>
        </w:rPr>
        <w:t xml:space="preserve">управляє</w:t>
      </w:r>
      <w:r>
        <w:rPr>
          <w:rFonts w:ascii="Times New Roman" w:cs="Times New Roman" w:eastAsia="Times New Roman" w:hAnsi="Times New Roman"/>
          <w:sz w:val="28"/>
          <w:szCs w:val="28"/>
        </w:rPr>
        <w:t xml:space="preserve"> ними безпосередньо або через агенції та національні агентства.</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3. Європейський Парламент у системі демократичного представництва та контролю</w:t>
      </w:r>
    </w:p>
    <w:p>
      <w:pPr>
        <w:spacing w:after="0" w:line="360"/>
        <w:ind w:firstLine="709"/>
        <w:jc w:val="both"/>
      </w:pPr>
      <w:r>
        <w:rPr>
          <w:rFonts w:ascii="Times New Roman" w:cs="Times New Roman" w:eastAsia="Times New Roman" w:hAnsi="Times New Roman"/>
          <w:b/>
          <w:bCs/>
          <w:sz w:val="28"/>
          <w:szCs w:val="28"/>
        </w:rPr>
        <w:t xml:space="preserve">Склад і формування.</w:t>
      </w:r>
      <w:r>
        <w:rPr>
          <w:rFonts w:ascii="Times New Roman" w:cs="Times New Roman" w:eastAsia="Times New Roman" w:hAnsi="Times New Roman"/>
          <w:sz w:val="28"/>
          <w:szCs w:val="28"/>
        </w:rPr>
        <w:t xml:space="preserve"> Європейський Парламент — єдина інституція ЄС, що обирається безпосередньо громадянами (з 1979 р.) на п’ять років. Договір встановлює максимальну чисельність 750 депутатів плюс Голова, а також принцип </w:t>
      </w:r>
      <w:r>
        <w:rPr>
          <w:rFonts w:ascii="Times New Roman" w:cs="Times New Roman" w:eastAsia="Times New Roman" w:hAnsi="Times New Roman"/>
          <w:i/>
          <w:iCs/>
          <w:sz w:val="28"/>
          <w:szCs w:val="28"/>
        </w:rPr>
        <w:t xml:space="preserve">дегресивної пропорційності</w:t>
      </w:r>
      <w:r>
        <w:rPr>
          <w:rFonts w:ascii="Times New Roman" w:cs="Times New Roman" w:eastAsia="Times New Roman" w:hAnsi="Times New Roman"/>
          <w:sz w:val="28"/>
          <w:szCs w:val="28"/>
        </w:rPr>
        <w:t xml:space="preserve">: мінімум 6 і максимум 96 мандатів на державу (ст. 14(2) ДЄС). У скликанні 2024–2029 рр. (вибори 6–9 червня 2024 р.) до Парламенту обрано </w:t>
      </w:r>
      <w:r>
        <w:rPr>
          <w:rFonts w:ascii="Times New Roman" w:cs="Times New Roman" w:eastAsia="Times New Roman" w:hAnsi="Times New Roman"/>
          <w:b/>
          <w:bCs/>
          <w:sz w:val="28"/>
          <w:szCs w:val="28"/>
        </w:rPr>
        <w:t xml:space="preserve">720 депутатів</w:t>
      </w:r>
      <w:r>
        <w:rPr>
          <w:rFonts w:ascii="Times New Roman" w:cs="Times New Roman" w:eastAsia="Times New Roman" w:hAnsi="Times New Roman"/>
          <w:sz w:val="28"/>
          <w:szCs w:val="28"/>
        </w:rPr>
        <w:t xml:space="preserve">. Головою Парламенту 16 липня 2024 р. переобрано </w:t>
      </w:r>
      <w:r>
        <w:rPr>
          <w:rFonts w:ascii="Times New Roman" w:cs="Times New Roman" w:eastAsia="Times New Roman" w:hAnsi="Times New Roman"/>
          <w:b/>
          <w:bCs/>
          <w:sz w:val="28"/>
          <w:szCs w:val="28"/>
        </w:rPr>
        <w:t xml:space="preserve">Роберту Мецолу</w:t>
      </w:r>
      <w:r>
        <w:rPr>
          <w:rFonts w:ascii="Times New Roman" w:cs="Times New Roman" w:eastAsia="Times New Roman" w:hAnsi="Times New Roman"/>
          <w:sz w:val="28"/>
          <w:szCs w:val="28"/>
        </w:rPr>
        <w:t xml:space="preserve"> (Мальта); вибори Голови на другу половину скликання заплановано на січень 2027 р.</w:t>
      </w:r>
    </w:p>
    <w:p>
      <w:pPr>
        <w:spacing w:after="0" w:line="360"/>
        <w:ind w:firstLine="709"/>
        <w:jc w:val="both"/>
      </w:pPr>
      <w:r>
        <w:rPr>
          <w:rFonts w:ascii="Times New Roman" w:cs="Times New Roman" w:eastAsia="Times New Roman" w:hAnsi="Times New Roman"/>
          <w:sz w:val="28"/>
          <w:szCs w:val="28"/>
        </w:rPr>
        <w:t xml:space="preserve">Депутати об’єднуються не за національною, а за політичною ознакою (табл. 2.4).</w:t>
      </w:r>
    </w:p>
    <w:p>
      <w:pPr>
        <w:keepNext/>
        <w:spacing w:after="40" w:before="120" w:line="276"/>
        <w:jc w:val="right"/>
      </w:pPr>
      <w:r>
        <w:rPr>
          <w:rFonts w:ascii="Times New Roman" w:cs="Times New Roman" w:eastAsia="Times New Roman" w:hAnsi="Times New Roman"/>
          <w:i/>
          <w:iCs/>
          <w:sz w:val="26"/>
          <w:szCs w:val="26"/>
        </w:rPr>
        <w:t xml:space="preserve">Таблиця 2.4</w:t>
      </w:r>
    </w:p>
    <w:p>
      <w:pPr>
        <w:keepNext/>
        <w:spacing w:after="80" w:before="0" w:line="276"/>
        <w:jc w:val="center"/>
      </w:pPr>
      <w:r>
        <w:rPr>
          <w:rFonts w:ascii="Times New Roman" w:cs="Times New Roman" w:eastAsia="Times New Roman" w:hAnsi="Times New Roman"/>
          <w:b/>
          <w:bCs/>
          <w:sz w:val="26"/>
          <w:szCs w:val="26"/>
        </w:rPr>
        <w:t xml:space="preserve">Політичні групи Європейського Парламенту (на момент конститутивної сесії, липень 2024 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9"/>
        <w:gridCol w:w="3147"/>
        <w:gridCol w:w="1351"/>
        <w:gridCol w:w="1531"/>
      </w:tblGrid>
      <w:tr>
        <w:trPr>
          <w:tblHeader/>
        </w:trPr>
        <w:tc>
          <w:tcPr>
            <w:tcW w:type="dxa" w:w="360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Політична група</w:t>
            </w:r>
          </w:p>
        </w:tc>
        <w:tc>
          <w:tcPr>
            <w:tcW w:type="dxa" w:w="314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Ідеологічна орієнтація</w:t>
            </w:r>
          </w:p>
        </w:tc>
        <w:tc>
          <w:tcPr>
            <w:tcW w:type="dxa" w:w="135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Мандати</w:t>
            </w:r>
          </w:p>
        </w:tc>
        <w:tc>
          <w:tcPr>
            <w:tcW w:type="dxa" w:w="153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Частка, %</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Європейська народна партія (EPP)</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Правоцентристи, християнські демократи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188</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26,1</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Прогресивний альянс соціалістів і демократів (S&amp;D)</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Лівоцентристи, соціал-демократи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136</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18,9</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Патріоти за Європу (PfE)</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Праві націонал-консерватори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84</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11,7</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Європейські консерватори і реформісти (ECR)</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Консерватори, єврореалісти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78</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10,8</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Оновлюючи Європу (Renew Europe)</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Ліберали, центристи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77</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10,7</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Зелені / Європейський вільний альянс (Greens/EFA)</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Екологісти, регіоналісти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53</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7,4</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Ліві (The Left)</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Ліві</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46</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6,4</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Європа суверенних націй (ESN)</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Праві радикали</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25</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3,5</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Позафракційні депутати (NI)</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w:t>
            </w: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33</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4,6</w:t>
            </w:r>
          </w:p>
        </w:tc>
      </w:tr>
      <w:tr>
        <w:trPr>
          <w:tblHeader w:val="false"/>
        </w:trPr>
        <w:tc>
          <w:tcPr>
            <w:tcW w:type="dxa" w:w="360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bCs/>
                <w:sz w:val="24"/>
                <w:szCs w:val="24"/>
              </w:rPr>
              <w:t xml:space="preserve">Разом</w:t>
            </w:r>
          </w:p>
        </w:tc>
        <w:tc>
          <w:tcPr>
            <w:tcW w:type="dxa" w:w="314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p>
        </w:tc>
        <w:tc>
          <w:tcPr>
            <w:tcW w:type="dxa" w:w="135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bCs/>
                <w:sz w:val="24"/>
                <w:szCs w:val="24"/>
              </w:rPr>
              <w:t xml:space="preserve">720</w:t>
            </w:r>
          </w:p>
        </w:tc>
        <w:tc>
          <w:tcPr>
            <w:tcW w:type="dxa" w:w="153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bCs/>
                <w:sz w:val="24"/>
                <w:szCs w:val="24"/>
              </w:rPr>
              <w:t xml:space="preserve">100,0</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за даними EPRS [17]. Чисельність груп змінюється протягом скликання.</w:t>
      </w:r>
    </w:p>
    <w:p>
      <w:pPr>
        <w:spacing w:after="0" w:line="360"/>
        <w:ind w:firstLine="709"/>
        <w:jc w:val="both"/>
      </w:pPr>
      <w:r>
        <w:rPr>
          <w:rFonts w:ascii="Times New Roman" w:cs="Times New Roman" w:eastAsia="Times New Roman" w:hAnsi="Times New Roman"/>
          <w:b/>
          <w:bCs/>
          <w:sz w:val="28"/>
          <w:szCs w:val="28"/>
        </w:rPr>
        <w:t xml:space="preserve">Повноваження.</w:t>
      </w:r>
      <w:r>
        <w:rPr>
          <w:rFonts w:ascii="Times New Roman" w:cs="Times New Roman" w:eastAsia="Times New Roman" w:hAnsi="Times New Roman"/>
          <w:sz w:val="28"/>
          <w:szCs w:val="28"/>
        </w:rPr>
        <w:t xml:space="preserve"> Функції Парламенту закріплено у ст. 14(1) ДЄС: спільно з Радою він здійснює законодавчу і бюджетну функції, а також функції політичного контролю та консультації.</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Законодавчі</w:t>
      </w:r>
      <w:r>
        <w:rPr>
          <w:rFonts w:ascii="Times New Roman" w:cs="Times New Roman" w:eastAsia="Times New Roman" w:hAnsi="Times New Roman"/>
          <w:sz w:val="28"/>
          <w:szCs w:val="28"/>
        </w:rPr>
        <w:t xml:space="preserve">: співзаконодавець у звичайній законодавчій процедурі (ст. 294 ДФЄС), яка охоплює більшість сфер, зокрема освіту, дослідження, згуртованість, довкілля; надання згоди або висловлення позиції в спеціальних процедурах; право вимагати від Комісії внесення законодавчої пропозиції (ст. 225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Бюджетні</w:t>
      </w:r>
      <w:r>
        <w:rPr>
          <w:rFonts w:ascii="Times New Roman" w:cs="Times New Roman" w:eastAsia="Times New Roman" w:hAnsi="Times New Roman"/>
          <w:sz w:val="28"/>
          <w:szCs w:val="28"/>
        </w:rPr>
        <w:t xml:space="preserve">: ухвалення щорічного бюджету разом із Радою (ст. 314 ДФЄС); надання згоди на регламент про БФР (ст. 312 ДФЄС); рішення про звільнення Комісії від відповідальності за виконання бюджету (discharge, ст. 319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Контрольні</w:t>
      </w:r>
      <w:r>
        <w:rPr>
          <w:rFonts w:ascii="Times New Roman" w:cs="Times New Roman" w:eastAsia="Times New Roman" w:hAnsi="Times New Roman"/>
          <w:sz w:val="28"/>
          <w:szCs w:val="28"/>
        </w:rPr>
        <w:t xml:space="preserve">: обрання Голови Комісії та згода на призначення колегії; вотум недовіри (ст. 234 ДФЄС); парламентські запитання (ст. 230 ДФЄС); тимчасові слідчі комітети (ст. 226 ДФЄС); петиції (ст. 227 ДФЄС); обрання Європейського омбудсмана (ст. 228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Зовнішньополітичні</w:t>
      </w:r>
      <w:r>
        <w:rPr>
          <w:rFonts w:ascii="Times New Roman" w:cs="Times New Roman" w:eastAsia="Times New Roman" w:hAnsi="Times New Roman"/>
          <w:sz w:val="28"/>
          <w:szCs w:val="28"/>
        </w:rPr>
        <w:t xml:space="preserve">: згода на укладення угод про асоціацію та інших ключових міжнародних угод (ст. 218(6) ДФЄС) і на вступ нових держав-членів (ст. 49 ДЄС).</w:t>
      </w:r>
    </w:p>
    <w:p>
      <w:pPr>
        <w:spacing w:after="0" w:line="360"/>
        <w:ind w:firstLine="709"/>
        <w:jc w:val="both"/>
      </w:pPr>
      <w:r>
        <w:rPr>
          <w:rFonts w:ascii="Times New Roman" w:cs="Times New Roman" w:eastAsia="Times New Roman" w:hAnsi="Times New Roman"/>
          <w:sz w:val="28"/>
          <w:szCs w:val="28"/>
        </w:rPr>
        <w:t xml:space="preserve">Робота Парламенту організована через постійні комітети. Для тематики курсу ключовими є комітети з бюджету (BUDG), бюджетного контролю (CONT), промисловості, досліджень та енергетики (ITRE), культури та освіти (CULT), регіонального розвитку (REGI), закордонних справ (AFET), міжнародної торгівлі (INTA), довкілля (ENVI). Парламентський вимір відносин з Україною забезпечує Парламентський комітет асоціації Україна — ЄС. Позиція Парламенту в бюджетних переговорах традиційно є більш амбітною, ніж позиція Ради: так, у травні 2026 р. Парламент ухвалив проміжну доповідь із закликом до суттєво більш амбітної БФР 2028–2034 рр.</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4. Рада Європейського Союзу як інституція узгодження позицій держав-членів</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Термінологічне застереження.</w:t>
      </w:r>
      <w:r>
        <w:rPr>
          <w:rFonts w:ascii="Times New Roman" w:cs="Times New Roman" w:eastAsia="Times New Roman" w:hAnsi="Times New Roman"/>
          <w:sz w:val="26"/>
          <w:szCs w:val="26"/>
        </w:rPr>
        <w:t xml:space="preserve"> Раду ЄС (Council of the European Union) не слід плутати з Європейською Радою (European Council) та з Радою Європи (Council of Europe) — окремою міжнародною організацією зі штаб-квартирою у Страсбурзі (46 держав, у т.ч. Україна), що не є інституцією ЄС.</w:t>
      </w:r>
    </w:p>
    <w:p>
      <w:pPr>
        <w:spacing w:after="0" w:line="360"/>
        <w:ind w:firstLine="709"/>
        <w:jc w:val="both"/>
      </w:pPr>
      <w:r>
        <w:rPr>
          <w:rFonts w:ascii="Times New Roman" w:cs="Times New Roman" w:eastAsia="Times New Roman" w:hAnsi="Times New Roman"/>
          <w:b/>
          <w:bCs/>
          <w:sz w:val="28"/>
          <w:szCs w:val="28"/>
        </w:rPr>
        <w:t xml:space="preserve">Склад і конфігурації.</w:t>
      </w:r>
      <w:r>
        <w:rPr>
          <w:rFonts w:ascii="Times New Roman" w:cs="Times New Roman" w:eastAsia="Times New Roman" w:hAnsi="Times New Roman"/>
          <w:sz w:val="28"/>
          <w:szCs w:val="28"/>
        </w:rPr>
        <w:t xml:space="preserve"> Рада складається з представників кожної держави-члена на рівні міністрів, уповноважених ухвалювати обов’язкові для свого уряду рішення (ст. 16(2) ДЄС). Рада збирається у </w:t>
      </w:r>
      <w:r>
        <w:rPr>
          <w:rFonts w:ascii="Times New Roman" w:cs="Times New Roman" w:eastAsia="Times New Roman" w:hAnsi="Times New Roman"/>
          <w:b/>
          <w:bCs/>
          <w:sz w:val="28"/>
          <w:szCs w:val="28"/>
        </w:rPr>
        <w:t xml:space="preserve">10 конфігураціях</w:t>
      </w:r>
      <w:r>
        <w:rPr>
          <w:rFonts w:ascii="Times New Roman" w:cs="Times New Roman" w:eastAsia="Times New Roman" w:hAnsi="Times New Roman"/>
          <w:sz w:val="28"/>
          <w:szCs w:val="28"/>
        </w:rPr>
        <w:t xml:space="preserve">: загальних справ; закордонних справ; економічних і фінансових питань (ECOFIN); юстиції та внутрішніх справ; зайнятості, соціальної політики, охорони здоров’я і захисту прав споживачів; конкурентоспроможності; транспорту, телекомунікацій та енергетики; сільського господарства і рибальства; довкілля; освіти, молоді, культури і спорту.</w:t>
      </w:r>
    </w:p>
    <w:p>
      <w:pPr>
        <w:spacing w:after="0" w:line="360"/>
        <w:ind w:firstLine="709"/>
        <w:jc w:val="both"/>
      </w:pPr>
      <w:r>
        <w:rPr>
          <w:rFonts w:ascii="Times New Roman" w:cs="Times New Roman" w:eastAsia="Times New Roman" w:hAnsi="Times New Roman"/>
          <w:b/>
          <w:bCs/>
          <w:sz w:val="28"/>
          <w:szCs w:val="28"/>
        </w:rPr>
        <w:t xml:space="preserve">Головування.</w:t>
      </w:r>
      <w:r>
        <w:rPr>
          <w:rFonts w:ascii="Times New Roman" w:cs="Times New Roman" w:eastAsia="Times New Roman" w:hAnsi="Times New Roman"/>
          <w:sz w:val="28"/>
          <w:szCs w:val="28"/>
        </w:rPr>
        <w:t xml:space="preserve"> Головування в Раді (крім Ради закордонних справ, яку очолює Високий представник) здійснюють держави-члени за принципом рівної ротації по шість місяців. Для забезпечення наступності головуючі держави формують «тріо» з 18-місячною спільною програмою. Із 1 липня 2026 р. головує </w:t>
      </w:r>
      <w:r>
        <w:rPr>
          <w:rFonts w:ascii="Times New Roman" w:cs="Times New Roman" w:eastAsia="Times New Roman" w:hAnsi="Times New Roman"/>
          <w:b/>
          <w:bCs/>
          <w:sz w:val="28"/>
          <w:szCs w:val="28"/>
        </w:rPr>
        <w:t xml:space="preserve">Ірландія</w:t>
      </w:r>
      <w:r>
        <w:rPr>
          <w:rFonts w:ascii="Times New Roman" w:cs="Times New Roman" w:eastAsia="Times New Roman" w:hAnsi="Times New Roman"/>
          <w:sz w:val="28"/>
          <w:szCs w:val="28"/>
        </w:rPr>
        <w:t xml:space="preserve">, яка відкрила нове тріо разом із Литвою (січень–червень 2027 р.) та Грецією (липень–грудень 2027 р.). Попереднє тріо становили Польща, Данія та Кіпр (2025 — червень 2026 р.). Саме за головування Кіпру було досягнуто згоди щодо відкриття першого кластера з Україною, а за головування Ірландії відкрито кластер 6.</w:t>
      </w:r>
    </w:p>
    <w:p>
      <w:pPr>
        <w:spacing w:after="0" w:line="360"/>
        <w:ind w:firstLine="709"/>
        <w:jc w:val="both"/>
      </w:pPr>
      <w:r>
        <w:rPr>
          <w:rFonts w:ascii="Times New Roman" w:cs="Times New Roman" w:eastAsia="Times New Roman" w:hAnsi="Times New Roman"/>
          <w:b/>
          <w:bCs/>
          <w:sz w:val="28"/>
          <w:szCs w:val="28"/>
        </w:rPr>
        <w:t xml:space="preserve">Підготовчі органи.</w:t>
      </w:r>
      <w:r>
        <w:rPr>
          <w:rFonts w:ascii="Times New Roman" w:cs="Times New Roman" w:eastAsia="Times New Roman" w:hAnsi="Times New Roman"/>
          <w:sz w:val="28"/>
          <w:szCs w:val="28"/>
        </w:rPr>
        <w:t xml:space="preserve"> Рішення Ради готує Комітет постійних представників (</w:t>
      </w:r>
      <w:r>
        <w:rPr>
          <w:rFonts w:ascii="Times New Roman" w:cs="Times New Roman" w:eastAsia="Times New Roman" w:hAnsi="Times New Roman"/>
          <w:b/>
          <w:bCs/>
          <w:sz w:val="28"/>
          <w:szCs w:val="28"/>
        </w:rPr>
        <w:t xml:space="preserve">COREPER</w:t>
      </w:r>
      <w:r>
        <w:rPr>
          <w:rFonts w:ascii="Times New Roman" w:cs="Times New Roman" w:eastAsia="Times New Roman" w:hAnsi="Times New Roman"/>
          <w:sz w:val="28"/>
          <w:szCs w:val="28"/>
        </w:rPr>
        <w:t xml:space="preserve">, ст. 16(7) ДЄС, ст. 240 ДФЄС): COREPER II (посли) готує роботу Ради загальних справ, закордонних справ, ECOFIN, юстиції та внутрішніх справ; COREPER I (заступники послів) — решти конфігурацій. Технічний рівень становлять понад 150 робочих груп і комітетів. Значна частина питань погоджується на рівні робочих груп і COREPER («пункти A») і лише формально затверджується міністрами.</w:t>
      </w:r>
    </w:p>
    <w:p>
      <w:pPr>
        <w:spacing w:after="0" w:line="360"/>
        <w:ind w:firstLine="709"/>
        <w:jc w:val="both"/>
      </w:pPr>
      <w:r>
        <w:rPr>
          <w:rFonts w:ascii="Times New Roman" w:cs="Times New Roman" w:eastAsia="Times New Roman" w:hAnsi="Times New Roman"/>
          <w:b/>
          <w:bCs/>
          <w:sz w:val="28"/>
          <w:szCs w:val="28"/>
        </w:rPr>
        <w:t xml:space="preserve">Способи голосування.</w:t>
      </w:r>
      <w:r>
        <w:rPr>
          <w:rFonts w:ascii="Times New Roman" w:cs="Times New Roman" w:eastAsia="Times New Roman" w:hAnsi="Times New Roman"/>
          <w:sz w:val="28"/>
          <w:szCs w:val="28"/>
        </w:rPr>
        <w:t xml:space="preserve"> Якщо Договори не передбачають іншого, Рада ухвалює рішення </w:t>
      </w:r>
      <w:r>
        <w:rPr>
          <w:rFonts w:ascii="Times New Roman" w:cs="Times New Roman" w:eastAsia="Times New Roman" w:hAnsi="Times New Roman"/>
          <w:b/>
          <w:bCs/>
          <w:sz w:val="28"/>
          <w:szCs w:val="28"/>
        </w:rPr>
        <w:t xml:space="preserve">кваліфікованою більшістю</w:t>
      </w:r>
      <w:r>
        <w:rPr>
          <w:rFonts w:ascii="Times New Roman" w:cs="Times New Roman" w:eastAsia="Times New Roman" w:hAnsi="Times New Roman"/>
          <w:sz w:val="28"/>
          <w:szCs w:val="28"/>
        </w:rPr>
        <w:t xml:space="preserve"> (ст. 16(3) ДЄС).</w:t>
      </w:r>
    </w:p>
    <w:p>
      <w:pPr>
        <w:keepNext/>
        <w:spacing w:after="40" w:before="120" w:line="276"/>
        <w:jc w:val="right"/>
      </w:pPr>
      <w:r>
        <w:rPr>
          <w:rFonts w:ascii="Times New Roman" w:cs="Times New Roman" w:eastAsia="Times New Roman" w:hAnsi="Times New Roman"/>
          <w:i/>
          <w:iCs/>
          <w:sz w:val="26"/>
          <w:szCs w:val="26"/>
        </w:rPr>
        <w:t xml:space="preserve">Таблиця 2.5</w:t>
      </w:r>
    </w:p>
    <w:p>
      <w:pPr>
        <w:keepNext/>
        <w:spacing w:after="80" w:before="0" w:line="276"/>
        <w:jc w:val="center"/>
      </w:pPr>
      <w:r>
        <w:rPr>
          <w:rFonts w:ascii="Times New Roman" w:cs="Times New Roman" w:eastAsia="Times New Roman" w:hAnsi="Times New Roman"/>
          <w:b/>
          <w:bCs/>
          <w:sz w:val="26"/>
          <w:szCs w:val="26"/>
        </w:rPr>
        <w:t xml:space="preserve">Правила голосування в Раді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8"/>
        <w:gridCol w:w="3875"/>
        <w:gridCol w:w="3755"/>
      </w:tblGrid>
      <w:tr>
        <w:trPr>
          <w:tblHeader/>
        </w:trPr>
        <w:tc>
          <w:tcPr>
            <w:tcW w:type="dxa" w:w="200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Правило</w:t>
            </w:r>
          </w:p>
        </w:tc>
        <w:tc>
          <w:tcPr>
            <w:tcW w:type="dxa" w:w="387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Умови</w:t>
            </w:r>
          </w:p>
        </w:tc>
        <w:tc>
          <w:tcPr>
            <w:tcW w:type="dxa" w:w="375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Сфери застосування (приклади)</w:t>
            </w:r>
          </w:p>
        </w:tc>
      </w:tr>
      <w:tr>
        <w:trPr>
          <w:tblHeader w:val="false"/>
        </w:trPr>
        <w:tc>
          <w:tcPr>
            <w:tcW w:type="dxa" w:w="20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Кваліфікована більшість (звичайна)</w:t>
            </w:r>
          </w:p>
        </w:tc>
        <w:tc>
          <w:tcPr>
            <w:tcW w:type="dxa" w:w="38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щонайменше 55 % держав-членів (15 з 27), що представляють щонайменше 65 % населення ЄС; блокувальна меншість — щонайменше 4 держави</w:t>
            </w:r>
          </w:p>
        </w:tc>
        <w:tc>
          <w:tcPr>
            <w:tcW w:type="dxa" w:w="37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Більшість законодавчих актів у звичайній процедурі (близько 80 % законодавства), зокрема регламенти програм ЄС</w:t>
            </w:r>
          </w:p>
        </w:tc>
      </w:tr>
      <w:tr>
        <w:trPr>
          <w:tblHeader w:val="false"/>
        </w:trPr>
        <w:tc>
          <w:tcPr>
            <w:tcW w:type="dxa" w:w="20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Посилена кваліфікована більшість</w:t>
            </w:r>
          </w:p>
        </w:tc>
        <w:tc>
          <w:tcPr>
            <w:tcW w:type="dxa" w:w="38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72 % держав-членів (20 з 27) і 65 % населення</w:t>
            </w:r>
          </w:p>
        </w:tc>
        <w:tc>
          <w:tcPr>
            <w:tcW w:type="dxa" w:w="37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ухвалені не за пропозицією Комісії або Високого представника</w:t>
            </w:r>
          </w:p>
        </w:tc>
      </w:tr>
      <w:tr>
        <w:trPr>
          <w:tblHeader w:val="false"/>
        </w:trPr>
        <w:tc>
          <w:tcPr>
            <w:tcW w:type="dxa" w:w="20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Одностайність</w:t>
            </w:r>
          </w:p>
        </w:tc>
        <w:tc>
          <w:tcPr>
            <w:tcW w:type="dxa" w:w="38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згода всіх держав-членів (утримання не перешкоджає ухваленню)</w:t>
            </w:r>
          </w:p>
        </w:tc>
        <w:tc>
          <w:tcPr>
            <w:tcW w:type="dxa" w:w="37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СЗБП, оподаткування, соціальне забезпечення, вступ нових членів і кожен етап переговорів, регламент про БФР, власні ресурси</w:t>
            </w:r>
          </w:p>
        </w:tc>
      </w:tr>
      <w:tr>
        <w:trPr>
          <w:tblHeader w:val="false"/>
        </w:trPr>
        <w:tc>
          <w:tcPr>
            <w:tcW w:type="dxa" w:w="200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Проста більшість</w:t>
            </w:r>
          </w:p>
        </w:tc>
        <w:tc>
          <w:tcPr>
            <w:tcW w:type="dxa" w:w="38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14 держав-членів</w:t>
            </w:r>
          </w:p>
        </w:tc>
        <w:tc>
          <w:tcPr>
            <w:tcW w:type="dxa" w:w="375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Процедурні питання, регламент Ради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ст. 16 ДЄС, ст. 238 ДФЄС та даних Ради ЄС.</w:t>
      </w:r>
    </w:p>
    <w:p>
      <w:pPr>
        <w:spacing w:after="0" w:line="360"/>
        <w:ind w:firstLine="709"/>
        <w:jc w:val="both"/>
      </w:pPr>
      <w:r>
        <w:rPr>
          <w:rFonts w:ascii="Times New Roman" w:cs="Times New Roman" w:eastAsia="Times New Roman" w:hAnsi="Times New Roman"/>
          <w:b/>
          <w:bCs/>
          <w:sz w:val="28"/>
          <w:szCs w:val="28"/>
        </w:rPr>
        <w:t xml:space="preserve">Функції.</w:t>
      </w:r>
      <w:r>
        <w:rPr>
          <w:rFonts w:ascii="Times New Roman" w:cs="Times New Roman" w:eastAsia="Times New Roman" w:hAnsi="Times New Roman"/>
          <w:sz w:val="28"/>
          <w:szCs w:val="28"/>
        </w:rPr>
        <w:t xml:space="preserve"> Рада: (1) спільно з Парламентом ухвалює законодавство і бюджет; (2) координує економічну політику держав-членів (Європейський семестр); (3) формує і реалізує СЗБП на основі настанов Європейської Ради; (4) укладає міжнародні угоди (ст. 218 ДФЄС); (5) ухвалює рішення у процесі переговорів про вступ (затвердження переговорних позицій ЄС, відкриття та закриття кластерів і розділів — одностайно). Засідання Ради, на яких обговорюються і голосуються законодавчі акти, є публічними (ст. 16(8) ДЄС).</w:t>
      </w:r>
    </w:p>
    <w:p>
      <w:pPr>
        <w:keepNext/>
        <w:spacing w:after="40" w:before="120" w:line="276"/>
        <w:jc w:val="right"/>
      </w:pPr>
      <w:r>
        <w:rPr>
          <w:rFonts w:ascii="Times New Roman" w:cs="Times New Roman" w:eastAsia="Times New Roman" w:hAnsi="Times New Roman"/>
          <w:i/>
          <w:iCs/>
          <w:sz w:val="26"/>
          <w:szCs w:val="26"/>
        </w:rPr>
        <w:t xml:space="preserve">Таблиця 2.6</w:t>
      </w:r>
    </w:p>
    <w:p>
      <w:pPr>
        <w:keepNext/>
        <w:spacing w:after="80" w:before="0" w:line="276"/>
        <w:jc w:val="center"/>
      </w:pPr>
      <w:r>
        <w:rPr>
          <w:rFonts w:ascii="Times New Roman" w:cs="Times New Roman" w:eastAsia="Times New Roman" w:hAnsi="Times New Roman"/>
          <w:b/>
          <w:bCs/>
          <w:sz w:val="26"/>
          <w:szCs w:val="26"/>
        </w:rPr>
        <w:t xml:space="preserve">Порівняльна характеристика «інституційного трикутника»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7"/>
        <w:gridCol w:w="2605"/>
        <w:gridCol w:w="2901"/>
        <w:gridCol w:w="2325"/>
      </w:tblGrid>
      <w:tr>
        <w:trPr>
          <w:tblHeader/>
        </w:trPr>
        <w:tc>
          <w:tcPr>
            <w:tcW w:type="dxa" w:w="180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Критерій</w:t>
            </w:r>
          </w:p>
        </w:tc>
        <w:tc>
          <w:tcPr>
            <w:tcW w:type="dxa" w:w="260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Європейська Комісія</w:t>
            </w:r>
          </w:p>
        </w:tc>
        <w:tc>
          <w:tcPr>
            <w:tcW w:type="dxa" w:w="29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Європейський Парламент</w:t>
            </w:r>
          </w:p>
        </w:tc>
        <w:tc>
          <w:tcPr>
            <w:tcW w:type="dxa" w:w="232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Рада ЄС</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Кого представляє</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Загальний інтерес Союзу</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Громадян ЄС</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Уряди держав-членів</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Склад</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27 членів колегії</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720 депутатів</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Міністри 27 держав (за конфігураціями)</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Спосіб формування</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Номінація Європейською Радою, обрання/згода Парламенту</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Прямі загальні вибори</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Делегування урядами</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Законодавча роль</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Монополія законодавчої ініціативи</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Співзаконодавець</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Співзаконодавець</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Бюджетна роль</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Пропонує та виконує бюджет</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Ухвалює бюджет, згода на БФР, звільнення від відповідальності</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Ухвалює бюджет, одностайно — регламент БФР</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Ухвалення рішень</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Колегіально, простою більшістю членів</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Більшістю поданих голосів (у низці випадків — абсолютною більшістю)</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Переважно кваліфікованою більшістю</w:t>
            </w:r>
          </w:p>
        </w:tc>
      </w:tr>
      <w:tr>
        <w:trPr>
          <w:tblHeader w:val="false"/>
        </w:trPr>
        <w:tc>
          <w:tcPr>
            <w:tcW w:type="dxa" w:w="18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Підзвітність</w:t>
            </w:r>
          </w:p>
        </w:tc>
        <w:tc>
          <w:tcPr>
            <w:tcW w:type="dxa" w:w="260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Перед Парламентом (вотум недовіри)</w:t>
            </w:r>
          </w:p>
        </w:tc>
        <w:tc>
          <w:tcPr>
            <w:tcW w:type="dxa" w:w="2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Перед виборцями</w:t>
            </w:r>
          </w:p>
        </w:tc>
        <w:tc>
          <w:tcPr>
            <w:tcW w:type="dxa" w:w="23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Перед національними парламентами</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 на основі [13–16].</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5. Суд Європейського Союзу та забезпечення дотримання права ЄС</w:t>
      </w:r>
    </w:p>
    <w:p>
      <w:pPr>
        <w:spacing w:after="0" w:line="360"/>
        <w:ind w:firstLine="709"/>
        <w:jc w:val="both"/>
      </w:pPr>
      <w:r>
        <w:rPr>
          <w:rFonts w:ascii="Times New Roman" w:cs="Times New Roman" w:eastAsia="Times New Roman" w:hAnsi="Times New Roman"/>
          <w:b/>
          <w:bCs/>
          <w:sz w:val="28"/>
          <w:szCs w:val="28"/>
        </w:rPr>
        <w:t xml:space="preserve">Структура.</w:t>
      </w:r>
      <w:r>
        <w:rPr>
          <w:rFonts w:ascii="Times New Roman" w:cs="Times New Roman" w:eastAsia="Times New Roman" w:hAnsi="Times New Roman"/>
          <w:sz w:val="28"/>
          <w:szCs w:val="28"/>
        </w:rPr>
        <w:t xml:space="preserve"> Суд Європейського Союзу (ст. 19 ДЄС) включає </w:t>
      </w:r>
      <w:r>
        <w:rPr>
          <w:rFonts w:ascii="Times New Roman" w:cs="Times New Roman" w:eastAsia="Times New Roman" w:hAnsi="Times New Roman"/>
          <w:b/>
          <w:bCs/>
          <w:sz w:val="28"/>
          <w:szCs w:val="28"/>
        </w:rPr>
        <w:t xml:space="preserve">Суд справедливості</w:t>
      </w:r>
      <w:r>
        <w:rPr>
          <w:rFonts w:ascii="Times New Roman" w:cs="Times New Roman" w:eastAsia="Times New Roman" w:hAnsi="Times New Roman"/>
          <w:sz w:val="28"/>
          <w:szCs w:val="28"/>
        </w:rPr>
        <w:t xml:space="preserve"> (Court of Justice) і </w:t>
      </w:r>
      <w:r>
        <w:rPr>
          <w:rFonts w:ascii="Times New Roman" w:cs="Times New Roman" w:eastAsia="Times New Roman" w:hAnsi="Times New Roman"/>
          <w:b/>
          <w:bCs/>
          <w:sz w:val="28"/>
          <w:szCs w:val="28"/>
        </w:rPr>
        <w:t xml:space="preserve">Загальний суд</w:t>
      </w:r>
      <w:r>
        <w:rPr>
          <w:rFonts w:ascii="Times New Roman" w:cs="Times New Roman" w:eastAsia="Times New Roman" w:hAnsi="Times New Roman"/>
          <w:sz w:val="28"/>
          <w:szCs w:val="28"/>
        </w:rPr>
        <w:t xml:space="preserve"> (General Court). Суд справедливості складається з одного судді від кожної держави-члена (27) і 11 генеральних адвокатів, Загальний суд — із двох суддів від кожної держави-члена (54). Суддів призначають за спільною згодою урядів держав-членів на шість років (з можливістю повторного призначення) після висновку спеціальної дорадчої групи (ст. 255 ДФЄС). Головою Суду справедливості з 2015 р. є </w:t>
      </w:r>
      <w:r>
        <w:rPr>
          <w:rFonts w:ascii="Times New Roman" w:cs="Times New Roman" w:eastAsia="Times New Roman" w:hAnsi="Times New Roman"/>
          <w:b/>
          <w:bCs/>
          <w:sz w:val="28"/>
          <w:szCs w:val="28"/>
        </w:rPr>
        <w:t xml:space="preserve">Коен Ленартс</w:t>
      </w:r>
      <w:r>
        <w:rPr>
          <w:rFonts w:ascii="Times New Roman" w:cs="Times New Roman" w:eastAsia="Times New Roman" w:hAnsi="Times New Roman"/>
          <w:sz w:val="28"/>
          <w:szCs w:val="28"/>
        </w:rPr>
        <w:t xml:space="preserve"> (переобраний у жовтні 2024 р. до жовтня 2027 р.).</w:t>
      </w:r>
    </w:p>
    <w:p>
      <w:pPr>
        <w:spacing w:after="0" w:line="360"/>
        <w:ind w:firstLine="709"/>
        <w:jc w:val="both"/>
      </w:pPr>
      <w:r>
        <w:rPr>
          <w:rFonts w:ascii="Times New Roman" w:cs="Times New Roman" w:eastAsia="Times New Roman" w:hAnsi="Times New Roman"/>
          <w:sz w:val="28"/>
          <w:szCs w:val="28"/>
        </w:rPr>
        <w:t xml:space="preserve">Завдання Суду — забезпечувати дотримання права при тлумаченні та застосуванні Договорів. Практика Суду сформувала низку конституційних засад ЄС: характеристика Договорів як «основоположної конституційної хартії» (справа </w:t>
      </w:r>
      <w:r>
        <w:rPr>
          <w:rFonts w:ascii="Times New Roman" w:cs="Times New Roman" w:eastAsia="Times New Roman" w:hAnsi="Times New Roman"/>
          <w:i/>
          <w:iCs/>
          <w:sz w:val="28"/>
          <w:szCs w:val="28"/>
        </w:rPr>
        <w:t xml:space="preserve">Les Verts</w:t>
      </w:r>
      <w:r>
        <w:rPr>
          <w:rFonts w:ascii="Times New Roman" w:cs="Times New Roman" w:eastAsia="Times New Roman" w:hAnsi="Times New Roman"/>
          <w:sz w:val="28"/>
          <w:szCs w:val="28"/>
        </w:rPr>
        <w:t xml:space="preserve">, 294/83, 1986), принцип взаємного визнання (</w:t>
      </w:r>
      <w:r>
        <w:rPr>
          <w:rFonts w:ascii="Times New Roman" w:cs="Times New Roman" w:eastAsia="Times New Roman" w:hAnsi="Times New Roman"/>
          <w:i/>
          <w:iCs/>
          <w:sz w:val="28"/>
          <w:szCs w:val="28"/>
        </w:rPr>
        <w:t xml:space="preserve">Cassis de Dijon</w:t>
      </w:r>
      <w:r>
        <w:rPr>
          <w:rFonts w:ascii="Times New Roman" w:cs="Times New Roman" w:eastAsia="Times New Roman" w:hAnsi="Times New Roman"/>
          <w:sz w:val="28"/>
          <w:szCs w:val="28"/>
        </w:rPr>
        <w:t xml:space="preserve">, 120/78, 1979), доктрина неявних зовнішніх повноважень (</w:t>
      </w:r>
      <w:r>
        <w:rPr>
          <w:rFonts w:ascii="Times New Roman" w:cs="Times New Roman" w:eastAsia="Times New Roman" w:hAnsi="Times New Roman"/>
          <w:i/>
          <w:iCs/>
          <w:sz w:val="28"/>
          <w:szCs w:val="28"/>
        </w:rPr>
        <w:t xml:space="preserve">ERTA</w:t>
      </w:r>
      <w:r>
        <w:rPr>
          <w:rFonts w:ascii="Times New Roman" w:cs="Times New Roman" w:eastAsia="Times New Roman" w:hAnsi="Times New Roman"/>
          <w:sz w:val="28"/>
          <w:szCs w:val="28"/>
        </w:rPr>
        <w:t xml:space="preserve">, 22/70, 1971), обов’язок держав гарантувати незалежність судів (</w:t>
      </w:r>
      <w:r>
        <w:rPr>
          <w:rFonts w:ascii="Times New Roman" w:cs="Times New Roman" w:eastAsia="Times New Roman" w:hAnsi="Times New Roman"/>
          <w:i/>
          <w:iCs/>
          <w:sz w:val="28"/>
          <w:szCs w:val="28"/>
        </w:rPr>
        <w:t xml:space="preserve">Associação Sindical dos Juízes Portugueses</w:t>
      </w:r>
      <w:r>
        <w:rPr>
          <w:rFonts w:ascii="Times New Roman" w:cs="Times New Roman" w:eastAsia="Times New Roman" w:hAnsi="Times New Roman"/>
          <w:sz w:val="28"/>
          <w:szCs w:val="28"/>
        </w:rPr>
        <w:t xml:space="preserve">, C-64/16, 2018), правомірність режиму обумовленості для захисту бюджету (</w:t>
      </w:r>
      <w:r>
        <w:rPr>
          <w:rFonts w:ascii="Times New Roman" w:cs="Times New Roman" w:eastAsia="Times New Roman" w:hAnsi="Times New Roman"/>
          <w:i/>
          <w:iCs/>
          <w:sz w:val="28"/>
          <w:szCs w:val="28"/>
        </w:rPr>
        <w:t xml:space="preserve">Угорщина проти Парламенту і Ради</w:t>
      </w:r>
      <w:r>
        <w:rPr>
          <w:rFonts w:ascii="Times New Roman" w:cs="Times New Roman" w:eastAsia="Times New Roman" w:hAnsi="Times New Roman"/>
          <w:sz w:val="28"/>
          <w:szCs w:val="28"/>
        </w:rPr>
        <w:t xml:space="preserve">, C-156/21; </w:t>
      </w:r>
      <w:r>
        <w:rPr>
          <w:rFonts w:ascii="Times New Roman" w:cs="Times New Roman" w:eastAsia="Times New Roman" w:hAnsi="Times New Roman"/>
          <w:i/>
          <w:iCs/>
          <w:sz w:val="28"/>
          <w:szCs w:val="28"/>
        </w:rPr>
        <w:t xml:space="preserve">Польща проти Парламенту і Ради</w:t>
      </w:r>
      <w:r>
        <w:rPr>
          <w:rFonts w:ascii="Times New Roman" w:cs="Times New Roman" w:eastAsia="Times New Roman" w:hAnsi="Times New Roman"/>
          <w:sz w:val="28"/>
          <w:szCs w:val="28"/>
        </w:rPr>
        <w:t xml:space="preserve">, C-157/21, 16 лютого 2022 р.).</w:t>
      </w:r>
    </w:p>
    <w:p>
      <w:pPr>
        <w:keepNext/>
        <w:spacing w:after="40" w:before="120" w:line="276"/>
        <w:jc w:val="right"/>
      </w:pPr>
      <w:r>
        <w:rPr>
          <w:rFonts w:ascii="Times New Roman" w:cs="Times New Roman" w:eastAsia="Times New Roman" w:hAnsi="Times New Roman"/>
          <w:i/>
          <w:iCs/>
          <w:sz w:val="26"/>
          <w:szCs w:val="26"/>
        </w:rPr>
        <w:t xml:space="preserve">Таблиця 2.7</w:t>
      </w:r>
    </w:p>
    <w:p>
      <w:pPr>
        <w:keepNext/>
        <w:spacing w:after="80" w:before="0" w:line="276"/>
        <w:jc w:val="center"/>
      </w:pPr>
      <w:r>
        <w:rPr>
          <w:rFonts w:ascii="Times New Roman" w:cs="Times New Roman" w:eastAsia="Times New Roman" w:hAnsi="Times New Roman"/>
          <w:b/>
          <w:bCs/>
          <w:sz w:val="26"/>
          <w:szCs w:val="26"/>
        </w:rPr>
        <w:t xml:space="preserve">Основні види проваджень у Суді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11"/>
        <w:gridCol w:w="1329"/>
        <w:gridCol w:w="2973"/>
        <w:gridCol w:w="3225"/>
      </w:tblGrid>
      <w:tr>
        <w:trPr>
          <w:tblHeader/>
        </w:trPr>
        <w:tc>
          <w:tcPr>
            <w:tcW w:type="dxa" w:w="211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Вид провадження</w:t>
            </w:r>
          </w:p>
        </w:tc>
        <w:tc>
          <w:tcPr>
            <w:tcW w:type="dxa" w:w="132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Правова основа</w:t>
            </w:r>
          </w:p>
        </w:tc>
        <w:tc>
          <w:tcPr>
            <w:tcW w:type="dxa" w:w="297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Сутність</w:t>
            </w:r>
          </w:p>
        </w:tc>
        <w:tc>
          <w:tcPr>
            <w:tcW w:type="dxa" w:w="322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Ініціатори</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Позов про порушення зобов’язань</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258–260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Встановлення невиконання державою зобов’язань за правом ЄС; можливі фінансові санкції</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Комісія, держава-член</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Позов про анулювання</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263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Перевірка законності актів інституцій</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Держави-члени, інституції, фізичні та юридичні особи (за умов прямої та індивідуальної зачепленості)</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Позов про бездіяльність</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265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Встановлення неправомірної бездіяльності інституції</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Держави, інституції, особи</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Преюдиційне провадження</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267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Тлумачення права ЄС або оцінка чинності актів на запит національних судів</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Національні суди</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Позов про відшкодування шкоди</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268, 340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Позадоговірна відповідальність ЄС</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Фізичні та юридичні особи</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Спори за арбітражними застереженнями</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272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Спори за договорами, укладеними ЄС (зокрема грантовими угодами)</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Сторони договору</w:t>
            </w:r>
          </w:p>
        </w:tc>
      </w:tr>
      <w:tr>
        <w:trPr>
          <w:tblHeader w:val="false"/>
        </w:trPr>
        <w:tc>
          <w:tcPr>
            <w:tcW w:type="dxa" w:w="211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Висновок щодо міжнародної угоди</w:t>
            </w:r>
          </w:p>
        </w:tc>
        <w:tc>
          <w:tcPr>
            <w:tcW w:type="dxa" w:w="13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218(11) ДФЄС</w:t>
            </w:r>
          </w:p>
        </w:tc>
        <w:tc>
          <w:tcPr>
            <w:tcW w:type="dxa" w:w="29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Сумісність запланованої угоди з Договорами</w:t>
            </w:r>
          </w:p>
        </w:tc>
        <w:tc>
          <w:tcPr>
            <w:tcW w:type="dxa" w:w="32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Держава-член, Парламент, Рада, Комісія</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[15; 16; 18].</w:t>
      </w:r>
    </w:p>
    <w:p>
      <w:pPr>
        <w:spacing w:after="0" w:line="360"/>
        <w:ind w:firstLine="709"/>
        <w:jc w:val="both"/>
      </w:pPr>
      <w:r>
        <w:rPr>
          <w:rFonts w:ascii="Times New Roman" w:cs="Times New Roman" w:eastAsia="Times New Roman" w:hAnsi="Times New Roman"/>
          <w:sz w:val="28"/>
          <w:szCs w:val="28"/>
        </w:rPr>
        <w:t xml:space="preserve">Реформою 2024 р. (Регламент (ЄС, Євратом) 2024/2019) з 1 жовтня 2024 р. Загальному суду передано розгляд преюдиційних запитів у шести специфічних сферах: спільна система ПДВ, акцизи, Митний кодекс, тарифна класифікація товарів, компенсація та допомога пасажирам повітряного транспорту, система торгівлі квотами на викиди парникових газів. Для учасників грантових проєктів важливо, що спори щодо виконання грантових угод із Комісією чи агенціями, які містять арбітражне застереження, розглядає Загальний суд.</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6. Європейський центральний банк та інституційне забезпечення валютно-фінансової політики ЄС</w:t>
      </w:r>
    </w:p>
    <w:p>
      <w:pPr>
        <w:spacing w:after="0" w:line="360"/>
        <w:ind w:firstLine="709"/>
        <w:jc w:val="both"/>
      </w:pPr>
      <w:r>
        <w:rPr>
          <w:rFonts w:ascii="Times New Roman" w:cs="Times New Roman" w:eastAsia="Times New Roman" w:hAnsi="Times New Roman"/>
          <w:b/>
          <w:bCs/>
          <w:sz w:val="28"/>
          <w:szCs w:val="28"/>
        </w:rPr>
        <w:t xml:space="preserve">Статус і мета.</w:t>
      </w:r>
      <w:r>
        <w:rPr>
          <w:rFonts w:ascii="Times New Roman" w:cs="Times New Roman" w:eastAsia="Times New Roman" w:hAnsi="Times New Roman"/>
          <w:sz w:val="28"/>
          <w:szCs w:val="28"/>
        </w:rPr>
        <w:t xml:space="preserve"> ЄЦБ (ст. 282–284 ДФЄС; Протокол № 4 про Статут ЄСЦБ і ЄЦБ) має правосуб’єктність і є незалежним у здійсненні своїх повноважень (ст. 130 ДФЄС). Головна мета Європейської системи центральних банків — </w:t>
      </w:r>
      <w:r>
        <w:rPr>
          <w:rFonts w:ascii="Times New Roman" w:cs="Times New Roman" w:eastAsia="Times New Roman" w:hAnsi="Times New Roman"/>
          <w:b/>
          <w:bCs/>
          <w:sz w:val="28"/>
          <w:szCs w:val="28"/>
        </w:rPr>
        <w:t xml:space="preserve">підтримання цінової стабільності</w:t>
      </w:r>
      <w:r>
        <w:rPr>
          <w:rFonts w:ascii="Times New Roman" w:cs="Times New Roman" w:eastAsia="Times New Roman" w:hAnsi="Times New Roman"/>
          <w:sz w:val="28"/>
          <w:szCs w:val="28"/>
        </w:rPr>
        <w:t xml:space="preserve">; без шкоди для цієї мети вона підтримує загальну економічну політику в Союзі (ст. 127(1) ДФЄС). ЄЦБ інтерпретує цінову стабільність як симетричну середньострокову ціль інфляції 2 %. Договір забороняє монетарне фінансування державних бюджетів (ст. 123 ДФЄС).</w:t>
      </w:r>
    </w:p>
    <w:p>
      <w:pPr>
        <w:spacing w:after="0" w:line="360"/>
        <w:ind w:firstLine="709"/>
        <w:jc w:val="both"/>
      </w:pPr>
      <w:r>
        <w:rPr>
          <w:rFonts w:ascii="Times New Roman" w:cs="Times New Roman" w:eastAsia="Times New Roman" w:hAnsi="Times New Roman"/>
          <w:b/>
          <w:bCs/>
          <w:sz w:val="28"/>
          <w:szCs w:val="28"/>
        </w:rPr>
        <w:t xml:space="preserve">Інституційна конфігурація.</w:t>
      </w:r>
      <w:r>
        <w:rPr>
          <w:rFonts w:ascii="Times New Roman" w:cs="Times New Roman" w:eastAsia="Times New Roman" w:hAnsi="Times New Roman"/>
          <w:sz w:val="28"/>
          <w:szCs w:val="28"/>
        </w:rPr>
        <w:t xml:space="preserve"> Слід розрізняти: </w:t>
      </w:r>
      <w:r>
        <w:rPr>
          <w:rFonts w:ascii="Times New Roman" w:cs="Times New Roman" w:eastAsia="Times New Roman" w:hAnsi="Times New Roman"/>
          <w:i/>
          <w:iCs/>
          <w:sz w:val="28"/>
          <w:szCs w:val="28"/>
        </w:rPr>
        <w:t xml:space="preserve">Європейську систему центральних банків</w:t>
      </w:r>
      <w:r>
        <w:rPr>
          <w:rFonts w:ascii="Times New Roman" w:cs="Times New Roman" w:eastAsia="Times New Roman" w:hAnsi="Times New Roman"/>
          <w:sz w:val="28"/>
          <w:szCs w:val="28"/>
        </w:rPr>
        <w:t xml:space="preserve"> (ЄЦБ + національні центральні банки всіх 27 держав), </w:t>
      </w:r>
      <w:r>
        <w:rPr>
          <w:rFonts w:ascii="Times New Roman" w:cs="Times New Roman" w:eastAsia="Times New Roman" w:hAnsi="Times New Roman"/>
          <w:i/>
          <w:iCs/>
          <w:sz w:val="28"/>
          <w:szCs w:val="28"/>
        </w:rPr>
        <w:t xml:space="preserve">Євросистему</w:t>
      </w:r>
      <w:r>
        <w:rPr>
          <w:rFonts w:ascii="Times New Roman" w:cs="Times New Roman" w:eastAsia="Times New Roman" w:hAnsi="Times New Roman"/>
          <w:sz w:val="28"/>
          <w:szCs w:val="28"/>
        </w:rPr>
        <w:t xml:space="preserve"> (ЄЦБ + НЦБ 21 держави зони євро) та </w:t>
      </w:r>
      <w:r>
        <w:rPr>
          <w:rFonts w:ascii="Times New Roman" w:cs="Times New Roman" w:eastAsia="Times New Roman" w:hAnsi="Times New Roman"/>
          <w:i/>
          <w:iCs/>
          <w:sz w:val="28"/>
          <w:szCs w:val="28"/>
        </w:rPr>
        <w:t xml:space="preserve">Єдиний механізм нагляду</w:t>
      </w:r>
      <w:r>
        <w:rPr>
          <w:rFonts w:ascii="Times New Roman" w:cs="Times New Roman" w:eastAsia="Times New Roman" w:hAnsi="Times New Roman"/>
          <w:sz w:val="28"/>
          <w:szCs w:val="28"/>
        </w:rPr>
        <w:t xml:space="preserve"> (банківський нагляд, з листопада 2014 р.).</w:t>
      </w:r>
    </w:p>
    <w:p>
      <w:pPr>
        <w:keepNext/>
        <w:spacing w:after="40" w:before="120" w:line="276"/>
        <w:jc w:val="right"/>
      </w:pPr>
      <w:r>
        <w:rPr>
          <w:rFonts w:ascii="Times New Roman" w:cs="Times New Roman" w:eastAsia="Times New Roman" w:hAnsi="Times New Roman"/>
          <w:i/>
          <w:iCs/>
          <w:sz w:val="26"/>
          <w:szCs w:val="26"/>
        </w:rPr>
        <w:t xml:space="preserve">Таблиця 2.8</w:t>
      </w:r>
    </w:p>
    <w:p>
      <w:pPr>
        <w:keepNext/>
        <w:spacing w:after="80" w:before="0" w:line="276"/>
        <w:jc w:val="center"/>
      </w:pPr>
      <w:r>
        <w:rPr>
          <w:rFonts w:ascii="Times New Roman" w:cs="Times New Roman" w:eastAsia="Times New Roman" w:hAnsi="Times New Roman"/>
          <w:b/>
          <w:bCs/>
          <w:sz w:val="26"/>
          <w:szCs w:val="26"/>
        </w:rPr>
        <w:t xml:space="preserve">Органи управління ЄЦБ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73"/>
        <w:gridCol w:w="4346"/>
        <w:gridCol w:w="3119"/>
      </w:tblGrid>
      <w:tr>
        <w:trPr>
          <w:tblHeader/>
        </w:trPr>
        <w:tc>
          <w:tcPr>
            <w:tcW w:type="dxa" w:w="217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Орган</w:t>
            </w:r>
          </w:p>
        </w:tc>
        <w:tc>
          <w:tcPr>
            <w:tcW w:type="dxa" w:w="434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Склад</w:t>
            </w:r>
          </w:p>
        </w:tc>
        <w:tc>
          <w:tcPr>
            <w:tcW w:type="dxa" w:w="311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Функції</w:t>
            </w:r>
          </w:p>
        </w:tc>
      </w:tr>
      <w:tr>
        <w:trPr>
          <w:tblHeader w:val="false"/>
        </w:trPr>
        <w:tc>
          <w:tcPr>
            <w:tcW w:type="dxa" w:w="21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Рада керуючих (Governing Council)</w:t>
            </w:r>
          </w:p>
        </w:tc>
        <w:tc>
          <w:tcPr>
            <w:tcW w:type="dxa" w:w="434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6 членів Виконавчої ради + 21 керуючий НЦБ зони євро</w:t>
            </w:r>
          </w:p>
        </w:tc>
        <w:tc>
          <w:tcPr>
            <w:tcW w:type="dxa" w:w="311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Ухвалює рішення щодо монетарної політики (ключові ставки, інструменти)</w:t>
            </w:r>
          </w:p>
        </w:tc>
      </w:tr>
      <w:tr>
        <w:trPr>
          <w:tblHeader w:val="false"/>
        </w:trPr>
        <w:tc>
          <w:tcPr>
            <w:tcW w:type="dxa" w:w="21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рада (Executive Board)</w:t>
            </w:r>
          </w:p>
        </w:tc>
        <w:tc>
          <w:tcPr>
            <w:tcW w:type="dxa" w:w="434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Президент, віцепрезидент, 4 члени; призначаються Європейською Радою кваліфікованою більшістю на 8 років без права повторного призначення</w:t>
            </w:r>
          </w:p>
        </w:tc>
        <w:tc>
          <w:tcPr>
            <w:tcW w:type="dxa" w:w="311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Реалізує монетарну політику, керує поточною діяльністю</w:t>
            </w:r>
          </w:p>
        </w:tc>
      </w:tr>
      <w:tr>
        <w:trPr>
          <w:tblHeader w:val="false"/>
        </w:trPr>
        <w:tc>
          <w:tcPr>
            <w:tcW w:type="dxa" w:w="21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Генеральна рада (General Council)</w:t>
            </w:r>
          </w:p>
        </w:tc>
        <w:tc>
          <w:tcPr>
            <w:tcW w:type="dxa" w:w="434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Президент і віцепрезидент ЄЦБ + керуючі НЦБ усіх 27 держав</w:t>
            </w:r>
          </w:p>
        </w:tc>
        <w:tc>
          <w:tcPr>
            <w:tcW w:type="dxa" w:w="311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Зв’язок із державами поза зоною євро</w:t>
            </w:r>
          </w:p>
        </w:tc>
      </w:tr>
      <w:tr>
        <w:trPr>
          <w:tblHeader w:val="false"/>
        </w:trPr>
        <w:tc>
          <w:tcPr>
            <w:tcW w:type="dxa" w:w="217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Наглядова рада (Supervisory Board)</w:t>
            </w:r>
          </w:p>
        </w:tc>
        <w:tc>
          <w:tcPr>
            <w:tcW w:type="dxa" w:w="434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Голова, заступник, представники ЄЦБ і національних наглядових органів</w:t>
            </w:r>
          </w:p>
        </w:tc>
        <w:tc>
          <w:tcPr>
            <w:tcW w:type="dxa" w:w="311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Підготовка рішень у сфері банківського нагляду</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Протоколу № 4 та офіційних даних ЄЦБ.</w:t>
      </w:r>
    </w:p>
    <w:p>
      <w:pPr>
        <w:spacing w:after="0" w:line="360"/>
        <w:ind w:firstLine="709"/>
        <w:jc w:val="both"/>
      </w:pPr>
      <w:r>
        <w:rPr>
          <w:rFonts w:ascii="Times New Roman" w:cs="Times New Roman" w:eastAsia="Times New Roman" w:hAnsi="Times New Roman"/>
          <w:sz w:val="28"/>
          <w:szCs w:val="28"/>
        </w:rPr>
        <w:t xml:space="preserve">Президентом ЄЦБ з 1 листопада 2019 р. є </w:t>
      </w:r>
      <w:r>
        <w:rPr>
          <w:rFonts w:ascii="Times New Roman" w:cs="Times New Roman" w:eastAsia="Times New Roman" w:hAnsi="Times New Roman"/>
          <w:b/>
          <w:bCs/>
          <w:sz w:val="28"/>
          <w:szCs w:val="28"/>
        </w:rPr>
        <w:t xml:space="preserve">Крістін Лагард</w:t>
      </w:r>
      <w:r>
        <w:rPr>
          <w:rFonts w:ascii="Times New Roman" w:cs="Times New Roman" w:eastAsia="Times New Roman" w:hAnsi="Times New Roman"/>
          <w:sz w:val="28"/>
          <w:szCs w:val="28"/>
        </w:rPr>
        <w:t xml:space="preserve"> (строк повноважень — до 31 жовтня 2027 р.); віцепрезидентом з 1 червня 2026 р. — </w:t>
      </w:r>
      <w:r>
        <w:rPr>
          <w:rFonts w:ascii="Times New Roman" w:cs="Times New Roman" w:eastAsia="Times New Roman" w:hAnsi="Times New Roman"/>
          <w:b/>
          <w:bCs/>
          <w:sz w:val="28"/>
          <w:szCs w:val="28"/>
        </w:rPr>
        <w:t xml:space="preserve">Борис Вуйчич</w:t>
      </w:r>
      <w:r>
        <w:rPr>
          <w:rFonts w:ascii="Times New Roman" w:cs="Times New Roman" w:eastAsia="Times New Roman" w:hAnsi="Times New Roman"/>
          <w:sz w:val="28"/>
          <w:szCs w:val="28"/>
        </w:rPr>
        <w:t xml:space="preserve"> (Хорватія). 23 липня 2026 р. Рада керуючих залишила ключові ставки без змін: депозитна ставка — 2,25 %, ставка за основними операціями рефінансування — 2,40 %, ставка маржинального кредитування — 2,65 %. З 1 січня 2026 р. зону євро розширено до 21 держави (Болгарія).</w:t>
      </w:r>
    </w:p>
    <w:p>
      <w:pPr>
        <w:spacing w:after="0" w:line="360"/>
        <w:ind w:firstLine="709"/>
        <w:jc w:val="both"/>
      </w:pPr>
      <w:r>
        <w:rPr>
          <w:rFonts w:ascii="Times New Roman" w:cs="Times New Roman" w:eastAsia="Times New Roman" w:hAnsi="Times New Roman"/>
          <w:b/>
          <w:bCs/>
          <w:sz w:val="28"/>
          <w:szCs w:val="28"/>
        </w:rPr>
        <w:t xml:space="preserve">Значення для міжнародних економічних відносин.</w:t>
      </w:r>
      <w:r>
        <w:rPr>
          <w:rFonts w:ascii="Times New Roman" w:cs="Times New Roman" w:eastAsia="Times New Roman" w:hAnsi="Times New Roman"/>
          <w:sz w:val="28"/>
          <w:szCs w:val="28"/>
        </w:rPr>
        <w:t xml:space="preserve"> Монетарна політика ЄЦБ впливає на обмінний курс євро, вартість запозичень, умови фінансування проєктів (у т.ч. через ЄІБ і приватні банки) і на ціни в державах, економіки яких тісно пов’язані з ЄС, зокрема в Україні, для якої євро є однією з основних валют зовнішньої торгівлі та міжнародної допомоги. Поряд з ЄЦБ валютно-фінансову координацію забезпечують ECOFIN, неформальна Єврогрупа (Протокол № 14) та Економічний і фінансовий комітет.</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7. Консультативні та спеціалізовані органи ЄС</w:t>
      </w:r>
    </w:p>
    <w:p>
      <w:pPr>
        <w:pStyle w:val="Heading2"/>
        <w:keepNext/>
        <w:spacing w:after="120" w:before="240" w:line="300"/>
      </w:pPr>
      <w:r>
        <w:rPr>
          <w:rFonts w:ascii="Times New Roman" w:cs="Times New Roman" w:eastAsia="Times New Roman" w:hAnsi="Times New Roman"/>
          <w:b/>
          <w:bCs/>
          <w:color w:val="1F3864"/>
          <w:sz w:val="28"/>
          <w:szCs w:val="28"/>
        </w:rPr>
        <w:t xml:space="preserve">7.1. Європейський економічний і соціальний комітет</w:t>
      </w:r>
    </w:p>
    <w:p>
      <w:pPr>
        <w:spacing w:after="0" w:line="360"/>
        <w:ind w:firstLine="709"/>
        <w:jc w:val="both"/>
      </w:pPr>
      <w:r>
        <w:rPr>
          <w:rFonts w:ascii="Times New Roman" w:cs="Times New Roman" w:eastAsia="Times New Roman" w:hAnsi="Times New Roman"/>
          <w:sz w:val="28"/>
          <w:szCs w:val="28"/>
        </w:rPr>
        <w:t xml:space="preserve">ЄЕСК (ст. 301–304 ДФЄС) представляє організоване громадянське суспільство. До його складу входять не більше 350 членів (нині — 329), яких призначає Рада ЄС на п’ять років за пропозиціями держав-членів. Члени працюють у трьох групах: </w:t>
      </w:r>
      <w:r>
        <w:rPr>
          <w:rFonts w:ascii="Times New Roman" w:cs="Times New Roman" w:eastAsia="Times New Roman" w:hAnsi="Times New Roman"/>
          <w:i/>
          <w:iCs/>
          <w:sz w:val="28"/>
          <w:szCs w:val="28"/>
        </w:rPr>
        <w:t xml:space="preserve">Роботодавці</w:t>
      </w:r>
      <w:r>
        <w:rPr>
          <w:rFonts w:ascii="Times New Roman" w:cs="Times New Roman" w:eastAsia="Times New Roman" w:hAnsi="Times New Roman"/>
          <w:sz w:val="28"/>
          <w:szCs w:val="28"/>
        </w:rPr>
        <w:t xml:space="preserve"> (I), </w:t>
      </w:r>
      <w:r>
        <w:rPr>
          <w:rFonts w:ascii="Times New Roman" w:cs="Times New Roman" w:eastAsia="Times New Roman" w:hAnsi="Times New Roman"/>
          <w:i/>
          <w:iCs/>
          <w:sz w:val="28"/>
          <w:szCs w:val="28"/>
        </w:rPr>
        <w:t xml:space="preserve">Працівники</w:t>
      </w:r>
      <w:r>
        <w:rPr>
          <w:rFonts w:ascii="Times New Roman" w:cs="Times New Roman" w:eastAsia="Times New Roman" w:hAnsi="Times New Roman"/>
          <w:sz w:val="28"/>
          <w:szCs w:val="28"/>
        </w:rPr>
        <w:t xml:space="preserve"> (II), </w:t>
      </w:r>
      <w:r>
        <w:rPr>
          <w:rFonts w:ascii="Times New Roman" w:cs="Times New Roman" w:eastAsia="Times New Roman" w:hAnsi="Times New Roman"/>
          <w:i/>
          <w:iCs/>
          <w:sz w:val="28"/>
          <w:szCs w:val="28"/>
        </w:rPr>
        <w:t xml:space="preserve">Організації громадянського суспільства</w:t>
      </w:r>
      <w:r>
        <w:rPr>
          <w:rFonts w:ascii="Times New Roman" w:cs="Times New Roman" w:eastAsia="Times New Roman" w:hAnsi="Times New Roman"/>
          <w:sz w:val="28"/>
          <w:szCs w:val="28"/>
        </w:rPr>
        <w:t xml:space="preserve"> (III). З жовтня 2025 р. Президентом ЄЕСК є </w:t>
      </w:r>
      <w:r>
        <w:rPr>
          <w:rFonts w:ascii="Times New Roman" w:cs="Times New Roman" w:eastAsia="Times New Roman" w:hAnsi="Times New Roman"/>
          <w:b/>
          <w:bCs/>
          <w:sz w:val="28"/>
          <w:szCs w:val="28"/>
        </w:rPr>
        <w:t xml:space="preserve">Шеймус Боланд</w:t>
      </w:r>
      <w:r>
        <w:rPr>
          <w:rFonts w:ascii="Times New Roman" w:cs="Times New Roman" w:eastAsia="Times New Roman" w:hAnsi="Times New Roman"/>
          <w:sz w:val="28"/>
          <w:szCs w:val="28"/>
        </w:rPr>
        <w:t xml:space="preserve"> (Ірландія). Комітет надає висновки — обов’язкові у сферах, визначених Договорами (сільське господарство, внутрішній ринок, соціальна політика, зайнятість, освіта, згуртованість тощо), або з власної ініціативи. Для України важливо, що саме ЄЕСК представляє сторону ЄС у Платформі громадянського суспільства Україна — ЄС, створеній відповідно до Угоди про асоціацію.</w:t>
      </w:r>
    </w:p>
    <w:p>
      <w:pPr>
        <w:pStyle w:val="Heading2"/>
        <w:keepNext/>
        <w:spacing w:after="120" w:before="240" w:line="300"/>
      </w:pPr>
      <w:r>
        <w:rPr>
          <w:rFonts w:ascii="Times New Roman" w:cs="Times New Roman" w:eastAsia="Times New Roman" w:hAnsi="Times New Roman"/>
          <w:b/>
          <w:bCs/>
          <w:color w:val="1F3864"/>
          <w:sz w:val="28"/>
          <w:szCs w:val="28"/>
        </w:rPr>
        <w:t xml:space="preserve">7.2. Європейський комітет регіонів</w:t>
      </w:r>
    </w:p>
    <w:p>
      <w:pPr>
        <w:spacing w:after="0" w:line="360"/>
        <w:ind w:firstLine="709"/>
        <w:jc w:val="both"/>
      </w:pPr>
      <w:r>
        <w:rPr>
          <w:rFonts w:ascii="Times New Roman" w:cs="Times New Roman" w:eastAsia="Times New Roman" w:hAnsi="Times New Roman"/>
          <w:sz w:val="28"/>
          <w:szCs w:val="28"/>
        </w:rPr>
        <w:t xml:space="preserve">Комітет регіонів (ст. 305–307 ДФЄС) складається з 329 членів — обраних представників регіональної та місцевої влади (мери, голови регіонів, депутати місцевих рад), яких призначає Рада на п’ять років. Президентка Комітету — </w:t>
      </w:r>
      <w:r>
        <w:rPr>
          <w:rFonts w:ascii="Times New Roman" w:cs="Times New Roman" w:eastAsia="Times New Roman" w:hAnsi="Times New Roman"/>
          <w:b/>
          <w:bCs/>
          <w:sz w:val="28"/>
          <w:szCs w:val="28"/>
        </w:rPr>
        <w:t xml:space="preserve">Ката Тюттьо</w:t>
      </w:r>
      <w:r>
        <w:rPr>
          <w:rFonts w:ascii="Times New Roman" w:cs="Times New Roman" w:eastAsia="Times New Roman" w:hAnsi="Times New Roman"/>
          <w:sz w:val="28"/>
          <w:szCs w:val="28"/>
        </w:rPr>
        <w:t xml:space="preserve"> (Угорщина). Консультування з Комітетом є обов’язковим у питаннях економічної, соціальної та територіальної згуртованості, транс’європейських мереж, освіти, молоді, культури, охорони здоров’я, зайнятості, довкілля, транспорту. Комітет має право звертатися до Суду ЄС щодо порушення принципу субсидіарності (ст. 8 Протоколу № 2). У 2022 р. з ініціативи Комітету створено Європейський альянс міст і регіонів для відбудови України — платформу, що поєднує європейські та українські органи місцевого самоврядування і безпосередньо пов’язана з проєктною співпрацею громад.</w:t>
      </w:r>
    </w:p>
    <w:p>
      <w:pPr>
        <w:pStyle w:val="Heading2"/>
        <w:keepNext/>
        <w:spacing w:after="120" w:before="240" w:line="300"/>
      </w:pPr>
      <w:r>
        <w:rPr>
          <w:rFonts w:ascii="Times New Roman" w:cs="Times New Roman" w:eastAsia="Times New Roman" w:hAnsi="Times New Roman"/>
          <w:b/>
          <w:bCs/>
          <w:color w:val="1F3864"/>
          <w:sz w:val="28"/>
          <w:szCs w:val="28"/>
        </w:rPr>
        <w:t xml:space="preserve">7.3. Європейський інвестиційний банк</w:t>
      </w:r>
    </w:p>
    <w:p>
      <w:pPr>
        <w:spacing w:after="0" w:line="360"/>
        <w:ind w:firstLine="709"/>
        <w:jc w:val="both"/>
      </w:pPr>
      <w:r>
        <w:rPr>
          <w:rFonts w:ascii="Times New Roman" w:cs="Times New Roman" w:eastAsia="Times New Roman" w:hAnsi="Times New Roman"/>
          <w:sz w:val="28"/>
          <w:szCs w:val="28"/>
        </w:rPr>
        <w:t xml:space="preserve">ЄІБ (ст. 308–309 ДФЄС; Протокол № 5) — фінансова установа ЄС, акціонерами якої є 27 держав-членів. Банк діє на некомерційній основі, залучає ресурси на міжнародних ринках капіталу завдяки високому кредитному рейтингу та надає позики, гарантії й технічну допомогу для проєктів, що відповідають цілям ЄС. Органи управління: Рада керуючих (міністри, як правило, фінансів), Рада директорів, Управлінський комітет (Президент і віцепрезиденти), Аудиторський комітет. Група ЄІБ включає ЄІБ і Європейський інвестиційний фонд (ЄІФ), а зовнішні операції здійснюються через підрозділ EIB Global. З 1 січня 2024 р. Президенткою ЄІБ є </w:t>
      </w:r>
      <w:r>
        <w:rPr>
          <w:rFonts w:ascii="Times New Roman" w:cs="Times New Roman" w:eastAsia="Times New Roman" w:hAnsi="Times New Roman"/>
          <w:b/>
          <w:bCs/>
          <w:sz w:val="28"/>
          <w:szCs w:val="28"/>
        </w:rPr>
        <w:t xml:space="preserve">Надя Кальвіньо</w:t>
      </w:r>
      <w:r>
        <w:rPr>
          <w:rFonts w:ascii="Times New Roman" w:cs="Times New Roman" w:eastAsia="Times New Roman" w:hAnsi="Times New Roman"/>
          <w:sz w:val="28"/>
          <w:szCs w:val="28"/>
        </w:rPr>
        <w:t xml:space="preserve">.</w:t>
      </w:r>
    </w:p>
    <w:p>
      <w:pPr>
        <w:keepNext/>
        <w:spacing w:after="40" w:before="120" w:line="276"/>
        <w:jc w:val="right"/>
      </w:pPr>
      <w:r>
        <w:rPr>
          <w:rFonts w:ascii="Times New Roman" w:cs="Times New Roman" w:eastAsia="Times New Roman" w:hAnsi="Times New Roman"/>
          <w:i/>
          <w:iCs/>
          <w:sz w:val="26"/>
          <w:szCs w:val="26"/>
        </w:rPr>
        <w:t xml:space="preserve">Таблиця 2.9</w:t>
      </w:r>
    </w:p>
    <w:p>
      <w:pPr>
        <w:keepNext/>
        <w:spacing w:after="80" w:before="0" w:line="276"/>
        <w:jc w:val="center"/>
      </w:pPr>
      <w:r>
        <w:rPr>
          <w:rFonts w:ascii="Times New Roman" w:cs="Times New Roman" w:eastAsia="Times New Roman" w:hAnsi="Times New Roman"/>
          <w:b/>
          <w:bCs/>
          <w:sz w:val="26"/>
          <w:szCs w:val="26"/>
        </w:rPr>
        <w:t xml:space="preserve">Ключові показники діяльності Групи ЄІБ за 2025 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63"/>
        <w:gridCol w:w="4075"/>
      </w:tblGrid>
      <w:tr>
        <w:trPr>
          <w:tblHeader/>
        </w:trPr>
        <w:tc>
          <w:tcPr>
            <w:tcW w:type="dxa" w:w="556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Показник</w:t>
            </w:r>
          </w:p>
        </w:tc>
        <w:tc>
          <w:tcPr>
            <w:tcW w:type="dxa" w:w="407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Значення</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Загальний обсяг фінансування Групи ЄІБ</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рекордні 100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Частка «зеленого» фінансування</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майже 60 %</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Енергетична безпека (мережі, накопичення)</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11,6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Безпека і оборона</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понад 4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Житло</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понад 5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Сільське господарство і біоекономіка</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майже 8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Операції EIB Global поза ЄС</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понад 9 млрд євро</w:t>
            </w:r>
          </w:p>
        </w:tc>
      </w:tr>
      <w:tr>
        <w:trPr>
          <w:tblHeader w:val="false"/>
        </w:trPr>
        <w:tc>
          <w:tcPr>
            <w:tcW w:type="dxa" w:w="55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Підтримка України (кумулятивно з 2022 р.)</w:t>
            </w:r>
          </w:p>
        </w:tc>
        <w:tc>
          <w:tcPr>
            <w:tcW w:type="dxa" w:w="407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понад 4 млрд євро</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за даними ЄІБ [19].</w:t>
      </w:r>
    </w:p>
    <w:p>
      <w:pPr>
        <w:spacing w:after="0" w:line="360"/>
        <w:ind w:firstLine="709"/>
        <w:jc w:val="both"/>
      </w:pPr>
      <w:r>
        <w:rPr>
          <w:rFonts w:ascii="Times New Roman" w:cs="Times New Roman" w:eastAsia="Times New Roman" w:hAnsi="Times New Roman"/>
          <w:sz w:val="28"/>
          <w:szCs w:val="28"/>
        </w:rPr>
        <w:t xml:space="preserve">ЄІБ є ключовим партнером-виконавцем фінансових інструментів ЄС (InvestEU, Інвестиційна рамка для України в межах Ukraine Facility) і поєднує кредитні ресурси з грантовими коштами ЄС (</w:t>
      </w:r>
      <w:r>
        <w:rPr>
          <w:rFonts w:ascii="Times New Roman" w:cs="Times New Roman" w:eastAsia="Times New Roman" w:hAnsi="Times New Roman"/>
          <w:i/>
          <w:iCs/>
          <w:sz w:val="28"/>
          <w:szCs w:val="28"/>
        </w:rPr>
        <w:t xml:space="preserve">blending</w:t>
      </w:r>
      <w:r>
        <w:rPr>
          <w:rFonts w:ascii="Times New Roman" w:cs="Times New Roman" w:eastAsia="Times New Roman" w:hAnsi="Times New Roman"/>
          <w:sz w:val="28"/>
          <w:szCs w:val="28"/>
        </w:rPr>
        <w:t xml:space="preserve">). Для суб’єктів з України, зокрема громад і комунальних підприємств, це означає доступ до довгострокового фінансування відбудови критичної інфраструктури в поєднанні з грантовими компонентами.</w:t>
      </w:r>
    </w:p>
    <w:p>
      <w:pPr>
        <w:pStyle w:val="Heading2"/>
        <w:keepNext/>
        <w:spacing w:after="120" w:before="240" w:line="300"/>
      </w:pPr>
      <w:r>
        <w:rPr>
          <w:rFonts w:ascii="Times New Roman" w:cs="Times New Roman" w:eastAsia="Times New Roman" w:hAnsi="Times New Roman"/>
          <w:b/>
          <w:bCs/>
          <w:color w:val="1F3864"/>
          <w:sz w:val="28"/>
          <w:szCs w:val="28"/>
        </w:rPr>
        <w:t xml:space="preserve">7.4. Інші органи, важливі для грантово-проєктної політики</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Рахункова палата ЄС</w:t>
      </w:r>
      <w:r>
        <w:rPr>
          <w:rFonts w:ascii="Times New Roman" w:cs="Times New Roman" w:eastAsia="Times New Roman" w:hAnsi="Times New Roman"/>
          <w:sz w:val="28"/>
          <w:szCs w:val="28"/>
        </w:rPr>
        <w:t xml:space="preserve"> (ст. 285–287 ДФЄС) — здійснює зовнішній аудит доходів і видатків ЄС, щорічно надає Декларацію про достовірність (DAS), оцінює рівень помилок у видатках програм.</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Європейське бюро з боротьби з шахрайством (OLAF)</w:t>
      </w:r>
      <w:r>
        <w:rPr>
          <w:rFonts w:ascii="Times New Roman" w:cs="Times New Roman" w:eastAsia="Times New Roman" w:hAnsi="Times New Roman"/>
          <w:sz w:val="28"/>
          <w:szCs w:val="28"/>
        </w:rPr>
        <w:t xml:space="preserve"> — адміністративні розслідування шахрайства з коштами ЄС.</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Європейська прокуратура (EPPO)</w:t>
      </w:r>
      <w:r>
        <w:rPr>
          <w:rFonts w:ascii="Times New Roman" w:cs="Times New Roman" w:eastAsia="Times New Roman" w:hAnsi="Times New Roman"/>
          <w:sz w:val="28"/>
          <w:szCs w:val="28"/>
        </w:rPr>
        <w:t xml:space="preserve"> — кримінальне переслідування злочинів проти фінансових інтересів ЄС у державах-учасницях.</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Європейський омбудсман</w:t>
      </w:r>
      <w:r>
        <w:rPr>
          <w:rFonts w:ascii="Times New Roman" w:cs="Times New Roman" w:eastAsia="Times New Roman" w:hAnsi="Times New Roman"/>
          <w:sz w:val="28"/>
          <w:szCs w:val="28"/>
        </w:rPr>
        <w:t xml:space="preserve"> (ст. 228 ДФЄС) — розгляд скарг на неналежне адміністрування, зокрема в процедурах грантових конкурсів.</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Європейська служба зовнішніх дій</w:t>
      </w:r>
      <w:r>
        <w:rPr>
          <w:rFonts w:ascii="Times New Roman" w:cs="Times New Roman" w:eastAsia="Times New Roman" w:hAnsi="Times New Roman"/>
          <w:sz w:val="28"/>
          <w:szCs w:val="28"/>
        </w:rPr>
        <w:t xml:space="preserve"> (ст. 27(3) ДЄС) — дипломатична служба ЄС, включно з Представництвом ЄС в Україні.</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Висновки</w:t>
      </w:r>
    </w:p>
    <w:p>
      <w:pPr>
        <w:spacing w:after="0" w:line="360"/>
        <w:ind w:firstLine="709"/>
        <w:jc w:val="both"/>
      </w:pPr>
      <w:r>
        <w:rPr>
          <w:rFonts w:ascii="Times New Roman" w:cs="Times New Roman" w:eastAsia="Times New Roman" w:hAnsi="Times New Roman"/>
          <w:sz w:val="28"/>
          <w:szCs w:val="28"/>
        </w:rPr>
        <w:t xml:space="preserve">1. Інституційна система ЄС побудована на принципах інституційної рамки та інституційної рівноваги (ст. 13 ДЄС) і поєднує наднаціональні (Комісія, Парламент, Суд, ЄЦБ) та міжурядові (Європейська Рада, Рада ЄС) інституції.</w:t>
      </w:r>
    </w:p>
    <w:p>
      <w:pPr>
        <w:spacing w:after="0" w:line="360"/>
        <w:ind w:firstLine="709"/>
        <w:jc w:val="both"/>
      </w:pPr>
      <w:r>
        <w:rPr>
          <w:rFonts w:ascii="Times New Roman" w:cs="Times New Roman" w:eastAsia="Times New Roman" w:hAnsi="Times New Roman"/>
          <w:sz w:val="28"/>
          <w:szCs w:val="28"/>
        </w:rPr>
        <w:t xml:space="preserve">2. Європейська Рада визначає стратегічні пріоритети, здійснює ключові призначення і приймає політичні рішення в політиці розширення, але не має законодавчих функцій.</w:t>
      </w:r>
    </w:p>
    <w:p>
      <w:pPr>
        <w:spacing w:after="0" w:line="360"/>
        <w:ind w:firstLine="709"/>
        <w:jc w:val="both"/>
      </w:pPr>
      <w:r>
        <w:rPr>
          <w:rFonts w:ascii="Times New Roman" w:cs="Times New Roman" w:eastAsia="Times New Roman" w:hAnsi="Times New Roman"/>
          <w:sz w:val="28"/>
          <w:szCs w:val="28"/>
        </w:rPr>
        <w:t xml:space="preserve">3. Європейська Комісія, маючи монополію законодавчої ініціативи та виконавчі повноваження, є центральною інституцією у розробленні, програмуванні та управлінні програмами ЄС.</w:t>
      </w:r>
    </w:p>
    <w:p>
      <w:pPr>
        <w:spacing w:after="0" w:line="360"/>
        <w:ind w:firstLine="709"/>
        <w:jc w:val="both"/>
      </w:pPr>
      <w:r>
        <w:rPr>
          <w:rFonts w:ascii="Times New Roman" w:cs="Times New Roman" w:eastAsia="Times New Roman" w:hAnsi="Times New Roman"/>
          <w:sz w:val="28"/>
          <w:szCs w:val="28"/>
        </w:rPr>
        <w:t xml:space="preserve">4. Європейський Парламент і Рада ЄС як співзаконодавці та бюджетні органи визначають правову основу і фінансові параметри програм; Рада ухвалює більшість рішень кваліфікованою більшістю, але в чутливих сферах — одностайно.</w:t>
      </w:r>
    </w:p>
    <w:p>
      <w:pPr>
        <w:spacing w:after="0" w:line="360"/>
        <w:ind w:firstLine="709"/>
        <w:jc w:val="both"/>
      </w:pPr>
      <w:r>
        <w:rPr>
          <w:rFonts w:ascii="Times New Roman" w:cs="Times New Roman" w:eastAsia="Times New Roman" w:hAnsi="Times New Roman"/>
          <w:sz w:val="28"/>
          <w:szCs w:val="28"/>
        </w:rPr>
        <w:t xml:space="preserve">5. Суд ЄС гарантує єдність правопорядку, а ЄЦБ — цінову стабільність і фінансову стійкість зони євро.</w:t>
      </w:r>
    </w:p>
    <w:p>
      <w:pPr>
        <w:spacing w:after="0" w:line="360"/>
        <w:ind w:firstLine="709"/>
        <w:jc w:val="both"/>
      </w:pPr>
      <w:r>
        <w:rPr>
          <w:rFonts w:ascii="Times New Roman" w:cs="Times New Roman" w:eastAsia="Times New Roman" w:hAnsi="Times New Roman"/>
          <w:sz w:val="28"/>
          <w:szCs w:val="28"/>
        </w:rPr>
        <w:t xml:space="preserve">6. Консультативні органи (ЄЕСК, Комітет регіонів) забезпечують участь громадянського суспільства та територіальних громад, а ЄІБ — інвестиційне фінансування, що доповнює грантові інструменти.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Питання для самоконтролю</w:t>
      </w:r>
    </w:p>
    <w:p>
      <w:pPr>
        <w:spacing w:after="60" w:line="300"/>
        <w:ind w:left="567" w:hanging="567"/>
        <w:jc w:val="both"/>
      </w:pPr>
      <w:r>
        <w:rPr>
          <w:rFonts w:ascii="Times New Roman" w:cs="Times New Roman" w:eastAsia="Times New Roman" w:hAnsi="Times New Roman"/>
          <w:sz w:val="26"/>
          <w:szCs w:val="26"/>
        </w:rPr>
        <w:t xml:space="preserve">1. Які інституції визначено у ст. 13 ДЄС? Чим інституції відрізняються від органів ЄС?</w:t>
      </w:r>
    </w:p>
    <w:p>
      <w:pPr>
        <w:spacing w:after="60" w:line="300"/>
        <w:ind w:left="567" w:hanging="567"/>
        <w:jc w:val="both"/>
      </w:pPr>
      <w:r>
        <w:rPr>
          <w:rFonts w:ascii="Times New Roman" w:cs="Times New Roman" w:eastAsia="Times New Roman" w:hAnsi="Times New Roman"/>
          <w:sz w:val="26"/>
          <w:szCs w:val="26"/>
        </w:rPr>
        <w:t xml:space="preserve">2. Розкрийте зміст поняття «інституційний трикутник» і «метод Співтовариства».</w:t>
      </w:r>
    </w:p>
    <w:p>
      <w:pPr>
        <w:spacing w:after="60" w:line="300"/>
        <w:ind w:left="567" w:hanging="567"/>
        <w:jc w:val="both"/>
      </w:pPr>
      <w:r>
        <w:rPr>
          <w:rFonts w:ascii="Times New Roman" w:cs="Times New Roman" w:eastAsia="Times New Roman" w:hAnsi="Times New Roman"/>
          <w:sz w:val="26"/>
          <w:szCs w:val="26"/>
        </w:rPr>
        <w:t xml:space="preserve">3. Які функції Європейської Ради? Чому вона не здійснює законодавчих функцій?</w:t>
      </w:r>
    </w:p>
    <w:p>
      <w:pPr>
        <w:spacing w:after="60" w:line="300"/>
        <w:ind w:left="567" w:hanging="567"/>
        <w:jc w:val="both"/>
      </w:pPr>
      <w:r>
        <w:rPr>
          <w:rFonts w:ascii="Times New Roman" w:cs="Times New Roman" w:eastAsia="Times New Roman" w:hAnsi="Times New Roman"/>
          <w:sz w:val="26"/>
          <w:szCs w:val="26"/>
        </w:rPr>
        <w:t xml:space="preserve">4. Опишіть порядок формування Європейської Комісії та механізм її політичної відповідальності.</w:t>
      </w:r>
    </w:p>
    <w:p>
      <w:pPr>
        <w:spacing w:after="60" w:line="300"/>
        <w:ind w:left="567" w:hanging="567"/>
        <w:jc w:val="both"/>
      </w:pPr>
      <w:r>
        <w:rPr>
          <w:rFonts w:ascii="Times New Roman" w:cs="Times New Roman" w:eastAsia="Times New Roman" w:hAnsi="Times New Roman"/>
          <w:sz w:val="26"/>
          <w:szCs w:val="26"/>
        </w:rPr>
        <w:t xml:space="preserve">5. У чому полягає монополія законодавчої ініціативи Комісії та як вона впливає на зміст програм ЄС?</w:t>
      </w:r>
    </w:p>
    <w:p>
      <w:pPr>
        <w:spacing w:after="60" w:line="300"/>
        <w:ind w:left="567" w:hanging="567"/>
        <w:jc w:val="both"/>
      </w:pPr>
      <w:r>
        <w:rPr>
          <w:rFonts w:ascii="Times New Roman" w:cs="Times New Roman" w:eastAsia="Times New Roman" w:hAnsi="Times New Roman"/>
          <w:sz w:val="26"/>
          <w:szCs w:val="26"/>
        </w:rPr>
        <w:t xml:space="preserve">6. Яку роль відіграють виконавчі агенції у реалізації програм ЄС? Наведіть приклади.</w:t>
      </w:r>
    </w:p>
    <w:p>
      <w:pPr>
        <w:spacing w:after="60" w:line="300"/>
        <w:ind w:left="567" w:hanging="567"/>
        <w:jc w:val="both"/>
      </w:pPr>
      <w:r>
        <w:rPr>
          <w:rFonts w:ascii="Times New Roman" w:cs="Times New Roman" w:eastAsia="Times New Roman" w:hAnsi="Times New Roman"/>
          <w:sz w:val="26"/>
          <w:szCs w:val="26"/>
        </w:rPr>
        <w:t xml:space="preserve">7. Охарактеризуйте законодавчі, бюджетні та контрольні повноваження Європейського Парламенту.</w:t>
      </w:r>
    </w:p>
    <w:p>
      <w:pPr>
        <w:spacing w:after="60" w:line="300"/>
        <w:ind w:left="567" w:hanging="567"/>
        <w:jc w:val="both"/>
      </w:pPr>
      <w:r>
        <w:rPr>
          <w:rFonts w:ascii="Times New Roman" w:cs="Times New Roman" w:eastAsia="Times New Roman" w:hAnsi="Times New Roman"/>
          <w:sz w:val="26"/>
          <w:szCs w:val="26"/>
        </w:rPr>
        <w:t xml:space="preserve">8. Чим Рада ЄС відрізняється від Європейської Ради та Ради Європи?</w:t>
      </w:r>
    </w:p>
    <w:p>
      <w:pPr>
        <w:spacing w:after="60" w:line="300"/>
        <w:ind w:left="567" w:hanging="567"/>
        <w:jc w:val="both"/>
      </w:pPr>
      <w:r>
        <w:rPr>
          <w:rFonts w:ascii="Times New Roman" w:cs="Times New Roman" w:eastAsia="Times New Roman" w:hAnsi="Times New Roman"/>
          <w:sz w:val="26"/>
          <w:szCs w:val="26"/>
        </w:rPr>
        <w:t xml:space="preserve">9. Розкрийте правила голосування кваліфікованою більшістю. Що таке блокувальна меншість?</w:t>
      </w:r>
    </w:p>
    <w:p>
      <w:pPr>
        <w:spacing w:after="60" w:line="300"/>
        <w:ind w:left="567" w:hanging="567"/>
        <w:jc w:val="both"/>
      </w:pPr>
      <w:r>
        <w:rPr>
          <w:rFonts w:ascii="Times New Roman" w:cs="Times New Roman" w:eastAsia="Times New Roman" w:hAnsi="Times New Roman"/>
          <w:sz w:val="26"/>
          <w:szCs w:val="26"/>
        </w:rPr>
        <w:t xml:space="preserve">10. Які функції виконує COREPER у процесі ухвалення рішень?</w:t>
      </w:r>
    </w:p>
    <w:p>
      <w:pPr>
        <w:spacing w:after="60" w:line="300"/>
        <w:ind w:left="567" w:hanging="567"/>
        <w:jc w:val="both"/>
      </w:pPr>
      <w:r>
        <w:rPr>
          <w:rFonts w:ascii="Times New Roman" w:cs="Times New Roman" w:eastAsia="Times New Roman" w:hAnsi="Times New Roman"/>
          <w:sz w:val="26"/>
          <w:szCs w:val="26"/>
        </w:rPr>
        <w:t xml:space="preserve">11. Охарактеризуйте основні види проваджень у Суді ЄС. Яке значення має преюдиційний запит?</w:t>
      </w:r>
    </w:p>
    <w:p>
      <w:pPr>
        <w:spacing w:after="60" w:line="300"/>
        <w:ind w:left="567" w:hanging="567"/>
        <w:jc w:val="both"/>
      </w:pPr>
      <w:r>
        <w:rPr>
          <w:rFonts w:ascii="Times New Roman" w:cs="Times New Roman" w:eastAsia="Times New Roman" w:hAnsi="Times New Roman"/>
          <w:sz w:val="26"/>
          <w:szCs w:val="26"/>
        </w:rPr>
        <w:t xml:space="preserve">12. Розмежуйте поняття ЄСЦБ, Євросистема, Єдиний механізм нагляду.</w:t>
      </w:r>
    </w:p>
    <w:p>
      <w:pPr>
        <w:spacing w:after="60" w:line="300"/>
        <w:ind w:left="567" w:hanging="567"/>
        <w:jc w:val="both"/>
      </w:pPr>
      <w:r>
        <w:rPr>
          <w:rFonts w:ascii="Times New Roman" w:cs="Times New Roman" w:eastAsia="Times New Roman" w:hAnsi="Times New Roman"/>
          <w:sz w:val="26"/>
          <w:szCs w:val="26"/>
        </w:rPr>
        <w:t xml:space="preserve">13. Чому незалежність ЄЦБ вважається інституційною гарантією цінової стабільності?</w:t>
      </w:r>
    </w:p>
    <w:p>
      <w:pPr>
        <w:spacing w:after="60" w:line="300"/>
        <w:ind w:left="567" w:hanging="567"/>
        <w:jc w:val="both"/>
      </w:pPr>
      <w:r>
        <w:rPr>
          <w:rFonts w:ascii="Times New Roman" w:cs="Times New Roman" w:eastAsia="Times New Roman" w:hAnsi="Times New Roman"/>
          <w:sz w:val="26"/>
          <w:szCs w:val="26"/>
        </w:rPr>
        <w:t xml:space="preserve">14. Яка роль ЄЕСК і Комітету регіонів у формуванні політик ЄС та відносинах з Україною?</w:t>
      </w:r>
    </w:p>
    <w:p>
      <w:pPr>
        <w:spacing w:after="60" w:line="300"/>
        <w:ind w:left="567" w:hanging="567"/>
        <w:jc w:val="both"/>
      </w:pPr>
      <w:r>
        <w:rPr>
          <w:rFonts w:ascii="Times New Roman" w:cs="Times New Roman" w:eastAsia="Times New Roman" w:hAnsi="Times New Roman"/>
          <w:sz w:val="26"/>
          <w:szCs w:val="26"/>
        </w:rPr>
        <w:t xml:space="preserve">15. Охарактеризуйте роль ЄІБ у фінансуванні розвитку та підтримці України.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Глосарій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6939"/>
      </w:tblGrid>
      <w:tr>
        <w:trPr>
          <w:tblHeader/>
        </w:trPr>
        <w:tc>
          <w:tcPr>
            <w:tcW w:type="dxa" w:w="269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Термін</w:t>
            </w:r>
          </w:p>
        </w:tc>
        <w:tc>
          <w:tcPr>
            <w:tcW w:type="dxa" w:w="693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Визначення</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Інституційна рамка</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Сукупність інституцій ЄС, визначених ст. 13 ДЄС, що діють у межах наданих повноважень</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Метод Співтовариства</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Спосіб ухвалення рішень, заснований на ініціативі Комісії, голосуванні кваліфікованою більшістю в Раді, співзаконодавстві Парламенту та контролі Суду ЄС</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Кваліфікована більшість</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55 % держав-членів, що представляють 65 % населення ЄС</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COREPER</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Комітет постійних представників держав-членів, що готує рішення Ради ЄС</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Тріо головування</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Три послідовні головуючі в Раді ЄС держави з 18-місячною спільною програмою</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Преюдиційний запит</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Звернення національного суду до Суду ЄС щодо тлумачення або чинності норм права ЄС</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Євросистема</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ЄЦБ та національні центральні банки держав зони євро</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Виконавча агенція</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Орган, якому Комісія делегує управління програмами ЄС</w:t>
            </w:r>
          </w:p>
        </w:tc>
      </w:tr>
      <w:tr>
        <w:trPr>
          <w:tblHeader w:val="false"/>
        </w:trPr>
        <w:tc>
          <w:tcPr>
            <w:tcW w:type="dxa" w:w="269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Blending</w:t>
            </w:r>
          </w:p>
        </w:tc>
        <w:tc>
          <w:tcPr>
            <w:tcW w:type="dxa" w:w="693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Поєднання грантів ЄС із позиковими ресурсами фінансових установ</w:t>
            </w:r>
          </w:p>
        </w:tc>
      </w:tr>
    </w:tbl>
    <w:p>
      <w:pPr>
        <w:spacing w:after="60" w:before="0" w:line="240"/>
      </w:pP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Список використаних джерел</w:t>
      </w:r>
    </w:p>
    <w:p>
      <w:pPr>
        <w:spacing w:after="60" w:line="300"/>
        <w:ind w:left="567" w:hanging="567"/>
        <w:jc w:val="both"/>
      </w:pPr>
      <w:r>
        <w:rPr>
          <w:rFonts w:ascii="Times New Roman" w:cs="Times New Roman" w:eastAsia="Times New Roman" w:hAnsi="Times New Roman"/>
          <w:sz w:val="26"/>
          <w:szCs w:val="26"/>
        </w:rPr>
        <w:t xml:space="preserve">1. Основи зовнішньої політики Європейського Союзу : навч. посіб. / Н. А. Вінникова та ін. ; за заг. ред. Л. В. Новікової. Харків : ХНУ імені В. Н. Каразіна, 2022. 144 с.</w:t>
      </w:r>
    </w:p>
    <w:p>
      <w:pPr>
        <w:spacing w:after="60" w:line="300"/>
        <w:ind w:left="567" w:hanging="567"/>
        <w:jc w:val="both"/>
      </w:pPr>
      <w:r>
        <w:rPr>
          <w:rFonts w:ascii="Times New Roman" w:cs="Times New Roman" w:eastAsia="Times New Roman" w:hAnsi="Times New Roman"/>
          <w:sz w:val="26"/>
          <w:szCs w:val="26"/>
        </w:rPr>
        <w:t xml:space="preserve">2. Європейська інтеграція : навч.-метод. посіб. / уклад. Н. В. Кузьминчук, Т. П. Шуба, В. І. Ляшевська. Харків : ХНУ імені В. Н. Каразіна, 2023. 48 с.</w:t>
      </w:r>
    </w:p>
    <w:p>
      <w:pPr>
        <w:spacing w:after="60" w:line="300"/>
        <w:ind w:left="567" w:hanging="567"/>
        <w:jc w:val="both"/>
      </w:pPr>
      <w:r>
        <w:rPr>
          <w:rFonts w:ascii="Times New Roman" w:cs="Times New Roman" w:eastAsia="Times New Roman" w:hAnsi="Times New Roman"/>
          <w:sz w:val="26"/>
          <w:szCs w:val="26"/>
        </w:rPr>
        <w:t xml:space="preserve">3. Карлін М. І., Івашко О. А. Фінансові системи країн Європейського Союзу : підручник. Луцьк : Вежа-Друк, 2022. 384 с.</w:t>
      </w:r>
    </w:p>
    <w:p>
      <w:pPr>
        <w:spacing w:after="60" w:line="300"/>
        <w:ind w:left="567" w:hanging="567"/>
        <w:jc w:val="both"/>
      </w:pPr>
      <w:r>
        <w:rPr>
          <w:rFonts w:ascii="Times New Roman" w:cs="Times New Roman" w:eastAsia="Times New Roman" w:hAnsi="Times New Roman"/>
          <w:sz w:val="26"/>
          <w:szCs w:val="26"/>
        </w:rPr>
        <w:t xml:space="preserve">4. Грицишен Д. О., Поплавський П. Г. Аналіз бюджету ЄС для фінансування досліджень та інновацій. </w:t>
      </w:r>
      <w:r>
        <w:rPr>
          <w:rFonts w:ascii="Times New Roman" w:cs="Times New Roman" w:eastAsia="Times New Roman" w:hAnsi="Times New Roman"/>
          <w:i/>
          <w:iCs/>
          <w:sz w:val="26"/>
          <w:szCs w:val="26"/>
        </w:rPr>
        <w:t xml:space="preserve">Таврійський науковий вісник. Серія: Економіка</w:t>
      </w:r>
      <w:r>
        <w:rPr>
          <w:rFonts w:ascii="Times New Roman" w:cs="Times New Roman" w:eastAsia="Times New Roman" w:hAnsi="Times New Roman"/>
          <w:sz w:val="26"/>
          <w:szCs w:val="26"/>
        </w:rPr>
        <w:t xml:space="preserve">. 2024. № 20. С. 79–85. DOI: https://doi.org/10.32782/2708-0366/2024.20.9</w:t>
      </w:r>
    </w:p>
    <w:p>
      <w:pPr>
        <w:spacing w:after="60" w:line="300"/>
        <w:ind w:left="567" w:hanging="567"/>
        <w:jc w:val="both"/>
      </w:pPr>
      <w:r>
        <w:rPr>
          <w:rFonts w:ascii="Times New Roman" w:cs="Times New Roman" w:eastAsia="Times New Roman" w:hAnsi="Times New Roman"/>
          <w:sz w:val="26"/>
          <w:szCs w:val="26"/>
        </w:rPr>
        <w:t xml:space="preserve">5. Абрамова І. В., Поплавський П. Г. Фінансування міжнародних грантових угод у сферах науки та інновацій через призму декомпозиційної моделі. </w:t>
      </w:r>
      <w:r>
        <w:rPr>
          <w:rFonts w:ascii="Times New Roman" w:cs="Times New Roman" w:eastAsia="Times New Roman" w:hAnsi="Times New Roman"/>
          <w:i/>
          <w:iCs/>
          <w:sz w:val="26"/>
          <w:szCs w:val="26"/>
        </w:rPr>
        <w:t xml:space="preserve">Бізнес Інформ</w:t>
      </w:r>
      <w:r>
        <w:rPr>
          <w:rFonts w:ascii="Times New Roman" w:cs="Times New Roman" w:eastAsia="Times New Roman" w:hAnsi="Times New Roman"/>
          <w:sz w:val="26"/>
          <w:szCs w:val="26"/>
        </w:rPr>
        <w:t xml:space="preserve">. 2024. № 4. С. 26–31. DOI: https://doi.org/10.32983/2222-4459-2024-4-26-31</w:t>
      </w:r>
    </w:p>
    <w:p>
      <w:pPr>
        <w:spacing w:after="60" w:line="300"/>
        <w:ind w:left="567" w:hanging="567"/>
        <w:jc w:val="both"/>
      </w:pPr>
      <w:r>
        <w:rPr>
          <w:rFonts w:ascii="Times New Roman" w:cs="Times New Roman" w:eastAsia="Times New Roman" w:hAnsi="Times New Roman"/>
          <w:sz w:val="26"/>
          <w:szCs w:val="26"/>
        </w:rPr>
        <w:t xml:space="preserve">6. European Council. Strategic agenda 2024–2029. Brussels, 27 June 2024. URL: https://www.consilium.europa.eu/en/european-council/strategic-agenda-2024-2029/</w:t>
      </w:r>
    </w:p>
    <w:p>
      <w:pPr>
        <w:spacing w:after="60" w:line="300"/>
        <w:ind w:left="567" w:hanging="567"/>
        <w:jc w:val="both"/>
      </w:pPr>
      <w:r>
        <w:rPr>
          <w:rFonts w:ascii="Times New Roman" w:cs="Times New Roman" w:eastAsia="Times New Roman" w:hAnsi="Times New Roman"/>
          <w:sz w:val="26"/>
          <w:szCs w:val="26"/>
        </w:rPr>
        <w:t xml:space="preserve">7. European Council conclusions, 18 and 19 June 2026 (EUCO 8/26). URL: https://www.consilium.europa.eu/media/r1rowtfb/en-20260619-european-council-conclusions.pdf</w:t>
      </w:r>
    </w:p>
    <w:p>
      <w:pPr>
        <w:spacing w:after="60" w:line="300"/>
        <w:ind w:left="567" w:hanging="567"/>
        <w:jc w:val="both"/>
      </w:pPr>
      <w:r>
        <w:rPr>
          <w:rFonts w:ascii="Times New Roman" w:cs="Times New Roman" w:eastAsia="Times New Roman" w:hAnsi="Times New Roman"/>
          <w:sz w:val="26"/>
          <w:szCs w:val="26"/>
        </w:rPr>
        <w:t xml:space="preserve">8. European Council appoints Boris Vujčić as Vice-President of the European Central Bank : press release, 19 March 2026. URL: https://www.consilium.europa.eu</w:t>
      </w:r>
    </w:p>
    <w:p>
      <w:pPr>
        <w:spacing w:after="60" w:line="300"/>
        <w:ind w:left="567" w:hanging="567"/>
        <w:jc w:val="both"/>
      </w:pPr>
      <w:r>
        <w:rPr>
          <w:rFonts w:ascii="Times New Roman" w:cs="Times New Roman" w:eastAsia="Times New Roman" w:hAnsi="Times New Roman"/>
          <w:sz w:val="26"/>
          <w:szCs w:val="26"/>
        </w:rPr>
        <w:t xml:space="preserve">9. European Commission. College of Commissioners 2024–2029. URL: https://commission.europa.eu/about/organisation/college-commissioners_en</w:t>
      </w:r>
    </w:p>
    <w:p>
      <w:pPr>
        <w:spacing w:after="60" w:line="300"/>
        <w:ind w:left="567" w:hanging="567"/>
        <w:jc w:val="both"/>
      </w:pPr>
      <w:r>
        <w:rPr>
          <w:rFonts w:ascii="Times New Roman" w:cs="Times New Roman" w:eastAsia="Times New Roman" w:hAnsi="Times New Roman"/>
          <w:sz w:val="26"/>
          <w:szCs w:val="26"/>
        </w:rPr>
        <w:t xml:space="preserve">10. Council of the EU. Qualified majority. URL: https://www.consilium.europa.eu/en/council-eu/how-does-the-council-vote/qualified-majority/</w:t>
      </w:r>
    </w:p>
    <w:p>
      <w:pPr>
        <w:spacing w:after="60" w:line="300"/>
        <w:ind w:left="567" w:hanging="567"/>
        <w:jc w:val="both"/>
      </w:pPr>
      <w:r>
        <w:rPr>
          <w:rFonts w:ascii="Times New Roman" w:cs="Times New Roman" w:eastAsia="Times New Roman" w:hAnsi="Times New Roman"/>
          <w:sz w:val="26"/>
          <w:szCs w:val="26"/>
        </w:rPr>
        <w:t xml:space="preserve">11. Irish Presidency of the Council of the European Union: Programme. URL: https://irish-presidency.consilium.europa.eu/en/programme/</w:t>
      </w:r>
    </w:p>
    <w:p>
      <w:pPr>
        <w:spacing w:after="60" w:line="300"/>
        <w:ind w:left="567" w:hanging="567"/>
        <w:jc w:val="both"/>
      </w:pPr>
      <w:r>
        <w:rPr>
          <w:rFonts w:ascii="Times New Roman" w:cs="Times New Roman" w:eastAsia="Times New Roman" w:hAnsi="Times New Roman"/>
          <w:sz w:val="26"/>
          <w:szCs w:val="26"/>
        </w:rPr>
        <w:t xml:space="preserve">12. European Central Bank. Monetary policy decisions, 23 July 2026. URL: https://www.ecb.europa.eu/press/pr/date/2026/html/ecb.mp260723~29f24d99bc.en.html</w:t>
      </w:r>
    </w:p>
    <w:p>
      <w:pPr>
        <w:spacing w:after="60" w:line="300"/>
        <w:ind w:left="567" w:hanging="567"/>
        <w:jc w:val="both"/>
      </w:pPr>
      <w:r>
        <w:rPr>
          <w:rFonts w:ascii="Times New Roman" w:cs="Times New Roman" w:eastAsia="Times New Roman" w:hAnsi="Times New Roman"/>
          <w:sz w:val="26"/>
          <w:szCs w:val="26"/>
        </w:rPr>
        <w:t xml:space="preserve">13. Nugent N. The Government and Politics of the European Union. 8th ed. London : Palgrave, 2017. 520 p.</w:t>
      </w:r>
    </w:p>
    <w:p>
      <w:pPr>
        <w:spacing w:after="60" w:line="300"/>
        <w:ind w:left="567" w:hanging="567"/>
        <w:jc w:val="both"/>
      </w:pPr>
      <w:r>
        <w:rPr>
          <w:rFonts w:ascii="Times New Roman" w:cs="Times New Roman" w:eastAsia="Times New Roman" w:hAnsi="Times New Roman"/>
          <w:sz w:val="26"/>
          <w:szCs w:val="26"/>
        </w:rPr>
        <w:t xml:space="preserve">14. Hix S., Høyland B. The Political System of the European Union. 3rd ed. Basingstoke : Palgrave Macmillan, 2011. 408 p.</w:t>
      </w:r>
    </w:p>
    <w:p>
      <w:pPr>
        <w:spacing w:after="60" w:line="300"/>
        <w:ind w:left="567" w:hanging="567"/>
        <w:jc w:val="both"/>
      </w:pPr>
      <w:r>
        <w:rPr>
          <w:rFonts w:ascii="Times New Roman" w:cs="Times New Roman" w:eastAsia="Times New Roman" w:hAnsi="Times New Roman"/>
          <w:sz w:val="26"/>
          <w:szCs w:val="26"/>
        </w:rPr>
        <w:t xml:space="preserve">15. Consolidated version of the Treaty on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13–46.</w:t>
      </w:r>
    </w:p>
    <w:p>
      <w:pPr>
        <w:spacing w:after="60" w:line="300"/>
        <w:ind w:left="567" w:hanging="567"/>
        <w:jc w:val="both"/>
      </w:pPr>
      <w:r>
        <w:rPr>
          <w:rFonts w:ascii="Times New Roman" w:cs="Times New Roman" w:eastAsia="Times New Roman" w:hAnsi="Times New Roman"/>
          <w:sz w:val="26"/>
          <w:szCs w:val="26"/>
        </w:rPr>
        <w:t xml:space="preserve">16. Consolidated version of the Treaty on the Functioning of the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47–199.</w:t>
      </w:r>
    </w:p>
    <w:p>
      <w:pPr>
        <w:spacing w:after="60" w:line="300"/>
        <w:ind w:left="567" w:hanging="567"/>
        <w:jc w:val="both"/>
      </w:pPr>
      <w:r>
        <w:rPr>
          <w:rFonts w:ascii="Times New Roman" w:cs="Times New Roman" w:eastAsia="Times New Roman" w:hAnsi="Times New Roman"/>
          <w:sz w:val="26"/>
          <w:szCs w:val="26"/>
        </w:rPr>
        <w:t xml:space="preserve">17. European Parliamentary Research Service. Size of political groups in the European Parliament (EPRS_ATA(2024)762357). URL: https://www.europarl.europa.eu/thinktank/en/document/EPRS_ATA(2024)762357</w:t>
      </w:r>
    </w:p>
    <w:p>
      <w:pPr>
        <w:spacing w:after="60" w:line="300"/>
        <w:ind w:left="567" w:hanging="567"/>
        <w:jc w:val="both"/>
      </w:pPr>
      <w:r>
        <w:rPr>
          <w:rFonts w:ascii="Times New Roman" w:cs="Times New Roman" w:eastAsia="Times New Roman" w:hAnsi="Times New Roman"/>
          <w:sz w:val="26"/>
          <w:szCs w:val="26"/>
        </w:rPr>
        <w:t xml:space="preserve">18. Craig P., de Búrca G. EU Law: Text, Cases, and Materials. 7th ed. Oxford : Oxford University Press, 2020. 1376 p.</w:t>
      </w:r>
    </w:p>
    <w:p>
      <w:pPr>
        <w:spacing w:after="60" w:line="300"/>
        <w:ind w:left="567" w:hanging="567"/>
        <w:jc w:val="both"/>
      </w:pPr>
      <w:r>
        <w:rPr>
          <w:rFonts w:ascii="Times New Roman" w:cs="Times New Roman" w:eastAsia="Times New Roman" w:hAnsi="Times New Roman"/>
          <w:sz w:val="26"/>
          <w:szCs w:val="26"/>
        </w:rPr>
        <w:t xml:space="preserve">19. European Investment Bank. Powering Europe: EIB Group invests a record €100 billion to support shared prosperity, security and European values : press release, 2026. URL: https://www.eib.org/en/press/all/2026-024</w:t>
      </w:r>
    </w:p>
    <w:p>
      <w:pPr>
        <w:spacing w:after="60" w:line="300"/>
        <w:ind w:left="567" w:hanging="567"/>
        <w:jc w:val="both"/>
      </w:pPr>
      <w:r>
        <w:rPr>
          <w:rFonts w:ascii="Times New Roman" w:cs="Times New Roman" w:eastAsia="Times New Roman" w:hAnsi="Times New Roman"/>
          <w:sz w:val="26"/>
          <w:szCs w:val="26"/>
        </w:rPr>
        <w:t xml:space="preserve">20. Wallace H., Pollack M. A., Roederer-Rynning C., Young A. R. (eds.). Policy-Making in the European Union. 8th ed. Oxford : Oxford University Press, 2020. 592 p.</w:t>
      </w:r>
    </w:p>
    <w:p>
      <w:pPr>
        <w:spacing w:after="60" w:line="300"/>
        <w:ind w:left="567" w:hanging="567"/>
        <w:jc w:val="both"/>
      </w:pPr>
      <w:r>
        <w:rPr>
          <w:rFonts w:ascii="Times New Roman" w:cs="Times New Roman" w:eastAsia="Times New Roman" w:hAnsi="Times New Roman"/>
          <w:sz w:val="26"/>
          <w:szCs w:val="26"/>
        </w:rPr>
        <w:t xml:space="preserve">21. Regulation (EU, Euratom) 2024/2019 of the European Parliament and of the Council of 11 April 2024 amending Protocol No 3 on the Statute of the Court of Justice of the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series. 12.08.2024.</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EA9DB" w:sz="4" w:space="2"/>
      </w:pBdr>
      <w:jc w:val="right"/>
    </w:pPr>
    <w:r>
      <w:rPr>
        <w:rFonts w:ascii="Times New Roman" w:cs="Times New Roman" w:eastAsia="Times New Roman" w:hAnsi="Times New Roman"/>
        <w:i/>
        <w:iCs/>
        <w:color w:val="595959"/>
        <w:sz w:val="18"/>
        <w:szCs w:val="18"/>
      </w:rPr>
      <w:t xml:space="preserve">Європейські інституції та грантово-проєктна політика ЄС · Лекція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864"/>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Європейські інституції та грантово-проєктна політика ЄС · Лекція 2</dc:title>
  <dc:creator>ЖПУ, кафедра МЕВ і ПМ</dc:creator>
  <cp:lastModifiedBy>Un-named</cp:lastModifiedBy>
  <cp:revision>1</cp:revision>
  <dcterms:created xsi:type="dcterms:W3CDTF">2026-09-11T15:43:46.186Z</dcterms:created>
  <dcterms:modified xsi:type="dcterms:W3CDTF">2026-09-11T15:43:46.186Z</dcterms:modified>
</cp:coreProperties>
</file>

<file path=docProps/custom.xml><?xml version="1.0" encoding="utf-8"?>
<Properties xmlns="http://schemas.openxmlformats.org/officeDocument/2006/custom-properties" xmlns:vt="http://schemas.openxmlformats.org/officeDocument/2006/docPropsVTypes"/>
</file>