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120" w:line="300"/>
        <w:jc w:val="center"/>
      </w:pPr>
      <w:r>
        <w:rPr>
          <w:rFonts w:ascii="Times New Roman" w:cs="Times New Roman" w:eastAsia="Times New Roman" w:hAnsi="Times New Roman"/>
          <w:b/>
          <w:bCs/>
          <w:color w:val="1F3864"/>
          <w:sz w:val="32"/>
          <w:szCs w:val="32"/>
        </w:rPr>
        <w:t xml:space="preserve">ЛЕКЦІЯ 1</w:t>
      </w:r>
    </w:p>
    <w:p>
      <w:pPr>
        <w:spacing w:after="120" w:before="120" w:line="300"/>
        <w:jc w:val="center"/>
      </w:pPr>
      <w:r>
        <w:rPr>
          <w:rFonts w:ascii="Times New Roman" w:cs="Times New Roman" w:eastAsia="Times New Roman" w:hAnsi="Times New Roman"/>
          <w:b/>
          <w:bCs/>
          <w:color w:val="1F3864"/>
          <w:sz w:val="32"/>
          <w:szCs w:val="32"/>
        </w:rPr>
        <w:t xml:space="preserve">Європейський Союз як інституційна та політико-економічна система</w:t>
      </w:r>
    </w:p>
    <w:p>
      <w:pPr>
        <w:spacing w:after="80" w:before="0" w:line="276"/>
        <w:jc w:val="center"/>
      </w:pPr>
      <w:r>
        <w:rPr>
          <w:rFonts w:ascii="Times New Roman" w:cs="Times New Roman" w:eastAsia="Times New Roman" w:hAnsi="Times New Roman"/>
          <w:sz w:val="28"/>
          <w:szCs w:val="28"/>
        </w:rPr>
        <w:t xml:space="preserve">Навчальна дисципліна «Європейські інституції та грантово-проєктна політика ЄС»</w:t>
      </w:r>
    </w:p>
    <w:p>
      <w:pPr>
        <w:spacing w:after="80" w:before="0" w:line="276"/>
        <w:jc w:val="center"/>
      </w:pPr>
      <w:r>
        <w:rPr>
          <w:rFonts w:ascii="Times New Roman" w:cs="Times New Roman" w:eastAsia="Times New Roman" w:hAnsi="Times New Roman"/>
          <w:sz w:val="28"/>
          <w:szCs w:val="28"/>
        </w:rPr>
        <w:t xml:space="preserve">Змістовий модуль 1. Інституційна система Європейського Союзу та механізми формування політик ЄС</w:t>
      </w:r>
    </w:p>
    <w:p>
      <w:pPr>
        <w:spacing w:after="80" w:before="0" w:line="276"/>
        <w:jc w:val="center"/>
      </w:pPr>
      <w:r>
        <w:rPr>
          <w:rFonts w:ascii="Times New Roman" w:cs="Times New Roman" w:eastAsia="Times New Roman" w:hAnsi="Times New Roman"/>
          <w:sz w:val="28"/>
          <w:szCs w:val="28"/>
        </w:rPr>
        <w:t xml:space="preserve">Освітній ступінь «магістр» · спеціальність С1 «Економіка та міжнародні економічні відносини» · спеціалізація С1.02</w:t>
      </w:r>
    </w:p>
    <w:p>
      <w:pPr>
        <w:spacing w:after="80" w:before="0" w:line="276"/>
        <w:jc w:val="center"/>
      </w:pPr>
      <w:r>
        <w:rPr>
          <w:rFonts w:ascii="Times New Roman" w:cs="Times New Roman" w:eastAsia="Times New Roman" w:hAnsi="Times New Roman"/>
          <w:sz w:val="28"/>
          <w:szCs w:val="28"/>
        </w:rPr>
        <w:t xml:space="preserve">Обсяг: 3 академічні години · Компетентності та результати навчання: ЗК5, СК1, РН2, РН6</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96"/>
        <w:gridCol w:w="7642"/>
      </w:tblGrid>
      <w:tr>
        <w:trPr>
          <w:tblHeader/>
        </w:trPr>
        <w:tc>
          <w:tcPr>
            <w:tcW w:type="dxa" w:w="1996"/>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Елемент</w:t>
            </w:r>
          </w:p>
        </w:tc>
        <w:tc>
          <w:tcPr>
            <w:tcW w:type="dxa" w:w="7642"/>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Зміст</w:t>
            </w:r>
          </w:p>
        </w:tc>
      </w:tr>
      <w:tr>
        <w:trPr>
          <w:tblHeader w:val="false"/>
        </w:trPr>
        <w:tc>
          <w:tcPr>
            <w:tcW w:type="dxa" w:w="199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Мета лекції</w:t>
            </w:r>
          </w:p>
        </w:tc>
        <w:tc>
          <w:tcPr>
            <w:tcW w:type="dxa" w:w="764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Сформувати системне розуміння Європейського Союзу як особливого інституційного та політико-економічного утворення, його історичної еволюції, ціннісно-правових засад, ролі в міжнародних економічних відносинах, а також місця України в процесі європейської інтеграції</w:t>
            </w:r>
          </w:p>
        </w:tc>
      </w:tr>
      <w:tr>
        <w:trPr>
          <w:tblHeader w:val="false"/>
        </w:trPr>
        <w:tc>
          <w:tcPr>
            <w:tcW w:type="dxa" w:w="199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План</w:t>
            </w:r>
          </w:p>
        </w:tc>
        <w:tc>
          <w:tcPr>
            <w:tcW w:type="dxa" w:w="764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1. Історичні передумови формування Європейського Союзу.</w:t>
            </w:r>
          </w:p>
          <w:p>
            <w:pPr>
              <w:spacing w:after="0" w:before="0" w:line="240"/>
              <w:jc w:val="left"/>
            </w:pPr>
            <w:r>
              <w:rPr>
                <w:rFonts w:ascii="Times New Roman" w:cs="Times New Roman" w:eastAsia="Times New Roman" w:hAnsi="Times New Roman"/>
                <w:b w:val="false"/>
                <w:bCs w:val="false"/>
                <w:sz w:val="24"/>
                <w:szCs w:val="24"/>
              </w:rPr>
              <w:t xml:space="preserve">2. Європейська інтеграція як процес поглиблення економічного, політичного та інституційного співробітництва.</w:t>
            </w:r>
          </w:p>
          <w:p>
            <w:pPr>
              <w:spacing w:after="0" w:before="0" w:line="240"/>
              <w:jc w:val="left"/>
            </w:pPr>
            <w:r>
              <w:rPr>
                <w:rFonts w:ascii="Times New Roman" w:cs="Times New Roman" w:eastAsia="Times New Roman" w:hAnsi="Times New Roman"/>
                <w:b w:val="false"/>
                <w:bCs w:val="false"/>
                <w:sz w:val="24"/>
                <w:szCs w:val="24"/>
              </w:rPr>
              <w:t xml:space="preserve">3. Цінності, принципи та правові засади функціонування ЄС.</w:t>
            </w:r>
          </w:p>
          <w:p>
            <w:pPr>
              <w:spacing w:after="0" w:before="0" w:line="240"/>
              <w:jc w:val="left"/>
            </w:pPr>
            <w:r>
              <w:rPr>
                <w:rFonts w:ascii="Times New Roman" w:cs="Times New Roman" w:eastAsia="Times New Roman" w:hAnsi="Times New Roman"/>
                <w:b w:val="false"/>
                <w:bCs w:val="false"/>
                <w:sz w:val="24"/>
                <w:szCs w:val="24"/>
              </w:rPr>
              <w:t xml:space="preserve">4. ЄС як суб’єкт міжнародних економічних відносин.</w:t>
            </w:r>
          </w:p>
          <w:p>
            <w:pPr>
              <w:spacing w:after="0" w:before="0" w:line="240"/>
              <w:jc w:val="left"/>
            </w:pPr>
            <w:r>
              <w:rPr>
                <w:rFonts w:ascii="Times New Roman" w:cs="Times New Roman" w:eastAsia="Times New Roman" w:hAnsi="Times New Roman"/>
                <w:b w:val="false"/>
                <w:bCs w:val="false"/>
                <w:sz w:val="24"/>
                <w:szCs w:val="24"/>
              </w:rPr>
              <w:t xml:space="preserve">5. Спільний ринок ЄС: свобода руху товарів, послуг, капіталу та робочої сили.</w:t>
            </w:r>
          </w:p>
          <w:p>
            <w:pPr>
              <w:spacing w:after="0" w:before="0" w:line="240"/>
              <w:jc w:val="left"/>
            </w:pPr>
            <w:r>
              <w:rPr>
                <w:rFonts w:ascii="Times New Roman" w:cs="Times New Roman" w:eastAsia="Times New Roman" w:hAnsi="Times New Roman"/>
                <w:b w:val="false"/>
                <w:bCs w:val="false"/>
                <w:sz w:val="24"/>
                <w:szCs w:val="24"/>
              </w:rPr>
              <w:t xml:space="preserve">6. Інституційна спроможність ЄС у забезпеченні сталого розвитку, конкурентоспроможності та економічної безпеки.</w:t>
            </w:r>
          </w:p>
          <w:p>
            <w:pPr>
              <w:spacing w:after="0" w:before="0" w:line="240"/>
              <w:jc w:val="left"/>
            </w:pPr>
            <w:r>
              <w:rPr>
                <w:rFonts w:ascii="Times New Roman" w:cs="Times New Roman" w:eastAsia="Times New Roman" w:hAnsi="Times New Roman"/>
                <w:b w:val="false"/>
                <w:bCs w:val="false"/>
                <w:sz w:val="24"/>
                <w:szCs w:val="24"/>
              </w:rPr>
              <w:t xml:space="preserve">7. Україна в системі європейської інтеграції: статус, зобов’язання та перспективи.</w:t>
            </w:r>
          </w:p>
        </w:tc>
      </w:tr>
      <w:tr>
        <w:trPr>
          <w:tblHeader w:val="false"/>
        </w:trPr>
        <w:tc>
          <w:tcPr>
            <w:tcW w:type="dxa" w:w="199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Ключові поняття</w:t>
            </w:r>
          </w:p>
        </w:tc>
        <w:tc>
          <w:tcPr>
            <w:tcW w:type="dxa" w:w="764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європейська інтеграція; наднаціональність; міжурядовість; acquis communautaire; первинне і вторинне право ЄС; принцип наділення компетенцією; єдиний (внутрішній) ринок; чотири свободи; диференційована інтеграція; економічна безпека; копенгагенські критерії; переговорний кластер</w:t>
            </w:r>
          </w:p>
        </w:tc>
      </w:tr>
      <w:tr>
        <w:trPr>
          <w:tblHeader w:val="false"/>
        </w:trPr>
        <w:tc>
          <w:tcPr>
            <w:tcW w:type="dxa" w:w="199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Базові джерела</w:t>
            </w:r>
          </w:p>
        </w:tc>
        <w:tc>
          <w:tcPr>
            <w:tcW w:type="dxa" w:w="764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Договір про Європейський Союз (ДЄС); Договір про функціонування ЄС (ДФЄС); Хартія основоположних прав ЄС; Угода про асоціацію між Україною та ЄС; [1–4; 9; 12; 16–20]</w:t>
            </w:r>
          </w:p>
        </w:tc>
      </w:tr>
    </w:tbl>
    <w:p>
      <w:pPr>
        <w:spacing w:after="60" w:before="0" w:line="240"/>
      </w:pPr>
    </w:p>
    <w:p>
      <w:pPr>
        <w:pBdr>
          <w:left w:val="single" w:color="2E5597" w:sz="24" w:space="6"/>
        </w:pBdr>
        <w:shd w:fill="EEF3FA" w:color="auto" w:val="clear"/>
        <w:spacing w:after="80" w:before="80" w:line="300"/>
        <w:ind w:left="284" w:right="142"/>
        <w:jc w:val="both"/>
      </w:pPr>
      <w:r>
        <w:rPr>
          <w:rFonts w:ascii="Times New Roman" w:cs="Times New Roman" w:eastAsia="Times New Roman" w:hAnsi="Times New Roman"/>
          <w:b/>
          <w:bCs/>
          <w:sz w:val="26"/>
          <w:szCs w:val="26"/>
        </w:rPr>
        <w:t xml:space="preserve">Методологічне застереження.</w:t>
      </w:r>
      <w:r>
        <w:rPr>
          <w:rFonts w:ascii="Times New Roman" w:cs="Times New Roman" w:eastAsia="Times New Roman" w:hAnsi="Times New Roman"/>
          <w:sz w:val="26"/>
          <w:szCs w:val="26"/>
        </w:rPr>
        <w:t xml:space="preserve"> Фактичні та статистичні дані в лекції наведено станом на вересень 2026 р. за офіційними джерелами інституцій ЄС (Consilium, European Commission, Eurostat, ECB). Під час використання матеріалу в наступних навчальних роках їх необхідно актуалізувати.</w:t>
      </w:r>
    </w:p>
    <w:p>
      <w:pPr>
        <w:pStyle w:val="Heading1"/>
        <w:keepNext/>
        <w:spacing w:after="160" w:before="300" w:line="300"/>
        <w:jc w:val="center"/>
      </w:pPr>
      <w:r>
        <w:rPr>
          <w:rFonts w:ascii="Times New Roman" w:cs="Times New Roman" w:eastAsia="Times New Roman" w:hAnsi="Times New Roman"/>
          <w:b/>
          <w:bCs/>
          <w:color w:val="1F3864"/>
          <w:sz w:val="30"/>
          <w:szCs w:val="30"/>
        </w:rPr>
        <w:t xml:space="preserve">Вступ</w:t>
      </w:r>
    </w:p>
    <w:p>
      <w:pPr>
        <w:spacing w:after="0" w:line="360"/>
        <w:ind w:firstLine="709"/>
        <w:jc w:val="both"/>
      </w:pPr>
      <w:r>
        <w:rPr>
          <w:rFonts w:ascii="Times New Roman" w:cs="Times New Roman" w:eastAsia="Times New Roman" w:hAnsi="Times New Roman"/>
          <w:sz w:val="28"/>
          <w:szCs w:val="28"/>
        </w:rPr>
        <w:t xml:space="preserve">Європейський Союз (ЄС) є одним із найскладніших і водночас найрезультативніших інтеграційних утворень сучасного світу. Він не вписується ані в класичну модель міжнародної організації, ані в модель федеративної держави: у науковій літературі його характеризують як політичну систему </w:t>
      </w:r>
      <w:r>
        <w:rPr>
          <w:rFonts w:ascii="Times New Roman" w:cs="Times New Roman" w:eastAsia="Times New Roman" w:hAnsi="Times New Roman"/>
          <w:i/>
          <w:iCs/>
          <w:sz w:val="28"/>
          <w:szCs w:val="28"/>
        </w:rPr>
        <w:t xml:space="preserve">sui generis</w:t>
      </w:r>
      <w:r>
        <w:rPr>
          <w:rFonts w:ascii="Times New Roman" w:cs="Times New Roman" w:eastAsia="Times New Roman" w:hAnsi="Times New Roman"/>
          <w:sz w:val="28"/>
          <w:szCs w:val="28"/>
        </w:rPr>
        <w:t xml:space="preserve"> («своєрідного роду»), що поєднує наднаціональні та міжурядові механізми управління [13; 14]. Для фахівця з міжнародних економічних відносин розуміння ЄС має прикладне значення: саме в ЄС сформовано найбільший у світі інтегрований ринок, одну з провідних світових валют, розгалужену мережу торговельних угод і масштабну систему фінансових програм, які визначають умови співпраці з державами-кандидатами, зокрема з Україною.</w:t>
      </w:r>
    </w:p>
    <w:p>
      <w:pPr>
        <w:spacing w:after="0" w:line="360"/>
        <w:ind w:firstLine="709"/>
        <w:jc w:val="both"/>
      </w:pPr>
      <w:r>
        <w:rPr>
          <w:rFonts w:ascii="Times New Roman" w:cs="Times New Roman" w:eastAsia="Times New Roman" w:hAnsi="Times New Roman"/>
          <w:sz w:val="28"/>
          <w:szCs w:val="28"/>
        </w:rPr>
        <w:t xml:space="preserve">Лекція закладає концептуальну основу всього курсу: без усвідомлення того, </w:t>
      </w:r>
      <w:r>
        <w:rPr>
          <w:rFonts w:ascii="Times New Roman" w:cs="Times New Roman" w:eastAsia="Times New Roman" w:hAnsi="Times New Roman"/>
          <w:i/>
          <w:iCs/>
          <w:sz w:val="28"/>
          <w:szCs w:val="28"/>
        </w:rPr>
        <w:t xml:space="preserve">як</w:t>
      </w:r>
      <w:r>
        <w:rPr>
          <w:rFonts w:ascii="Times New Roman" w:cs="Times New Roman" w:eastAsia="Times New Roman" w:hAnsi="Times New Roman"/>
          <w:sz w:val="28"/>
          <w:szCs w:val="28"/>
        </w:rPr>
        <w:t xml:space="preserve"> і </w:t>
      </w:r>
      <w:r>
        <w:rPr>
          <w:rFonts w:ascii="Times New Roman" w:cs="Times New Roman" w:eastAsia="Times New Roman" w:hAnsi="Times New Roman"/>
          <w:i/>
          <w:iCs/>
          <w:sz w:val="28"/>
          <w:szCs w:val="28"/>
        </w:rPr>
        <w:t xml:space="preserve">чому</w:t>
      </w:r>
      <w:r>
        <w:rPr>
          <w:rFonts w:ascii="Times New Roman" w:cs="Times New Roman" w:eastAsia="Times New Roman" w:hAnsi="Times New Roman"/>
          <w:sz w:val="28"/>
          <w:szCs w:val="28"/>
        </w:rPr>
        <w:t xml:space="preserve"> ЄС ухвалює рішення, неможливо коректно інтерпретувати пріоритети його програм (Erasmus+, Horizon Europe, LIFE, Interreg, Digital Europe тощо), які розглядатимуться у змістовому модулі 2.</w:t>
      </w:r>
    </w:p>
    <w:p>
      <w:pPr>
        <w:pStyle w:val="Heading1"/>
        <w:keepNext/>
        <w:spacing w:after="160" w:before="300" w:line="300"/>
        <w:jc w:val="center"/>
      </w:pPr>
      <w:r>
        <w:rPr>
          <w:rFonts w:ascii="Times New Roman" w:cs="Times New Roman" w:eastAsia="Times New Roman" w:hAnsi="Times New Roman"/>
          <w:b/>
          <w:bCs/>
          <w:color w:val="1F3864"/>
          <w:sz w:val="30"/>
          <w:szCs w:val="30"/>
        </w:rPr>
        <w:t xml:space="preserve">1. Історичні передумови формування Європейського Союзу</w:t>
      </w:r>
    </w:p>
    <w:p>
      <w:pPr>
        <w:spacing w:after="0" w:line="360"/>
        <w:ind w:firstLine="709"/>
        <w:jc w:val="both"/>
      </w:pPr>
      <w:r>
        <w:rPr>
          <w:rFonts w:ascii="Times New Roman" w:cs="Times New Roman" w:eastAsia="Times New Roman" w:hAnsi="Times New Roman"/>
          <w:sz w:val="28"/>
          <w:szCs w:val="28"/>
        </w:rPr>
        <w:t xml:space="preserve">Ідея об’єднання Європи має глибоке інтелектуальне коріння, однак її практична реалізація стала можливою лише після Другої світової війни. До ключових передумов належать: (1) </w:t>
      </w:r>
      <w:r>
        <w:rPr>
          <w:rFonts w:ascii="Times New Roman" w:cs="Times New Roman" w:eastAsia="Times New Roman" w:hAnsi="Times New Roman"/>
          <w:i/>
          <w:iCs/>
          <w:sz w:val="28"/>
          <w:szCs w:val="28"/>
        </w:rPr>
        <w:t xml:space="preserve">безпекова</w:t>
      </w:r>
      <w:r>
        <w:rPr>
          <w:rFonts w:ascii="Times New Roman" w:cs="Times New Roman" w:eastAsia="Times New Roman" w:hAnsi="Times New Roman"/>
          <w:sz w:val="28"/>
          <w:szCs w:val="28"/>
        </w:rPr>
        <w:t xml:space="preserve"> — потреба унеможливити нову війну між Францією та Німеччиною шляхом взаємного переплетення стратегічних галузей; (2) </w:t>
      </w:r>
      <w:r>
        <w:rPr>
          <w:rFonts w:ascii="Times New Roman" w:cs="Times New Roman" w:eastAsia="Times New Roman" w:hAnsi="Times New Roman"/>
          <w:i/>
          <w:iCs/>
          <w:sz w:val="28"/>
          <w:szCs w:val="28"/>
        </w:rPr>
        <w:t xml:space="preserve">економічна</w:t>
      </w:r>
      <w:r>
        <w:rPr>
          <w:rFonts w:ascii="Times New Roman" w:cs="Times New Roman" w:eastAsia="Times New Roman" w:hAnsi="Times New Roman"/>
          <w:sz w:val="28"/>
          <w:szCs w:val="28"/>
        </w:rPr>
        <w:t xml:space="preserve"> — необхідність повоєнної відбудови та розширення ринків; (3) </w:t>
      </w:r>
      <w:r>
        <w:rPr>
          <w:rFonts w:ascii="Times New Roman" w:cs="Times New Roman" w:eastAsia="Times New Roman" w:hAnsi="Times New Roman"/>
          <w:i/>
          <w:iCs/>
          <w:sz w:val="28"/>
          <w:szCs w:val="28"/>
        </w:rPr>
        <w:t xml:space="preserve">геополітична</w:t>
      </w:r>
      <w:r>
        <w:rPr>
          <w:rFonts w:ascii="Times New Roman" w:cs="Times New Roman" w:eastAsia="Times New Roman" w:hAnsi="Times New Roman"/>
          <w:sz w:val="28"/>
          <w:szCs w:val="28"/>
        </w:rPr>
        <w:t xml:space="preserve"> — біполярне протистояння та прагнення Західної Європи зберегти суб’єктність між США і СРСР; (4) </w:t>
      </w:r>
      <w:r>
        <w:rPr>
          <w:rFonts w:ascii="Times New Roman" w:cs="Times New Roman" w:eastAsia="Times New Roman" w:hAnsi="Times New Roman"/>
          <w:i/>
          <w:iCs/>
          <w:sz w:val="28"/>
          <w:szCs w:val="28"/>
        </w:rPr>
        <w:t xml:space="preserve">ідейна</w:t>
      </w:r>
      <w:r>
        <w:rPr>
          <w:rFonts w:ascii="Times New Roman" w:cs="Times New Roman" w:eastAsia="Times New Roman" w:hAnsi="Times New Roman"/>
          <w:sz w:val="28"/>
          <w:szCs w:val="28"/>
        </w:rPr>
        <w:t xml:space="preserve"> — федералістські та функціоналістські концепції (Р. Куденгове-Калергі, А. Бріан, А. Спінеллі, Д. Мітрані, Ж. Монне).</w:t>
      </w:r>
    </w:p>
    <w:p>
      <w:pPr>
        <w:spacing w:after="0" w:line="360"/>
        <w:ind w:firstLine="709"/>
        <w:jc w:val="both"/>
      </w:pPr>
      <w:r>
        <w:rPr>
          <w:rFonts w:ascii="Times New Roman" w:cs="Times New Roman" w:eastAsia="Times New Roman" w:hAnsi="Times New Roman"/>
          <w:sz w:val="28"/>
          <w:szCs w:val="28"/>
        </w:rPr>
        <w:t xml:space="preserve">Політичний старт інтеграції пов’язують з </w:t>
      </w:r>
      <w:r>
        <w:rPr>
          <w:rFonts w:ascii="Times New Roman" w:cs="Times New Roman" w:eastAsia="Times New Roman" w:hAnsi="Times New Roman"/>
          <w:i/>
          <w:iCs/>
          <w:sz w:val="28"/>
          <w:szCs w:val="28"/>
        </w:rPr>
        <w:t xml:space="preserve">Декларацією Шумана</w:t>
      </w:r>
      <w:r>
        <w:rPr>
          <w:rFonts w:ascii="Times New Roman" w:cs="Times New Roman" w:eastAsia="Times New Roman" w:hAnsi="Times New Roman"/>
          <w:sz w:val="28"/>
          <w:szCs w:val="28"/>
        </w:rPr>
        <w:t xml:space="preserve"> від 9 травня 1950 р., яка запропонувала передати управління вугільною та сталеливарною промисловістю Франції та ФРН під спільний наднаціональний орган. На її основі 18 квітня 1951 р. шість держав (Бельгія, Нідерланди, Люксембург, Франція, ФРН, Італія) підписали Паризький договір про заснування Європейського об’єднання вугілля та сталі (ЄОВС). Уперше було створено наднаціональний орган — Верховний орган (перший голова — Ж. Монне), рішення якого були обов’язковими для держав-учасниць.</w:t>
      </w:r>
    </w:p>
    <w:p>
      <w:pPr>
        <w:spacing w:after="0" w:line="360"/>
        <w:ind w:firstLine="709"/>
        <w:jc w:val="both"/>
      </w:pPr>
      <w:r>
        <w:rPr>
          <w:rFonts w:ascii="Times New Roman" w:cs="Times New Roman" w:eastAsia="Times New Roman" w:hAnsi="Times New Roman"/>
          <w:sz w:val="28"/>
          <w:szCs w:val="28"/>
        </w:rPr>
        <w:t xml:space="preserve">Провал проєкту Європейського оборонного співтовариства (1954) засвідчив, що інтеграція в «чутливих» сферах суверенітету наштовхується на політичний спротив, тому подальший рух відбувався через економіку. Римські договори від 25 березня 1957 р. заснували Європейське економічне співтовариство (ЄЕС) та Європейське співтовариство з атомної енергії (Євратом). Надалі еволюція інтеграційного об’єднання відбувалася у двох вимірах — </w:t>
      </w:r>
      <w:r>
        <w:rPr>
          <w:rFonts w:ascii="Times New Roman" w:cs="Times New Roman" w:eastAsia="Times New Roman" w:hAnsi="Times New Roman"/>
          <w:i/>
          <w:iCs/>
          <w:sz w:val="28"/>
          <w:szCs w:val="28"/>
        </w:rPr>
        <w:t xml:space="preserve">поглиблення</w:t>
      </w:r>
      <w:r>
        <w:rPr>
          <w:rFonts w:ascii="Times New Roman" w:cs="Times New Roman" w:eastAsia="Times New Roman" w:hAnsi="Times New Roman"/>
          <w:sz w:val="28"/>
          <w:szCs w:val="28"/>
        </w:rPr>
        <w:t xml:space="preserve"> (передання нових повноважень на рівень Співтовариств/Союзу) та </w:t>
      </w:r>
      <w:r>
        <w:rPr>
          <w:rFonts w:ascii="Times New Roman" w:cs="Times New Roman" w:eastAsia="Times New Roman" w:hAnsi="Times New Roman"/>
          <w:i/>
          <w:iCs/>
          <w:sz w:val="28"/>
          <w:szCs w:val="28"/>
        </w:rPr>
        <w:t xml:space="preserve">розширення</w:t>
      </w:r>
      <w:r>
        <w:rPr>
          <w:rFonts w:ascii="Times New Roman" w:cs="Times New Roman" w:eastAsia="Times New Roman" w:hAnsi="Times New Roman"/>
          <w:sz w:val="28"/>
          <w:szCs w:val="28"/>
        </w:rPr>
        <w:t xml:space="preserve"> (збільшення кількості членів).</w:t>
      </w:r>
    </w:p>
    <w:p>
      <w:pPr>
        <w:keepNext/>
        <w:spacing w:after="40" w:before="120" w:line="276"/>
        <w:jc w:val="right"/>
      </w:pPr>
      <w:r>
        <w:rPr>
          <w:rFonts w:ascii="Times New Roman" w:cs="Times New Roman" w:eastAsia="Times New Roman" w:hAnsi="Times New Roman"/>
          <w:i/>
          <w:iCs/>
          <w:sz w:val="26"/>
          <w:szCs w:val="26"/>
        </w:rPr>
        <w:t xml:space="preserve">Таблиця 1.1</w:t>
      </w:r>
    </w:p>
    <w:p>
      <w:pPr>
        <w:keepNext/>
        <w:spacing w:after="80" w:before="0" w:line="276"/>
        <w:jc w:val="center"/>
      </w:pPr>
      <w:r>
        <w:rPr>
          <w:rFonts w:ascii="Times New Roman" w:cs="Times New Roman" w:eastAsia="Times New Roman" w:hAnsi="Times New Roman"/>
          <w:b/>
          <w:bCs/>
          <w:sz w:val="26"/>
          <w:szCs w:val="26"/>
        </w:rPr>
        <w:t xml:space="preserve">Етапи еволюції європейської інтеграції</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832"/>
        <w:gridCol w:w="1464"/>
        <w:gridCol w:w="3788"/>
        <w:gridCol w:w="2554"/>
      </w:tblGrid>
      <w:tr>
        <w:trPr>
          <w:tblHeader/>
        </w:trPr>
        <w:tc>
          <w:tcPr>
            <w:tcW w:type="dxa" w:w="1832"/>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Етап</w:t>
            </w:r>
          </w:p>
        </w:tc>
        <w:tc>
          <w:tcPr>
            <w:tcW w:type="dxa" w:w="1464"/>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Хронологія</w:t>
            </w:r>
          </w:p>
        </w:tc>
        <w:tc>
          <w:tcPr>
            <w:tcW w:type="dxa" w:w="3788"/>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Ключові події та договори</w:t>
            </w:r>
          </w:p>
        </w:tc>
        <w:tc>
          <w:tcPr>
            <w:tcW w:type="dxa" w:w="2554"/>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Значення для міжнародних економічних відносин</w:t>
            </w:r>
          </w:p>
        </w:tc>
      </w:tr>
      <w:tr>
        <w:trPr>
          <w:tblHeader w:val="false"/>
        </w:trPr>
        <w:tc>
          <w:tcPr>
            <w:tcW w:type="dxa" w:w="183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Заснування співтовариств</w:t>
            </w:r>
          </w:p>
        </w:tc>
        <w:tc>
          <w:tcPr>
            <w:tcW w:type="dxa" w:w="146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1950–1957</w:t>
            </w:r>
          </w:p>
        </w:tc>
        <w:tc>
          <w:tcPr>
            <w:tcW w:type="dxa" w:w="378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Декларація Шумана (1950); Паризький договір про ЄОВС (1951); Римські договори про ЄЕС і Євратом (1957)</w:t>
            </w:r>
          </w:p>
        </w:tc>
        <w:tc>
          <w:tcPr>
            <w:tcW w:type="dxa" w:w="255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Створення перших наднаціональних інституцій; курс на митний союз і спільний ринок</w:t>
            </w:r>
          </w:p>
        </w:tc>
      </w:tr>
      <w:tr>
        <w:trPr>
          <w:tblHeader w:val="false"/>
        </w:trPr>
        <w:tc>
          <w:tcPr>
            <w:tcW w:type="dxa" w:w="183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Становлення митного союзу</w:t>
            </w:r>
          </w:p>
        </w:tc>
        <w:tc>
          <w:tcPr>
            <w:tcW w:type="dxa" w:w="146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1958–1985</w:t>
            </w:r>
          </w:p>
        </w:tc>
        <w:tc>
          <w:tcPr>
            <w:tcW w:type="dxa" w:w="378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Договір про злиття виконавчих органів (1965); завершення митного союзу 1 липня 1968 р.; розширення 1973 р. (Данія, Ірландія, Велика Британія); перші прямі вибори до Європейського Парламенту (1979); Європейська валютна система (1979); вступ Греції (1981)</w:t>
            </w:r>
          </w:p>
        </w:tc>
        <w:tc>
          <w:tcPr>
            <w:tcW w:type="dxa" w:w="255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Спільний митний тариф і спільна торговельна політика; ЄЕС як єдиний учасник торговельних переговорів</w:t>
            </w:r>
          </w:p>
        </w:tc>
      </w:tr>
      <w:tr>
        <w:trPr>
          <w:tblHeader w:val="false"/>
        </w:trPr>
        <w:tc>
          <w:tcPr>
            <w:tcW w:type="dxa" w:w="183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Єдиний ринок</w:t>
            </w:r>
          </w:p>
        </w:tc>
        <w:tc>
          <w:tcPr>
            <w:tcW w:type="dxa" w:w="146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1985–1992</w:t>
            </w:r>
          </w:p>
        </w:tc>
        <w:tc>
          <w:tcPr>
            <w:tcW w:type="dxa" w:w="378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Біла книга про завершення внутрішнього ринку (1985); Шенгенська угода (1985); Єдиний європейський акт (1986, чинний з 1987); вступ Іспанії та Португалії (1986)</w:t>
            </w:r>
          </w:p>
        </w:tc>
        <w:tc>
          <w:tcPr>
            <w:tcW w:type="dxa" w:w="255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Програма усунення нетарифних бар’єрів; поширення голосування кваліфікованою більшістю</w:t>
            </w:r>
          </w:p>
        </w:tc>
      </w:tr>
      <w:tr>
        <w:trPr>
          <w:tblHeader w:val="false"/>
        </w:trPr>
        <w:tc>
          <w:tcPr>
            <w:tcW w:type="dxa" w:w="183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Європейський Союз та ЕВС</w:t>
            </w:r>
          </w:p>
        </w:tc>
        <w:tc>
          <w:tcPr>
            <w:tcW w:type="dxa" w:w="146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1992–2004</w:t>
            </w:r>
          </w:p>
        </w:tc>
        <w:tc>
          <w:tcPr>
            <w:tcW w:type="dxa" w:w="378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Маастрихтський договір (підп. 7.02.1992, чинний з 1.11.1993); копенгагенські критерії (1993); розширення 1995 р. (Австрія, Фінляндія, Швеція); Амстердамський договір (1997); запровадження євро (1999, готівка — 2002); Ніццький договір (2001)</w:t>
            </w:r>
          </w:p>
        </w:tc>
        <w:tc>
          <w:tcPr>
            <w:tcW w:type="dxa" w:w="255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Економічний і валютний союз; громадянство ЄС; формування умов членства</w:t>
            </w:r>
          </w:p>
        </w:tc>
      </w:tr>
      <w:tr>
        <w:trPr>
          <w:tblHeader w:val="false"/>
        </w:trPr>
        <w:tc>
          <w:tcPr>
            <w:tcW w:type="dxa" w:w="183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Велике розширення та Лісабонська реформа</w:t>
            </w:r>
          </w:p>
        </w:tc>
        <w:tc>
          <w:tcPr>
            <w:tcW w:type="dxa" w:w="146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2004–2009</w:t>
            </w:r>
          </w:p>
        </w:tc>
        <w:tc>
          <w:tcPr>
            <w:tcW w:type="dxa" w:w="378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Вступ 10 держав (2004), Болгарії та Румунії (2007); відхилення Конституційного договору (2005); Лісабонський договір (підп. 13.12.2007, чинний з 1.12.2009)</w:t>
            </w:r>
          </w:p>
        </w:tc>
        <w:tc>
          <w:tcPr>
            <w:tcW w:type="dxa" w:w="255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ЄС отримує правосуб’єктність; Хартія основоположних прав стає юридично обов’язковою</w:t>
            </w:r>
          </w:p>
        </w:tc>
      </w:tr>
      <w:tr>
        <w:trPr>
          <w:tblHeader w:val="false"/>
        </w:trPr>
        <w:tc>
          <w:tcPr>
            <w:tcW w:type="dxa" w:w="183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Кризи та трансформація</w:t>
            </w:r>
          </w:p>
        </w:tc>
        <w:tc>
          <w:tcPr>
            <w:tcW w:type="dxa" w:w="146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2008–2021</w:t>
            </w:r>
          </w:p>
        </w:tc>
        <w:tc>
          <w:tcPr>
            <w:tcW w:type="dxa" w:w="378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Боргова криза і створення ЄСМ та Банківського союзу; вступ Хорватії (2013); міграційна криза (2015); вихід Великої Британії (31.01.2020); пакет NextGenerationEU (2020)</w:t>
            </w:r>
          </w:p>
        </w:tc>
        <w:tc>
          <w:tcPr>
            <w:tcW w:type="dxa" w:w="255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Посилення фіскальної та фінансової координації; спільне запозичення ЄС для відновлення</w:t>
            </w:r>
          </w:p>
        </w:tc>
      </w:tr>
      <w:tr>
        <w:trPr>
          <w:tblHeader w:val="false"/>
        </w:trPr>
        <w:tc>
          <w:tcPr>
            <w:tcW w:type="dxa" w:w="183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Геополітичний ЄС</w:t>
            </w:r>
          </w:p>
        </w:tc>
        <w:tc>
          <w:tcPr>
            <w:tcW w:type="dxa" w:w="146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з 2022</w:t>
            </w:r>
          </w:p>
        </w:tc>
        <w:tc>
          <w:tcPr>
            <w:tcW w:type="dxa" w:w="378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Статус кандидата Україні та Молдові (2022); переговори про вступ (2024); Стратегічний порядок денний 2024–2029; перші переговорні кластери з Україною (2026)</w:t>
            </w:r>
          </w:p>
        </w:tc>
        <w:tc>
          <w:tcPr>
            <w:tcW w:type="dxa" w:w="255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Політика розширення як геополітична інвестиція; економічна безпека; фінансова підтримка України</w:t>
            </w:r>
          </w:p>
        </w:tc>
      </w:tr>
    </w:tbl>
    <w:p>
      <w:pPr>
        <w:spacing w:after="60" w:before="0" w:line="240"/>
      </w:pPr>
    </w:p>
    <w:p>
      <w:pPr>
        <w:spacing w:after="120" w:before="0" w:line="240"/>
        <w:jc w:val="left"/>
      </w:pPr>
      <w:r>
        <w:rPr>
          <w:rFonts w:ascii="Times New Roman" w:cs="Times New Roman" w:eastAsia="Times New Roman" w:hAnsi="Times New Roman"/>
          <w:i/>
          <w:iCs/>
          <w:sz w:val="22"/>
          <w:szCs w:val="22"/>
        </w:rPr>
        <w:t xml:space="preserve">Джерело: систематизовано автором на основі [1; 2; 13].</w:t>
      </w:r>
    </w:p>
    <w:p>
      <w:pPr>
        <w:spacing w:after="0" w:line="360"/>
        <w:ind w:firstLine="709"/>
        <w:jc w:val="both"/>
      </w:pPr>
      <w:r>
        <w:rPr>
          <w:rFonts w:ascii="Times New Roman" w:cs="Times New Roman" w:eastAsia="Times New Roman" w:hAnsi="Times New Roman"/>
          <w:sz w:val="28"/>
          <w:szCs w:val="28"/>
        </w:rPr>
        <w:t xml:space="preserve">Таким чином, історія ЄС демонструє закономірність, яку в теорії інтеграції описують як </w:t>
      </w:r>
      <w:r>
        <w:rPr>
          <w:rFonts w:ascii="Times New Roman" w:cs="Times New Roman" w:eastAsia="Times New Roman" w:hAnsi="Times New Roman"/>
          <w:i/>
          <w:iCs/>
          <w:sz w:val="28"/>
          <w:szCs w:val="28"/>
        </w:rPr>
        <w:t xml:space="preserve">«кризи як рушій інтеграції»</w:t>
      </w:r>
      <w:r>
        <w:rPr>
          <w:rFonts w:ascii="Times New Roman" w:cs="Times New Roman" w:eastAsia="Times New Roman" w:hAnsi="Times New Roman"/>
          <w:sz w:val="28"/>
          <w:szCs w:val="28"/>
        </w:rPr>
        <w:t xml:space="preserve">: кожна системна криза (провал ЄОС, «криза порожнього крісла» 1965–1966 рр., боргова криза, пандемія COVID-19, повномасштабна агресія РФ проти України) зрештою спричиняла інституційні інновації та перегляд меж спільних повноважень.</w:t>
      </w:r>
    </w:p>
    <w:p>
      <w:pPr>
        <w:pStyle w:val="Heading1"/>
        <w:keepNext/>
        <w:spacing w:after="160" w:before="300" w:line="300"/>
        <w:jc w:val="center"/>
      </w:pPr>
      <w:r>
        <w:rPr>
          <w:rFonts w:ascii="Times New Roman" w:cs="Times New Roman" w:eastAsia="Times New Roman" w:hAnsi="Times New Roman"/>
          <w:b/>
          <w:bCs/>
          <w:color w:val="1F3864"/>
          <w:sz w:val="30"/>
          <w:szCs w:val="30"/>
        </w:rPr>
        <w:t xml:space="preserve">2. Європейська інтеграція як процес поглиблення економічного, політичного та інституційного співробітництва</w:t>
      </w:r>
    </w:p>
    <w:p>
      <w:pPr>
        <w:pBdr>
          <w:left w:val="single" w:color="2E5597" w:sz="24" w:space="6"/>
        </w:pBdr>
        <w:shd w:fill="EEF3FA" w:color="auto" w:val="clear"/>
        <w:spacing w:after="80" w:before="80" w:line="300"/>
        <w:ind w:left="284" w:right="142"/>
        <w:jc w:val="both"/>
      </w:pPr>
      <w:r>
        <w:rPr>
          <w:rFonts w:ascii="Times New Roman" w:cs="Times New Roman" w:eastAsia="Times New Roman" w:hAnsi="Times New Roman"/>
          <w:b/>
          <w:bCs/>
          <w:sz w:val="26"/>
          <w:szCs w:val="26"/>
        </w:rPr>
        <w:t xml:space="preserve">Європейська інтеграція</w:t>
      </w:r>
      <w:r>
        <w:rPr>
          <w:rFonts w:ascii="Times New Roman" w:cs="Times New Roman" w:eastAsia="Times New Roman" w:hAnsi="Times New Roman"/>
          <w:sz w:val="26"/>
          <w:szCs w:val="26"/>
        </w:rPr>
        <w:t xml:space="preserve"> — це процес поступового передання державами частини суверенних повноважень на рівень спільних інституцій, що супроводжується формуванням єдиного правового простору, спільних політик і механізмів ухвалення рішень, обов’язкових для учасників.</w:t>
      </w:r>
    </w:p>
    <w:p>
      <w:pPr>
        <w:spacing w:after="0" w:line="360"/>
        <w:ind w:firstLine="709"/>
        <w:jc w:val="both"/>
      </w:pPr>
      <w:r>
        <w:rPr>
          <w:rFonts w:ascii="Times New Roman" w:cs="Times New Roman" w:eastAsia="Times New Roman" w:hAnsi="Times New Roman"/>
          <w:sz w:val="28"/>
          <w:szCs w:val="28"/>
        </w:rPr>
        <w:t xml:space="preserve">З економічного погляду інтеграційний процес найчастіше описують за класичною моделлю Б. Баласси [5], яка виокремлює послідовні форми інтеграції з наростаючим ступенем взаємозалежності (табл. 1.2). Я. Тінберген запропонував розрізняти </w:t>
      </w:r>
      <w:r>
        <w:rPr>
          <w:rFonts w:ascii="Times New Roman" w:cs="Times New Roman" w:eastAsia="Times New Roman" w:hAnsi="Times New Roman"/>
          <w:i/>
          <w:iCs/>
          <w:sz w:val="28"/>
          <w:szCs w:val="28"/>
        </w:rPr>
        <w:t xml:space="preserve">негативну інтеграцію</w:t>
      </w:r>
      <w:r>
        <w:rPr>
          <w:rFonts w:ascii="Times New Roman" w:cs="Times New Roman" w:eastAsia="Times New Roman" w:hAnsi="Times New Roman"/>
          <w:sz w:val="28"/>
          <w:szCs w:val="28"/>
        </w:rPr>
        <w:t xml:space="preserve"> (усунення бар’єрів і дискримінації) та </w:t>
      </w:r>
      <w:r>
        <w:rPr>
          <w:rFonts w:ascii="Times New Roman" w:cs="Times New Roman" w:eastAsia="Times New Roman" w:hAnsi="Times New Roman"/>
          <w:i/>
          <w:iCs/>
          <w:sz w:val="28"/>
          <w:szCs w:val="28"/>
        </w:rPr>
        <w:t xml:space="preserve">позитивну інтеграцію</w:t>
      </w:r>
      <w:r>
        <w:rPr>
          <w:rFonts w:ascii="Times New Roman" w:cs="Times New Roman" w:eastAsia="Times New Roman" w:hAnsi="Times New Roman"/>
          <w:sz w:val="28"/>
          <w:szCs w:val="28"/>
        </w:rPr>
        <w:t xml:space="preserve"> (створення спільних інституцій і політик) [21]. ЄС пройшов обидва шляхи: від скасування мит усередині співтовариства до спільної валюти, спільних регуляторних режимів і спільного бюджету.</w:t>
      </w:r>
    </w:p>
    <w:p>
      <w:pPr>
        <w:keepNext/>
        <w:spacing w:after="40" w:before="120" w:line="276"/>
        <w:jc w:val="right"/>
      </w:pPr>
      <w:r>
        <w:rPr>
          <w:rFonts w:ascii="Times New Roman" w:cs="Times New Roman" w:eastAsia="Times New Roman" w:hAnsi="Times New Roman"/>
          <w:i/>
          <w:iCs/>
          <w:sz w:val="26"/>
          <w:szCs w:val="26"/>
        </w:rPr>
        <w:t xml:space="preserve">Таблиця 1.2</w:t>
      </w:r>
    </w:p>
    <w:p>
      <w:pPr>
        <w:keepNext/>
        <w:spacing w:after="80" w:before="0" w:line="276"/>
        <w:jc w:val="center"/>
      </w:pPr>
      <w:r>
        <w:rPr>
          <w:rFonts w:ascii="Times New Roman" w:cs="Times New Roman" w:eastAsia="Times New Roman" w:hAnsi="Times New Roman"/>
          <w:b/>
          <w:bCs/>
          <w:sz w:val="26"/>
          <w:szCs w:val="26"/>
        </w:rPr>
        <w:t xml:space="preserve">Форми економічної інтеграції за Б. Баласою та їх реалізація в ЄС</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49"/>
        <w:gridCol w:w="3725"/>
        <w:gridCol w:w="3964"/>
      </w:tblGrid>
      <w:tr>
        <w:trPr>
          <w:tblHeader/>
        </w:trPr>
        <w:tc>
          <w:tcPr>
            <w:tcW w:type="dxa" w:w="1949"/>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Форма інтеграції</w:t>
            </w:r>
          </w:p>
        </w:tc>
        <w:tc>
          <w:tcPr>
            <w:tcW w:type="dxa" w:w="3725"/>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Зміст</w:t>
            </w:r>
          </w:p>
        </w:tc>
        <w:tc>
          <w:tcPr>
            <w:tcW w:type="dxa" w:w="3964"/>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Реалізація в ЄС</w:t>
            </w:r>
          </w:p>
        </w:tc>
      </w:tr>
      <w:tr>
        <w:trPr>
          <w:tblHeader w:val="false"/>
        </w:trPr>
        <w:tc>
          <w:tcPr>
            <w:tcW w:type="dxa" w:w="194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Зона вільної торгівлі</w:t>
            </w:r>
          </w:p>
        </w:tc>
        <w:tc>
          <w:tcPr>
            <w:tcW w:type="dxa" w:w="372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Скасування мит і кількісних обмежень у взаємній торгівлі</w:t>
            </w:r>
          </w:p>
        </w:tc>
        <w:tc>
          <w:tcPr>
            <w:tcW w:type="dxa" w:w="396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Досягнуто в межах ЄЕС у 1960-х рр.; модель ЗВТ ЄС застосовує у відносинах із третіми країнами (зокрема ПВЗВТ з Україною)</w:t>
            </w:r>
          </w:p>
        </w:tc>
      </w:tr>
      <w:tr>
        <w:trPr>
          <w:tblHeader w:val="false"/>
        </w:trPr>
        <w:tc>
          <w:tcPr>
            <w:tcW w:type="dxa" w:w="194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Митний союз</w:t>
            </w:r>
          </w:p>
        </w:tc>
        <w:tc>
          <w:tcPr>
            <w:tcW w:type="dxa" w:w="372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ЗВТ + єдиний зовнішній митний тариф і спільна торговельна політика</w:t>
            </w:r>
          </w:p>
        </w:tc>
        <w:tc>
          <w:tcPr>
            <w:tcW w:type="dxa" w:w="396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Завершено 1 липня 1968 р.; спільна торговельна політика — виключна компетенція ЄС (ст. 3, 207 ДФЄС)</w:t>
            </w:r>
          </w:p>
        </w:tc>
      </w:tr>
      <w:tr>
        <w:trPr>
          <w:tblHeader w:val="false"/>
        </w:trPr>
        <w:tc>
          <w:tcPr>
            <w:tcW w:type="dxa" w:w="194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Спільний (єдиний) ринок</w:t>
            </w:r>
          </w:p>
        </w:tc>
        <w:tc>
          <w:tcPr>
            <w:tcW w:type="dxa" w:w="372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Митний союз + вільний рух факторів виробництва</w:t>
            </w:r>
          </w:p>
        </w:tc>
        <w:tc>
          <w:tcPr>
            <w:tcW w:type="dxa" w:w="396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Програма 1985 р.; єдиний ринок запроваджено з 1 січня 1993 р.</w:t>
            </w:r>
          </w:p>
        </w:tc>
      </w:tr>
      <w:tr>
        <w:trPr>
          <w:tblHeader w:val="false"/>
        </w:trPr>
        <w:tc>
          <w:tcPr>
            <w:tcW w:type="dxa" w:w="194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Економічний (і валютний) союз</w:t>
            </w:r>
          </w:p>
        </w:tc>
        <w:tc>
          <w:tcPr>
            <w:tcW w:type="dxa" w:w="372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Спільний ринок + координація економічної політики, спільна валюта</w:t>
            </w:r>
          </w:p>
        </w:tc>
        <w:tc>
          <w:tcPr>
            <w:tcW w:type="dxa" w:w="396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ЕВС за Маастрихтським договором; євро з 1999 р.; з 1.01.2026 зону євро становить 21 держава (після приєднання Болгарії)</w:t>
            </w:r>
          </w:p>
        </w:tc>
      </w:tr>
      <w:tr>
        <w:trPr>
          <w:tblHeader w:val="false"/>
        </w:trPr>
        <w:tc>
          <w:tcPr>
            <w:tcW w:type="dxa" w:w="194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Повна економічна інтеграція</w:t>
            </w:r>
          </w:p>
        </w:tc>
        <w:tc>
          <w:tcPr>
            <w:tcW w:type="dxa" w:w="372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Уніфікація економічної, фіскальної та соціальної політики, наднаціональні органи з широкими повноваженнями</w:t>
            </w:r>
          </w:p>
        </w:tc>
        <w:tc>
          <w:tcPr>
            <w:tcW w:type="dxa" w:w="396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Не досягнуто: податкова та фіскальна політика переважно залишаються національними</w:t>
            </w:r>
          </w:p>
        </w:tc>
      </w:tr>
    </w:tbl>
    <w:p>
      <w:pPr>
        <w:spacing w:after="60" w:before="0" w:line="240"/>
      </w:pPr>
    </w:p>
    <w:p>
      <w:pPr>
        <w:spacing w:after="120" w:before="0" w:line="240"/>
        <w:jc w:val="left"/>
      </w:pPr>
      <w:r>
        <w:rPr>
          <w:rFonts w:ascii="Times New Roman" w:cs="Times New Roman" w:eastAsia="Times New Roman" w:hAnsi="Times New Roman"/>
          <w:i/>
          <w:iCs/>
          <w:sz w:val="22"/>
          <w:szCs w:val="22"/>
        </w:rPr>
        <w:t xml:space="preserve">Джерело: складено на основі [5; 16; 18].</w:t>
      </w:r>
    </w:p>
    <w:p>
      <w:pPr>
        <w:spacing w:after="0" w:line="360"/>
        <w:ind w:firstLine="709"/>
        <w:jc w:val="both"/>
      </w:pPr>
      <w:r>
        <w:rPr>
          <w:rFonts w:ascii="Times New Roman" w:cs="Times New Roman" w:eastAsia="Times New Roman" w:hAnsi="Times New Roman"/>
          <w:sz w:val="28"/>
          <w:szCs w:val="28"/>
        </w:rPr>
        <w:t xml:space="preserve">Політичний вимір інтеграції пояснюють кілька конкурентних теорій, знання яких дає змогу аналітично інтерпретувати рішення ЄС (табл. 1.3).</w:t>
      </w:r>
    </w:p>
    <w:p>
      <w:pPr>
        <w:keepNext/>
        <w:spacing w:after="40" w:before="120" w:line="276"/>
        <w:jc w:val="right"/>
      </w:pPr>
      <w:r>
        <w:rPr>
          <w:rFonts w:ascii="Times New Roman" w:cs="Times New Roman" w:eastAsia="Times New Roman" w:hAnsi="Times New Roman"/>
          <w:i/>
          <w:iCs/>
          <w:sz w:val="26"/>
          <w:szCs w:val="26"/>
        </w:rPr>
        <w:t xml:space="preserve">Таблиця 1.3</w:t>
      </w:r>
    </w:p>
    <w:p>
      <w:pPr>
        <w:keepNext/>
        <w:spacing w:after="80" w:before="0" w:line="276"/>
        <w:jc w:val="center"/>
      </w:pPr>
      <w:r>
        <w:rPr>
          <w:rFonts w:ascii="Times New Roman" w:cs="Times New Roman" w:eastAsia="Times New Roman" w:hAnsi="Times New Roman"/>
          <w:b/>
          <w:bCs/>
          <w:sz w:val="26"/>
          <w:szCs w:val="26"/>
        </w:rPr>
        <w:t xml:space="preserve">Основні теорії європейської інтеграції</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3"/>
        <w:gridCol w:w="1958"/>
        <w:gridCol w:w="3217"/>
        <w:gridCol w:w="2260"/>
      </w:tblGrid>
      <w:tr>
        <w:trPr>
          <w:tblHeader/>
        </w:trPr>
        <w:tc>
          <w:tcPr>
            <w:tcW w:type="dxa" w:w="2203"/>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Теорія</w:t>
            </w:r>
          </w:p>
        </w:tc>
        <w:tc>
          <w:tcPr>
            <w:tcW w:type="dxa" w:w="1958"/>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Представники</w:t>
            </w:r>
          </w:p>
        </w:tc>
        <w:tc>
          <w:tcPr>
            <w:tcW w:type="dxa" w:w="3217"/>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Ключова теза</w:t>
            </w:r>
          </w:p>
        </w:tc>
        <w:tc>
          <w:tcPr>
            <w:tcW w:type="dxa" w:w="2260"/>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Аналітична цінність</w:t>
            </w:r>
          </w:p>
        </w:tc>
      </w:tr>
      <w:tr>
        <w:trPr>
          <w:tblHeader w:val="false"/>
        </w:trPr>
        <w:tc>
          <w:tcPr>
            <w:tcW w:type="dxa" w:w="220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Федералізм</w:t>
            </w:r>
          </w:p>
        </w:tc>
        <w:tc>
          <w:tcPr>
            <w:tcW w:type="dxa" w:w="195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А. Спінеллі (Вентотенський маніфест, 1941)</w:t>
            </w:r>
          </w:p>
        </w:tc>
        <w:tc>
          <w:tcPr>
            <w:tcW w:type="dxa" w:w="321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Метою інтеграції є європейська федерація з конституційним розподілом влади</w:t>
            </w:r>
          </w:p>
        </w:tc>
        <w:tc>
          <w:tcPr>
            <w:tcW w:type="dxa" w:w="226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Пояснює нормативні орієнтири (роль Європейського Парламенту, громадянство ЄС)</w:t>
            </w:r>
          </w:p>
        </w:tc>
      </w:tr>
      <w:tr>
        <w:trPr>
          <w:tblHeader w:val="false"/>
        </w:trPr>
        <w:tc>
          <w:tcPr>
            <w:tcW w:type="dxa" w:w="220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Неофункціоналізм</w:t>
            </w:r>
          </w:p>
        </w:tc>
        <w:tc>
          <w:tcPr>
            <w:tcW w:type="dxa" w:w="195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Е. Хаас [6]</w:t>
            </w:r>
          </w:p>
        </w:tc>
        <w:tc>
          <w:tcPr>
            <w:tcW w:type="dxa" w:w="321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Інтеграція в одній галузі спричиняє «ефект переливу» (spillover) в суміжні сфери; зростає роль наднаціональних інституцій і транснаціональних груп інтересів</w:t>
            </w:r>
          </w:p>
        </w:tc>
        <w:tc>
          <w:tcPr>
            <w:tcW w:type="dxa" w:w="226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Пояснює перехід від митного союзу до єдиного ринку та ЕВС</w:t>
            </w:r>
          </w:p>
        </w:tc>
      </w:tr>
      <w:tr>
        <w:trPr>
          <w:tblHeader w:val="false"/>
        </w:trPr>
        <w:tc>
          <w:tcPr>
            <w:tcW w:type="dxa" w:w="220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Міжурядовий підхід (інтерговерменталізм)</w:t>
            </w:r>
          </w:p>
        </w:tc>
        <w:tc>
          <w:tcPr>
            <w:tcW w:type="dxa" w:w="195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 Гоффманн [7]</w:t>
            </w:r>
          </w:p>
        </w:tc>
        <w:tc>
          <w:tcPr>
            <w:tcW w:type="dxa" w:w="321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Держави зберігають контроль над ключовими питаннями «високої політики»; інтеграція обмежена національними інтересами</w:t>
            </w:r>
          </w:p>
        </w:tc>
        <w:tc>
          <w:tcPr>
            <w:tcW w:type="dxa" w:w="226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Пояснює опір інтеграції у сферах оборони, оподаткування, зовнішньої політики</w:t>
            </w:r>
          </w:p>
        </w:tc>
      </w:tr>
      <w:tr>
        <w:trPr>
          <w:tblHeader w:val="false"/>
        </w:trPr>
        <w:tc>
          <w:tcPr>
            <w:tcW w:type="dxa" w:w="220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Ліберальний інтерговерменталізм</w:t>
            </w:r>
          </w:p>
        </w:tc>
        <w:tc>
          <w:tcPr>
            <w:tcW w:type="dxa" w:w="195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Е. Моравчик [8]</w:t>
            </w:r>
          </w:p>
        </w:tc>
        <w:tc>
          <w:tcPr>
            <w:tcW w:type="dxa" w:w="321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Рішення ЄС — результат міждержавного торгу між великими державами на основі національних економічних преференцій</w:t>
            </w:r>
          </w:p>
        </w:tc>
        <w:tc>
          <w:tcPr>
            <w:tcW w:type="dxa" w:w="226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Пояснює логіку великих договірних угод і бюджетних компромісів</w:t>
            </w:r>
          </w:p>
        </w:tc>
      </w:tr>
      <w:tr>
        <w:trPr>
          <w:tblHeader w:val="false"/>
        </w:trPr>
        <w:tc>
          <w:tcPr>
            <w:tcW w:type="dxa" w:w="220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Багаторівневе врядування</w:t>
            </w:r>
          </w:p>
        </w:tc>
        <w:tc>
          <w:tcPr>
            <w:tcW w:type="dxa" w:w="195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Л. Гуг, Г. Маркс [10]</w:t>
            </w:r>
          </w:p>
        </w:tc>
        <w:tc>
          <w:tcPr>
            <w:tcW w:type="dxa" w:w="321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Влада розподілена між наднаціональним, національним і субнаціональним рівнями; зростає роль регіонів</w:t>
            </w:r>
          </w:p>
        </w:tc>
        <w:tc>
          <w:tcPr>
            <w:tcW w:type="dxa" w:w="226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Пояснює політику згуртованості, роль Комітету регіонів, Interreg</w:t>
            </w:r>
          </w:p>
        </w:tc>
      </w:tr>
      <w:tr>
        <w:trPr>
          <w:tblHeader w:val="false"/>
        </w:trPr>
        <w:tc>
          <w:tcPr>
            <w:tcW w:type="dxa" w:w="220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Постфункціоналізм</w:t>
            </w:r>
          </w:p>
        </w:tc>
        <w:tc>
          <w:tcPr>
            <w:tcW w:type="dxa" w:w="195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Л. Гуг, Г. Маркс [11]</w:t>
            </w:r>
          </w:p>
        </w:tc>
        <w:tc>
          <w:tcPr>
            <w:tcW w:type="dxa" w:w="321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Політизація європейських питань і ідентичнісні конфлікти («обмежувальний дисенсус») стримують інтеграцію</w:t>
            </w:r>
          </w:p>
        </w:tc>
        <w:tc>
          <w:tcPr>
            <w:tcW w:type="dxa" w:w="226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Пояснює євроскептицизм, Brexit, складність реформ</w:t>
            </w:r>
          </w:p>
        </w:tc>
      </w:tr>
      <w:tr>
        <w:trPr>
          <w:tblHeader w:val="false"/>
        </w:trPr>
        <w:tc>
          <w:tcPr>
            <w:tcW w:type="dxa" w:w="220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Новий інтерговерменталізм</w:t>
            </w:r>
          </w:p>
        </w:tc>
        <w:tc>
          <w:tcPr>
            <w:tcW w:type="dxa" w:w="195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К. Бікертон, Д. Годсон, У. Пуеттер [15]</w:t>
            </w:r>
          </w:p>
        </w:tc>
        <w:tc>
          <w:tcPr>
            <w:tcW w:type="dxa" w:w="321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Після Маастрихту поглиблення відбувається через посилення міжурядових форматів і нових органів, а не через класичний «метод Співтовариства»</w:t>
            </w:r>
          </w:p>
        </w:tc>
        <w:tc>
          <w:tcPr>
            <w:tcW w:type="dxa" w:w="226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Пояснює домінування Європейської Ради в кризовому управлінні</w:t>
            </w:r>
          </w:p>
        </w:tc>
      </w:tr>
    </w:tbl>
    <w:p>
      <w:pPr>
        <w:spacing w:after="60" w:before="0" w:line="240"/>
      </w:pPr>
    </w:p>
    <w:p>
      <w:pPr>
        <w:spacing w:after="120" w:before="0" w:line="240"/>
        <w:jc w:val="left"/>
      </w:pPr>
      <w:r>
        <w:rPr>
          <w:rFonts w:ascii="Times New Roman" w:cs="Times New Roman" w:eastAsia="Times New Roman" w:hAnsi="Times New Roman"/>
          <w:i/>
          <w:iCs/>
          <w:sz w:val="22"/>
          <w:szCs w:val="22"/>
        </w:rPr>
        <w:t xml:space="preserve">Джерело: систематизовано автором на основі [6–8; 10; 11; 14; 15].</w:t>
      </w:r>
    </w:p>
    <w:p>
      <w:pPr>
        <w:spacing w:after="0" w:line="360"/>
        <w:ind w:firstLine="709"/>
        <w:jc w:val="both"/>
      </w:pPr>
      <w:r>
        <w:rPr>
          <w:rFonts w:ascii="Times New Roman" w:cs="Times New Roman" w:eastAsia="Times New Roman" w:hAnsi="Times New Roman"/>
          <w:sz w:val="28"/>
          <w:szCs w:val="28"/>
        </w:rPr>
        <w:t xml:space="preserve">Сучасна інтеграція має виразно </w:t>
      </w:r>
      <w:r>
        <w:rPr>
          <w:rFonts w:ascii="Times New Roman" w:cs="Times New Roman" w:eastAsia="Times New Roman" w:hAnsi="Times New Roman"/>
          <w:b/>
          <w:bCs/>
          <w:sz w:val="28"/>
          <w:szCs w:val="28"/>
        </w:rPr>
        <w:t xml:space="preserve">диференційований характер</w:t>
      </w:r>
      <w:r>
        <w:rPr>
          <w:rFonts w:ascii="Times New Roman" w:cs="Times New Roman" w:eastAsia="Times New Roman" w:hAnsi="Times New Roman"/>
          <w:sz w:val="28"/>
          <w:szCs w:val="28"/>
        </w:rPr>
        <w:t xml:space="preserve">: не всі держави-члени беруть участь в усіх спільних проєктах. Приклади — зона євро (21 держава), Шенгенський простір (29 країн, з них 25 держав — членів ЄС і чотири асоційовані країни), Європейська прокуратура, механізм посиленої співпраці (ст. 20 ДЄС, щонайменше 9 держав-членів), винятки (opt-outs) для Данії та Ірландії. Диференціація є інструментом збереження динаміки інтеграції за умов неоднорідності інтересів, а для держав-кандидатів вона створює можливість </w:t>
      </w:r>
      <w:r>
        <w:rPr>
          <w:rFonts w:ascii="Times New Roman" w:cs="Times New Roman" w:eastAsia="Times New Roman" w:hAnsi="Times New Roman"/>
          <w:i/>
          <w:iCs/>
          <w:sz w:val="28"/>
          <w:szCs w:val="28"/>
        </w:rPr>
        <w:t xml:space="preserve">поетапної</w:t>
      </w:r>
      <w:r>
        <w:rPr>
          <w:rFonts w:ascii="Times New Roman" w:cs="Times New Roman" w:eastAsia="Times New Roman" w:hAnsi="Times New Roman"/>
          <w:sz w:val="28"/>
          <w:szCs w:val="28"/>
        </w:rPr>
        <w:t xml:space="preserve"> інтеграції до окремих політик і програм ще до набуття членства.</w:t>
      </w:r>
    </w:p>
    <w:p>
      <w:pPr>
        <w:spacing w:after="0" w:line="360"/>
        <w:ind w:firstLine="709"/>
        <w:jc w:val="both"/>
      </w:pPr>
      <w:r>
        <w:rPr>
          <w:rFonts w:ascii="Times New Roman" w:cs="Times New Roman" w:eastAsia="Times New Roman" w:hAnsi="Times New Roman"/>
          <w:sz w:val="28"/>
          <w:szCs w:val="28"/>
        </w:rPr>
        <w:t xml:space="preserve">Отже, європейська інтеграція — багатовимірний процес, що поєднує: </w:t>
      </w:r>
      <w:r>
        <w:rPr>
          <w:rFonts w:ascii="Times New Roman" w:cs="Times New Roman" w:eastAsia="Times New Roman" w:hAnsi="Times New Roman"/>
          <w:i/>
          <w:iCs/>
          <w:sz w:val="28"/>
          <w:szCs w:val="28"/>
        </w:rPr>
        <w:t xml:space="preserve">економічний вимір</w:t>
      </w:r>
      <w:r>
        <w:rPr>
          <w:rFonts w:ascii="Times New Roman" w:cs="Times New Roman" w:eastAsia="Times New Roman" w:hAnsi="Times New Roman"/>
          <w:sz w:val="28"/>
          <w:szCs w:val="28"/>
        </w:rPr>
        <w:t xml:space="preserve"> (ринок, валюта, торгівля), </w:t>
      </w:r>
      <w:r>
        <w:rPr>
          <w:rFonts w:ascii="Times New Roman" w:cs="Times New Roman" w:eastAsia="Times New Roman" w:hAnsi="Times New Roman"/>
          <w:i/>
          <w:iCs/>
          <w:sz w:val="28"/>
          <w:szCs w:val="28"/>
        </w:rPr>
        <w:t xml:space="preserve">політико-інституційний вимір</w:t>
      </w:r>
      <w:r>
        <w:rPr>
          <w:rFonts w:ascii="Times New Roman" w:cs="Times New Roman" w:eastAsia="Times New Roman" w:hAnsi="Times New Roman"/>
          <w:sz w:val="28"/>
          <w:szCs w:val="28"/>
        </w:rPr>
        <w:t xml:space="preserve"> (передання повноважень, формування спільних інституцій), </w:t>
      </w:r>
      <w:r>
        <w:rPr>
          <w:rFonts w:ascii="Times New Roman" w:cs="Times New Roman" w:eastAsia="Times New Roman" w:hAnsi="Times New Roman"/>
          <w:i/>
          <w:iCs/>
          <w:sz w:val="28"/>
          <w:szCs w:val="28"/>
        </w:rPr>
        <w:t xml:space="preserve">правовий вимір</w:t>
      </w:r>
      <w:r>
        <w:rPr>
          <w:rFonts w:ascii="Times New Roman" w:cs="Times New Roman" w:eastAsia="Times New Roman" w:hAnsi="Times New Roman"/>
          <w:sz w:val="28"/>
          <w:szCs w:val="28"/>
        </w:rPr>
        <w:t xml:space="preserve"> (acquis ЄС) та </w:t>
      </w:r>
      <w:r>
        <w:rPr>
          <w:rFonts w:ascii="Times New Roman" w:cs="Times New Roman" w:eastAsia="Times New Roman" w:hAnsi="Times New Roman"/>
          <w:i/>
          <w:iCs/>
          <w:sz w:val="28"/>
          <w:szCs w:val="28"/>
        </w:rPr>
        <w:t xml:space="preserve">ціннісний вимір</w:t>
      </w:r>
      <w:r>
        <w:rPr>
          <w:rFonts w:ascii="Times New Roman" w:cs="Times New Roman" w:eastAsia="Times New Roman" w:hAnsi="Times New Roman"/>
          <w:sz w:val="28"/>
          <w:szCs w:val="28"/>
        </w:rPr>
        <w:t xml:space="preserve"> (демократія, верховенство права, права людини).</w:t>
      </w:r>
    </w:p>
    <w:p>
      <w:pPr>
        <w:pStyle w:val="Heading1"/>
        <w:keepNext/>
        <w:spacing w:after="160" w:before="300" w:line="300"/>
        <w:jc w:val="center"/>
      </w:pPr>
      <w:r>
        <w:rPr>
          <w:rFonts w:ascii="Times New Roman" w:cs="Times New Roman" w:eastAsia="Times New Roman" w:hAnsi="Times New Roman"/>
          <w:b/>
          <w:bCs/>
          <w:color w:val="1F3864"/>
          <w:sz w:val="30"/>
          <w:szCs w:val="30"/>
        </w:rPr>
        <w:t xml:space="preserve">3. Цінності, принципи та правові засади функціонування Європейського Союзу</w:t>
      </w:r>
    </w:p>
    <w:p>
      <w:pPr>
        <w:spacing w:after="0" w:line="360"/>
        <w:ind w:firstLine="709"/>
        <w:jc w:val="both"/>
      </w:pPr>
      <w:r>
        <w:rPr>
          <w:rFonts w:ascii="Times New Roman" w:cs="Times New Roman" w:eastAsia="Times New Roman" w:hAnsi="Times New Roman"/>
          <w:b/>
          <w:bCs/>
          <w:sz w:val="28"/>
          <w:szCs w:val="28"/>
        </w:rPr>
        <w:t xml:space="preserve">Цінності.</w:t>
      </w:r>
      <w:r>
        <w:rPr>
          <w:rFonts w:ascii="Times New Roman" w:cs="Times New Roman" w:eastAsia="Times New Roman" w:hAnsi="Times New Roman"/>
          <w:sz w:val="28"/>
          <w:szCs w:val="28"/>
        </w:rPr>
        <w:t xml:space="preserve"> Відповідно до ст. 2 ДЄС, Союз засновано на цінностях поваги до людської гідності, свободи, демократії, рівності, верховенства права й поваги до прав людини, зокрема прав осіб, які належать до меншин. Ці цінності є спільними для держав-членів у суспільстві, якому притаманні плюралізм, недискримінація, толерантність, справедливість, солідарність і рівність жінок і чоловіків. Цінності мають не декларативне, а </w:t>
      </w:r>
      <w:r>
        <w:rPr>
          <w:rFonts w:ascii="Times New Roman" w:cs="Times New Roman" w:eastAsia="Times New Roman" w:hAnsi="Times New Roman"/>
          <w:i/>
          <w:iCs/>
          <w:sz w:val="28"/>
          <w:szCs w:val="28"/>
        </w:rPr>
        <w:t xml:space="preserve">операційне</w:t>
      </w:r>
      <w:r>
        <w:rPr>
          <w:rFonts w:ascii="Times New Roman" w:cs="Times New Roman" w:eastAsia="Times New Roman" w:hAnsi="Times New Roman"/>
          <w:sz w:val="28"/>
          <w:szCs w:val="28"/>
        </w:rPr>
        <w:t xml:space="preserve"> значення: згідно зі ст. 49 ДЄС, подати заявку на членство може європейська держава, яка поважає цінності ст. 2 і зобов’язується їх утверджувати.</w:t>
      </w:r>
    </w:p>
    <w:p>
      <w:pPr>
        <w:spacing w:after="0" w:line="360"/>
        <w:ind w:firstLine="709"/>
        <w:jc w:val="both"/>
      </w:pPr>
      <w:r>
        <w:rPr>
          <w:rFonts w:ascii="Times New Roman" w:cs="Times New Roman" w:eastAsia="Times New Roman" w:hAnsi="Times New Roman"/>
          <w:b/>
          <w:bCs/>
          <w:sz w:val="28"/>
          <w:szCs w:val="28"/>
        </w:rPr>
        <w:t xml:space="preserve">Цілі.</w:t>
      </w:r>
      <w:r>
        <w:rPr>
          <w:rFonts w:ascii="Times New Roman" w:cs="Times New Roman" w:eastAsia="Times New Roman" w:hAnsi="Times New Roman"/>
          <w:sz w:val="28"/>
          <w:szCs w:val="28"/>
        </w:rPr>
        <w:t xml:space="preserve"> Стаття 3 ДЄС визначає цілі Союзу: сприяння миру, його цінностям і добробуту народів; простір свободи, безпеки та юстиції; внутрішній ринок; сталий розвиток на основі збалансованого економічного зростання й цінової стабільності, високо конкурентоспроможна соціальна ринкова економіка; науково-технічний прогрес; економічна, соціальна та територіальна згуртованість; економічний і валютний союз; утвердження цінностей та інтересів у відносинах з іншими країнами світу. Для грантово-проєктної політики важливо, що саме ці цілі стають «вершиною» логіки втручання будь-якої програми ЄС.</w:t>
      </w:r>
    </w:p>
    <w:p>
      <w:pPr>
        <w:spacing w:after="0" w:line="360"/>
        <w:ind w:firstLine="709"/>
        <w:jc w:val="both"/>
      </w:pPr>
      <w:r>
        <w:rPr>
          <w:rFonts w:ascii="Times New Roman" w:cs="Times New Roman" w:eastAsia="Times New Roman" w:hAnsi="Times New Roman"/>
          <w:b/>
          <w:bCs/>
          <w:sz w:val="28"/>
          <w:szCs w:val="28"/>
        </w:rPr>
        <w:t xml:space="preserve">Принципи.</w:t>
      </w:r>
      <w:r>
        <w:rPr>
          <w:rFonts w:ascii="Times New Roman" w:cs="Times New Roman" w:eastAsia="Times New Roman" w:hAnsi="Times New Roman"/>
          <w:sz w:val="28"/>
          <w:szCs w:val="28"/>
        </w:rPr>
        <w:t xml:space="preserve"> До базових принципів функціонування ЄС належать:</w:t>
      </w:r>
    </w:p>
    <w:p>
      <w:pPr>
        <w:pStyle w:val="ListParagraph"/>
        <w:numPr>
          <w:ilvl w:val="0"/>
          <w:numId w:val="2"/>
        </w:numPr>
        <w:spacing w:after="0" w:line="360"/>
        <w:jc w:val="both"/>
      </w:pPr>
      <w:r>
        <w:rPr>
          <w:rFonts w:ascii="Times New Roman" w:cs="Times New Roman" w:eastAsia="Times New Roman" w:hAnsi="Times New Roman"/>
          <w:i/>
          <w:iCs/>
          <w:sz w:val="28"/>
          <w:szCs w:val="28"/>
        </w:rPr>
        <w:t xml:space="preserve">принцип наділення компетенцією</w:t>
      </w:r>
      <w:r>
        <w:rPr>
          <w:rFonts w:ascii="Times New Roman" w:cs="Times New Roman" w:eastAsia="Times New Roman" w:hAnsi="Times New Roman"/>
          <w:sz w:val="28"/>
          <w:szCs w:val="28"/>
        </w:rPr>
        <w:t xml:space="preserve"> (ст. 5(1)–(2) ДЄС): Союз діє лише в межах компетенцій, наданих йому державами-членами в Договорах; компетенції, не надані Союзу, залишаються за державами-членами;</w:t>
      </w:r>
    </w:p>
    <w:p>
      <w:pPr>
        <w:pStyle w:val="ListParagraph"/>
        <w:numPr>
          <w:ilvl w:val="0"/>
          <w:numId w:val="2"/>
        </w:numPr>
        <w:spacing w:after="0" w:line="360"/>
        <w:jc w:val="both"/>
      </w:pPr>
      <w:r>
        <w:rPr>
          <w:rFonts w:ascii="Times New Roman" w:cs="Times New Roman" w:eastAsia="Times New Roman" w:hAnsi="Times New Roman"/>
          <w:i/>
          <w:iCs/>
          <w:sz w:val="28"/>
          <w:szCs w:val="28"/>
        </w:rPr>
        <w:t xml:space="preserve">принципи субсидіарності та пропорційності</w:t>
      </w:r>
      <w:r>
        <w:rPr>
          <w:rFonts w:ascii="Times New Roman" w:cs="Times New Roman" w:eastAsia="Times New Roman" w:hAnsi="Times New Roman"/>
          <w:sz w:val="28"/>
          <w:szCs w:val="28"/>
        </w:rPr>
        <w:t xml:space="preserve"> (ст. 5(3)–(4) ДЄС): у сферах, що не належать до виключної компетенції, ЄС діє лише тоді й настільки, наскільки цілі не можуть бути досягнуті державами-членами; зміст і форма дій не можуть виходити за межі необхідного;</w:t>
      </w:r>
    </w:p>
    <w:p>
      <w:pPr>
        <w:pStyle w:val="ListParagraph"/>
        <w:numPr>
          <w:ilvl w:val="0"/>
          <w:numId w:val="2"/>
        </w:numPr>
        <w:spacing w:after="0" w:line="360"/>
        <w:jc w:val="both"/>
      </w:pPr>
      <w:r>
        <w:rPr>
          <w:rFonts w:ascii="Times New Roman" w:cs="Times New Roman" w:eastAsia="Times New Roman" w:hAnsi="Times New Roman"/>
          <w:i/>
          <w:iCs/>
          <w:sz w:val="28"/>
          <w:szCs w:val="28"/>
        </w:rPr>
        <w:t xml:space="preserve">принцип щирої (лояльної) співпраці</w:t>
      </w:r>
      <w:r>
        <w:rPr>
          <w:rFonts w:ascii="Times New Roman" w:cs="Times New Roman" w:eastAsia="Times New Roman" w:hAnsi="Times New Roman"/>
          <w:sz w:val="28"/>
          <w:szCs w:val="28"/>
        </w:rPr>
        <w:t xml:space="preserve"> (ст. 4(3) ДЄС): взаємна підтримка Союзу та держав-членів у виконанні договірних завдань;</w:t>
      </w:r>
    </w:p>
    <w:p>
      <w:pPr>
        <w:pStyle w:val="ListParagraph"/>
        <w:numPr>
          <w:ilvl w:val="0"/>
          <w:numId w:val="2"/>
        </w:numPr>
        <w:spacing w:after="0" w:line="360"/>
        <w:jc w:val="both"/>
      </w:pPr>
      <w:r>
        <w:rPr>
          <w:rFonts w:ascii="Times New Roman" w:cs="Times New Roman" w:eastAsia="Times New Roman" w:hAnsi="Times New Roman"/>
          <w:i/>
          <w:iCs/>
          <w:sz w:val="28"/>
          <w:szCs w:val="28"/>
        </w:rPr>
        <w:t xml:space="preserve">принцип рівності держав-членів і поваги до їхньої національної ідентичності</w:t>
      </w:r>
      <w:r>
        <w:rPr>
          <w:rFonts w:ascii="Times New Roman" w:cs="Times New Roman" w:eastAsia="Times New Roman" w:hAnsi="Times New Roman"/>
          <w:sz w:val="28"/>
          <w:szCs w:val="28"/>
        </w:rPr>
        <w:t xml:space="preserve"> (ст. 4(2) ДЄС);</w:t>
      </w:r>
    </w:p>
    <w:p>
      <w:pPr>
        <w:pStyle w:val="ListParagraph"/>
        <w:numPr>
          <w:ilvl w:val="0"/>
          <w:numId w:val="2"/>
        </w:numPr>
        <w:spacing w:after="0" w:line="360"/>
        <w:jc w:val="both"/>
      </w:pPr>
      <w:r>
        <w:rPr>
          <w:rFonts w:ascii="Times New Roman" w:cs="Times New Roman" w:eastAsia="Times New Roman" w:hAnsi="Times New Roman"/>
          <w:i/>
          <w:iCs/>
          <w:sz w:val="28"/>
          <w:szCs w:val="28"/>
        </w:rPr>
        <w:t xml:space="preserve">принцип інституційної рівноваги</w:t>
      </w:r>
      <w:r>
        <w:rPr>
          <w:rFonts w:ascii="Times New Roman" w:cs="Times New Roman" w:eastAsia="Times New Roman" w:hAnsi="Times New Roman"/>
          <w:sz w:val="28"/>
          <w:szCs w:val="28"/>
        </w:rPr>
        <w:t xml:space="preserve"> (ст. 13(2) ДЄС): кожна інституція діє в межах наданих їй повноважень;</w:t>
      </w:r>
    </w:p>
    <w:p>
      <w:pPr>
        <w:pStyle w:val="ListParagraph"/>
        <w:numPr>
          <w:ilvl w:val="0"/>
          <w:numId w:val="2"/>
        </w:numPr>
        <w:spacing w:after="0" w:line="360"/>
        <w:jc w:val="both"/>
      </w:pPr>
      <w:r>
        <w:rPr>
          <w:rFonts w:ascii="Times New Roman" w:cs="Times New Roman" w:eastAsia="Times New Roman" w:hAnsi="Times New Roman"/>
          <w:i/>
          <w:iCs/>
          <w:sz w:val="28"/>
          <w:szCs w:val="28"/>
        </w:rPr>
        <w:t xml:space="preserve">демократичні принципи</w:t>
      </w:r>
      <w:r>
        <w:rPr>
          <w:rFonts w:ascii="Times New Roman" w:cs="Times New Roman" w:eastAsia="Times New Roman" w:hAnsi="Times New Roman"/>
          <w:sz w:val="28"/>
          <w:szCs w:val="28"/>
        </w:rPr>
        <w:t xml:space="preserve"> (ст. 9–12 ДЄС): рівність громадян, представницька та партиципативна демократія, роль національних парламентів.</w:t>
      </w:r>
    </w:p>
    <w:p>
      <w:pPr>
        <w:spacing w:after="0" w:line="360"/>
        <w:ind w:firstLine="709"/>
        <w:jc w:val="both"/>
      </w:pPr>
      <w:r>
        <w:rPr>
          <w:rFonts w:ascii="Times New Roman" w:cs="Times New Roman" w:eastAsia="Times New Roman" w:hAnsi="Times New Roman"/>
          <w:b/>
          <w:bCs/>
          <w:sz w:val="28"/>
          <w:szCs w:val="28"/>
        </w:rPr>
        <w:t xml:space="preserve">Правові засади.</w:t>
      </w:r>
      <w:r>
        <w:rPr>
          <w:rFonts w:ascii="Times New Roman" w:cs="Times New Roman" w:eastAsia="Times New Roman" w:hAnsi="Times New Roman"/>
          <w:sz w:val="28"/>
          <w:szCs w:val="28"/>
        </w:rPr>
        <w:t xml:space="preserve"> Правова система ЄС має ієрархічну структуру (табл. 1.4). Її сукупність разом із судовою практикою та політичними зобов’язаннями позначають терміном </w:t>
      </w:r>
      <w:r>
        <w:rPr>
          <w:rFonts w:ascii="Times New Roman" w:cs="Times New Roman" w:eastAsia="Times New Roman" w:hAnsi="Times New Roman"/>
          <w:i/>
          <w:iCs/>
          <w:sz w:val="28"/>
          <w:szCs w:val="28"/>
        </w:rPr>
        <w:t xml:space="preserve">acquis</w:t>
      </w:r>
      <w:r>
        <w:rPr>
          <w:rFonts w:ascii="Times New Roman" w:cs="Times New Roman" w:eastAsia="Times New Roman" w:hAnsi="Times New Roman"/>
          <w:sz w:val="28"/>
          <w:szCs w:val="28"/>
        </w:rPr>
        <w:t xml:space="preserve"> ЄС (acquis communautaire) — це той масив норм, який держава-кандидат зобов’язана імплементувати до вступу.</w:t>
      </w:r>
    </w:p>
    <w:p>
      <w:pPr>
        <w:keepNext/>
        <w:spacing w:after="40" w:before="120" w:line="276"/>
        <w:jc w:val="right"/>
      </w:pPr>
      <w:r>
        <w:rPr>
          <w:rFonts w:ascii="Times New Roman" w:cs="Times New Roman" w:eastAsia="Times New Roman" w:hAnsi="Times New Roman"/>
          <w:i/>
          <w:iCs/>
          <w:sz w:val="26"/>
          <w:szCs w:val="26"/>
        </w:rPr>
        <w:t xml:space="preserve">Таблиця 1.4</w:t>
      </w:r>
    </w:p>
    <w:p>
      <w:pPr>
        <w:keepNext/>
        <w:spacing w:after="80" w:before="0" w:line="276"/>
        <w:jc w:val="center"/>
      </w:pPr>
      <w:r>
        <w:rPr>
          <w:rFonts w:ascii="Times New Roman" w:cs="Times New Roman" w:eastAsia="Times New Roman" w:hAnsi="Times New Roman"/>
          <w:b/>
          <w:bCs/>
          <w:sz w:val="26"/>
          <w:szCs w:val="26"/>
        </w:rPr>
        <w:t xml:space="preserve">Джерела права Європейського Союзу</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71"/>
        <w:gridCol w:w="3537"/>
        <w:gridCol w:w="4430"/>
      </w:tblGrid>
      <w:tr>
        <w:trPr>
          <w:tblHeader/>
        </w:trPr>
        <w:tc>
          <w:tcPr>
            <w:tcW w:type="dxa" w:w="1671"/>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Рівень</w:t>
            </w:r>
          </w:p>
        </w:tc>
        <w:tc>
          <w:tcPr>
            <w:tcW w:type="dxa" w:w="3537"/>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Джерела</w:t>
            </w:r>
          </w:p>
        </w:tc>
        <w:tc>
          <w:tcPr>
            <w:tcW w:type="dxa" w:w="4430"/>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Характеристика</w:t>
            </w:r>
          </w:p>
        </w:tc>
      </w:tr>
      <w:tr>
        <w:trPr>
          <w:tblHeader w:val="false"/>
        </w:trPr>
        <w:tc>
          <w:tcPr>
            <w:tcW w:type="dxa" w:w="167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Первинне право</w:t>
            </w:r>
          </w:p>
        </w:tc>
        <w:tc>
          <w:tcPr>
            <w:tcW w:type="dxa" w:w="353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ДЄС, ДФЄС, Хартія основоположних прав ЄС (має ту саму юридичну силу, що й Договори, — ст. 6(1) ДЄС), протоколи, договори про вступ</w:t>
            </w:r>
          </w:p>
        </w:tc>
        <w:tc>
          <w:tcPr>
            <w:tcW w:type="dxa" w:w="443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Установчий («конституційний») рівень; визначає компетенції, інституції, процедури</w:t>
            </w:r>
          </w:p>
        </w:tc>
      </w:tr>
      <w:tr>
        <w:trPr>
          <w:tblHeader w:val="false"/>
        </w:trPr>
        <w:tc>
          <w:tcPr>
            <w:tcW w:type="dxa" w:w="167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Загальні принципи права ЄС</w:t>
            </w:r>
          </w:p>
        </w:tc>
        <w:tc>
          <w:tcPr>
            <w:tcW w:type="dxa" w:w="353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Правова визначеність, пропорційність, недискримінація, захист основоположних прав</w:t>
            </w:r>
          </w:p>
        </w:tc>
        <w:tc>
          <w:tcPr>
            <w:tcW w:type="dxa" w:w="443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Сформульовані Судом ЄС; мають силу первинного права</w:t>
            </w:r>
          </w:p>
        </w:tc>
      </w:tr>
      <w:tr>
        <w:trPr>
          <w:tblHeader w:val="false"/>
        </w:trPr>
        <w:tc>
          <w:tcPr>
            <w:tcW w:type="dxa" w:w="167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Міжнародні угоди ЄС</w:t>
            </w:r>
          </w:p>
        </w:tc>
        <w:tc>
          <w:tcPr>
            <w:tcW w:type="dxa" w:w="353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Угоди, укладені за ст. 216–218 ДФЄС (зокрема Угода про асоціацію з Україною)</w:t>
            </w:r>
          </w:p>
        </w:tc>
        <w:tc>
          <w:tcPr>
            <w:tcW w:type="dxa" w:w="443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Обов’язкові для інституцій і держав-членів; мають пріоритет над вторинним правом</w:t>
            </w:r>
          </w:p>
        </w:tc>
      </w:tr>
      <w:tr>
        <w:trPr>
          <w:tblHeader w:val="false"/>
        </w:trPr>
        <w:tc>
          <w:tcPr>
            <w:tcW w:type="dxa" w:w="167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Вторинне право (ст. 288 ДФЄС)</w:t>
            </w:r>
          </w:p>
        </w:tc>
        <w:tc>
          <w:tcPr>
            <w:tcW w:type="dxa" w:w="353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Регламенти; директиви; рішення; рекомендації та висновки</w:t>
            </w:r>
          </w:p>
        </w:tc>
        <w:tc>
          <w:tcPr>
            <w:tcW w:type="dxa" w:w="443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Регламент — обов’язковий у повному обсязі й прямо застосовний; директива — обов’язкова щодо результату, потребує транспозиції; рішення — обов’язкове для адресатів; рекомендації та висновки — необов’язкові</w:t>
            </w:r>
          </w:p>
        </w:tc>
      </w:tr>
      <w:tr>
        <w:trPr>
          <w:tblHeader w:val="false"/>
        </w:trPr>
        <w:tc>
          <w:tcPr>
            <w:tcW w:type="dxa" w:w="167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Судова практика</w:t>
            </w:r>
          </w:p>
        </w:tc>
        <w:tc>
          <w:tcPr>
            <w:tcW w:type="dxa" w:w="353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Рішення та висновки Суду ЄС</w:t>
            </w:r>
          </w:p>
        </w:tc>
        <w:tc>
          <w:tcPr>
            <w:tcW w:type="dxa" w:w="443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Тлумачення права ЄС, забезпечення його однакового застосування</w:t>
            </w:r>
          </w:p>
        </w:tc>
      </w:tr>
      <w:tr>
        <w:trPr>
          <w:tblHeader w:val="false"/>
        </w:trPr>
        <w:tc>
          <w:tcPr>
            <w:tcW w:type="dxa" w:w="167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«М’яке право»</w:t>
            </w:r>
          </w:p>
        </w:tc>
        <w:tc>
          <w:tcPr>
            <w:tcW w:type="dxa" w:w="353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Повідомлення (communications), стратегії, настанови, робочі програми</w:t>
            </w:r>
          </w:p>
        </w:tc>
        <w:tc>
          <w:tcPr>
            <w:tcW w:type="dxa" w:w="443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Юридично необов’язкові, але визначають політичні пріоритети й умови програм фінансування</w:t>
            </w:r>
          </w:p>
        </w:tc>
      </w:tr>
    </w:tbl>
    <w:p>
      <w:pPr>
        <w:spacing w:after="60" w:before="0" w:line="240"/>
      </w:pPr>
    </w:p>
    <w:p>
      <w:pPr>
        <w:spacing w:after="120" w:before="0" w:line="240"/>
        <w:jc w:val="left"/>
      </w:pPr>
      <w:r>
        <w:rPr>
          <w:rFonts w:ascii="Times New Roman" w:cs="Times New Roman" w:eastAsia="Times New Roman" w:hAnsi="Times New Roman"/>
          <w:i/>
          <w:iCs/>
          <w:sz w:val="22"/>
          <w:szCs w:val="22"/>
        </w:rPr>
        <w:t xml:space="preserve">Джерело: складено на основі [16; 17; 13].</w:t>
      </w:r>
    </w:p>
    <w:p>
      <w:pPr>
        <w:spacing w:after="0" w:line="360"/>
        <w:ind w:firstLine="709"/>
        <w:jc w:val="both"/>
      </w:pPr>
      <w:r>
        <w:rPr>
          <w:rFonts w:ascii="Times New Roman" w:cs="Times New Roman" w:eastAsia="Times New Roman" w:hAnsi="Times New Roman"/>
          <w:b/>
          <w:bCs/>
          <w:sz w:val="28"/>
          <w:szCs w:val="28"/>
        </w:rPr>
        <w:t xml:space="preserve">Механізми захисту цінностей.</w:t>
      </w:r>
      <w:r>
        <w:rPr>
          <w:rFonts w:ascii="Times New Roman" w:cs="Times New Roman" w:eastAsia="Times New Roman" w:hAnsi="Times New Roman"/>
          <w:sz w:val="28"/>
          <w:szCs w:val="28"/>
        </w:rPr>
        <w:t xml:space="preserve"> Договори передбачають процедуру ст. 7 ДЄС: констатацію чіткого ризику серйозного порушення цінностей (ст. 7(1): Рада — більшістю 4/5 членів після згоди Європейського Парламенту), констатацію серйозного і тривалого порушення (ст. 7(2): Європейська Рада — одностайно) та можливе зупинення окремих прав держави (ст. 7(3): кваліфікованою більшістю). Процедуру було ініційовано щодо Польщі (2017; завершено 2024) та Угорщини (2018). Додатковим фінансовим інструментом став Регламент (ЄС, Євратом) 2020/2092 про загальний режим обумовленості для захисту бюджету Союзу: він дає змогу призупиняти виплати з бюджету ЄС у разі порушень принципів верховенства права, що впливають на належне фінансове управління. Цей механізм наочно демонструє зв’язок між цінностями ЄС і доступом до європейських коштів — тема, до якої курс повертатиметься під час аналізу грантово-проєктної політики.</w:t>
      </w:r>
    </w:p>
    <w:p>
      <w:pPr>
        <w:pStyle w:val="Heading1"/>
        <w:keepNext/>
        <w:spacing w:after="160" w:before="300" w:line="300"/>
        <w:jc w:val="center"/>
      </w:pPr>
      <w:r>
        <w:rPr>
          <w:rFonts w:ascii="Times New Roman" w:cs="Times New Roman" w:eastAsia="Times New Roman" w:hAnsi="Times New Roman"/>
          <w:b/>
          <w:bCs/>
          <w:color w:val="1F3864"/>
          <w:sz w:val="30"/>
          <w:szCs w:val="30"/>
        </w:rPr>
        <w:t xml:space="preserve">4. ЄС як суб’єкт міжнародних економічних відносин</w:t>
      </w:r>
    </w:p>
    <w:p>
      <w:pPr>
        <w:spacing w:after="0" w:line="360"/>
        <w:ind w:firstLine="709"/>
        <w:jc w:val="both"/>
      </w:pPr>
      <w:r>
        <w:rPr>
          <w:rFonts w:ascii="Times New Roman" w:cs="Times New Roman" w:eastAsia="Times New Roman" w:hAnsi="Times New Roman"/>
          <w:sz w:val="28"/>
          <w:szCs w:val="28"/>
        </w:rPr>
        <w:t xml:space="preserve">Міжнародна суб’єктність ЄС ґрунтується на кількох правових і економічних підставах.</w:t>
      </w:r>
    </w:p>
    <w:p>
      <w:pPr>
        <w:spacing w:after="0" w:line="360"/>
        <w:ind w:firstLine="709"/>
        <w:jc w:val="both"/>
      </w:pPr>
      <w:r>
        <w:rPr>
          <w:rFonts w:ascii="Times New Roman" w:cs="Times New Roman" w:eastAsia="Times New Roman" w:hAnsi="Times New Roman"/>
          <w:sz w:val="28"/>
          <w:szCs w:val="28"/>
        </w:rPr>
        <w:t xml:space="preserve">По-перше, </w:t>
      </w:r>
      <w:r>
        <w:rPr>
          <w:rFonts w:ascii="Times New Roman" w:cs="Times New Roman" w:eastAsia="Times New Roman" w:hAnsi="Times New Roman"/>
          <w:b/>
          <w:bCs/>
          <w:sz w:val="28"/>
          <w:szCs w:val="28"/>
        </w:rPr>
        <w:t xml:space="preserve">правосуб’єктність</w:t>
      </w:r>
      <w:r>
        <w:rPr>
          <w:rFonts w:ascii="Times New Roman" w:cs="Times New Roman" w:eastAsia="Times New Roman" w:hAnsi="Times New Roman"/>
          <w:sz w:val="28"/>
          <w:szCs w:val="28"/>
        </w:rPr>
        <w:t xml:space="preserve">: відповідно до ст. 47 ДЄС Союз має міжнародну правосуб’єктність і укладає міжнародні угоди (ст. 216–218 ДФЄС). По-друге, </w:t>
      </w:r>
      <w:r>
        <w:rPr>
          <w:rFonts w:ascii="Times New Roman" w:cs="Times New Roman" w:eastAsia="Times New Roman" w:hAnsi="Times New Roman"/>
          <w:b/>
          <w:bCs/>
          <w:sz w:val="28"/>
          <w:szCs w:val="28"/>
        </w:rPr>
        <w:t xml:space="preserve">виключна компетенція у сфері спільної торговельної політики</w:t>
      </w:r>
      <w:r>
        <w:rPr>
          <w:rFonts w:ascii="Times New Roman" w:cs="Times New Roman" w:eastAsia="Times New Roman" w:hAnsi="Times New Roman"/>
          <w:sz w:val="28"/>
          <w:szCs w:val="28"/>
        </w:rPr>
        <w:t xml:space="preserve"> (ст. 3(1)(e), 207 ДФЄС): ЄС виступає єдиним переговорником у торговельних відносинах із третіми країнами та є самостійним членом Світової організації торгівлі поряд із державами-членами. По-третє, </w:t>
      </w:r>
      <w:r>
        <w:rPr>
          <w:rFonts w:ascii="Times New Roman" w:cs="Times New Roman" w:eastAsia="Times New Roman" w:hAnsi="Times New Roman"/>
          <w:b/>
          <w:bCs/>
          <w:sz w:val="28"/>
          <w:szCs w:val="28"/>
        </w:rPr>
        <w:t xml:space="preserve">економічна вага</w:t>
      </w:r>
      <w:r>
        <w:rPr>
          <w:rFonts w:ascii="Times New Roman" w:cs="Times New Roman" w:eastAsia="Times New Roman" w:hAnsi="Times New Roman"/>
          <w:sz w:val="28"/>
          <w:szCs w:val="28"/>
        </w:rPr>
        <w:t xml:space="preserve">, яка забезпечує переговорну силу (табл. 1.5).</w:t>
      </w:r>
    </w:p>
    <w:p>
      <w:pPr>
        <w:keepNext/>
        <w:spacing w:after="40" w:before="120" w:line="276"/>
        <w:jc w:val="right"/>
      </w:pPr>
      <w:r>
        <w:rPr>
          <w:rFonts w:ascii="Times New Roman" w:cs="Times New Roman" w:eastAsia="Times New Roman" w:hAnsi="Times New Roman"/>
          <w:i/>
          <w:iCs/>
          <w:sz w:val="26"/>
          <w:szCs w:val="26"/>
        </w:rPr>
        <w:t xml:space="preserve">Таблиця 1.5</w:t>
      </w:r>
    </w:p>
    <w:p>
      <w:pPr>
        <w:keepNext/>
        <w:spacing w:after="80" w:before="0" w:line="276"/>
        <w:jc w:val="center"/>
      </w:pPr>
      <w:r>
        <w:rPr>
          <w:rFonts w:ascii="Times New Roman" w:cs="Times New Roman" w:eastAsia="Times New Roman" w:hAnsi="Times New Roman"/>
          <w:b/>
          <w:bCs/>
          <w:sz w:val="26"/>
          <w:szCs w:val="26"/>
        </w:rPr>
        <w:t xml:space="preserve">Ключові макроекономічні показники ЄС як суб’єкта МЕВ</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78"/>
        <w:gridCol w:w="4980"/>
        <w:gridCol w:w="1680"/>
      </w:tblGrid>
      <w:tr>
        <w:trPr>
          <w:tblHeader/>
        </w:trPr>
        <w:tc>
          <w:tcPr>
            <w:tcW w:type="dxa" w:w="2978"/>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Показник</w:t>
            </w:r>
          </w:p>
        </w:tc>
        <w:tc>
          <w:tcPr>
            <w:tcW w:type="dxa" w:w="4980"/>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Значення</w:t>
            </w:r>
          </w:p>
        </w:tc>
        <w:tc>
          <w:tcPr>
            <w:tcW w:type="dxa" w:w="1680"/>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Джерело</w:t>
            </w:r>
          </w:p>
        </w:tc>
      </w:tr>
      <w:tr>
        <w:trPr>
          <w:tblHeader w:val="false"/>
        </w:trPr>
        <w:tc>
          <w:tcPr>
            <w:tcW w:type="dxa" w:w="297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Кількість держав-членів</w:t>
            </w:r>
          </w:p>
        </w:tc>
        <w:tc>
          <w:tcPr>
            <w:tcW w:type="dxa" w:w="498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27</w:t>
            </w:r>
          </w:p>
        </w:tc>
        <w:tc>
          <w:tcPr>
            <w:tcW w:type="dxa" w:w="168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ДЄС</w:t>
            </w:r>
          </w:p>
        </w:tc>
      </w:tr>
      <w:tr>
        <w:trPr>
          <w:tblHeader w:val="false"/>
        </w:trPr>
        <w:tc>
          <w:tcPr>
            <w:tcW w:type="dxa" w:w="297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Населення</w:t>
            </w:r>
          </w:p>
        </w:tc>
        <w:tc>
          <w:tcPr>
            <w:tcW w:type="dxa" w:w="498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452,0 млн осіб (1 січня 2026 р., оцінка)</w:t>
            </w:r>
          </w:p>
        </w:tc>
        <w:tc>
          <w:tcPr>
            <w:tcW w:type="dxa" w:w="168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Eurostat</w:t>
            </w:r>
          </w:p>
        </w:tc>
      </w:tr>
      <w:tr>
        <w:trPr>
          <w:tblHeader w:val="false"/>
        </w:trPr>
        <w:tc>
          <w:tcPr>
            <w:tcW w:type="dxa" w:w="297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ВВП</w:t>
            </w:r>
          </w:p>
        </w:tc>
        <w:tc>
          <w:tcPr>
            <w:tcW w:type="dxa" w:w="498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18,8 трлн євро (2025 р.); найбільші економіки — Німеччина (23,8 %), Франція (15,8 %), Італія (12,0 %)</w:t>
            </w:r>
          </w:p>
        </w:tc>
        <w:tc>
          <w:tcPr>
            <w:tcW w:type="dxa" w:w="168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Eurostat</w:t>
            </w:r>
          </w:p>
        </w:tc>
      </w:tr>
      <w:tr>
        <w:trPr>
          <w:tblHeader w:val="false"/>
        </w:trPr>
        <w:tc>
          <w:tcPr>
            <w:tcW w:type="dxa" w:w="297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Реальне зростання ВВП</w:t>
            </w:r>
          </w:p>
        </w:tc>
        <w:tc>
          <w:tcPr>
            <w:tcW w:type="dxa" w:w="498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1,5 % (2025 р.)</w:t>
            </w:r>
          </w:p>
        </w:tc>
        <w:tc>
          <w:tcPr>
            <w:tcW w:type="dxa" w:w="168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Eurostat</w:t>
            </w:r>
          </w:p>
        </w:tc>
      </w:tr>
      <w:tr>
        <w:trPr>
          <w:tblHeader w:val="false"/>
        </w:trPr>
        <w:tc>
          <w:tcPr>
            <w:tcW w:type="dxa" w:w="297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Частка у світовому експорті товарів і послуг</w:t>
            </w:r>
          </w:p>
        </w:tc>
        <w:tc>
          <w:tcPr>
            <w:tcW w:type="dxa" w:w="498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17,0 % (2024 р.; для порівняння: Китай — 14,4 %)</w:t>
            </w:r>
          </w:p>
        </w:tc>
        <w:tc>
          <w:tcPr>
            <w:tcW w:type="dxa" w:w="168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Eurostat</w:t>
            </w:r>
          </w:p>
        </w:tc>
      </w:tr>
      <w:tr>
        <w:trPr>
          <w:tblHeader w:val="false"/>
        </w:trPr>
        <w:tc>
          <w:tcPr>
            <w:tcW w:type="dxa" w:w="297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Зона євро</w:t>
            </w:r>
          </w:p>
        </w:tc>
        <w:tc>
          <w:tcPr>
            <w:tcW w:type="dxa" w:w="498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21 держава (з 1 січня 2026 р.)</w:t>
            </w:r>
          </w:p>
        </w:tc>
        <w:tc>
          <w:tcPr>
            <w:tcW w:type="dxa" w:w="168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ECB, Consilium</w:t>
            </w:r>
          </w:p>
        </w:tc>
      </w:tr>
      <w:tr>
        <w:trPr>
          <w:tblHeader w:val="false"/>
        </w:trPr>
        <w:tc>
          <w:tcPr>
            <w:tcW w:type="dxa" w:w="297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Ключові ставки ЄЦБ</w:t>
            </w:r>
          </w:p>
        </w:tc>
        <w:tc>
          <w:tcPr>
            <w:tcW w:type="dxa" w:w="498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депозитна — 2,25 %; основних операцій рефінансування — 2,40 %; маржинального кредитування — 2,65 % (рішення від 23.07.2026)</w:t>
            </w:r>
          </w:p>
        </w:tc>
        <w:tc>
          <w:tcPr>
            <w:tcW w:type="dxa" w:w="168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ECB</w:t>
            </w:r>
          </w:p>
        </w:tc>
      </w:tr>
    </w:tbl>
    <w:p>
      <w:pPr>
        <w:spacing w:after="60" w:before="0" w:line="240"/>
      </w:pPr>
    </w:p>
    <w:p>
      <w:pPr>
        <w:spacing w:after="120" w:before="0" w:line="240"/>
        <w:jc w:val="left"/>
      </w:pPr>
      <w:r>
        <w:rPr>
          <w:rFonts w:ascii="Times New Roman" w:cs="Times New Roman" w:eastAsia="Times New Roman" w:hAnsi="Times New Roman"/>
          <w:i/>
          <w:iCs/>
          <w:sz w:val="22"/>
          <w:szCs w:val="22"/>
        </w:rPr>
        <w:t xml:space="preserve">Джерело: складено за даними Eurostat, ЄЦБ, Ради ЄС (станом на вересень 2026 р.).</w:t>
      </w:r>
    </w:p>
    <w:p>
      <w:pPr>
        <w:spacing w:after="0" w:line="360"/>
        <w:ind w:firstLine="709"/>
        <w:jc w:val="both"/>
      </w:pPr>
      <w:r>
        <w:rPr>
          <w:rFonts w:ascii="Times New Roman" w:cs="Times New Roman" w:eastAsia="Times New Roman" w:hAnsi="Times New Roman"/>
          <w:sz w:val="28"/>
          <w:szCs w:val="28"/>
        </w:rPr>
        <w:t xml:space="preserve">У науковій літературі роль ЄС у світовій економіці осмислюється через кілька концептів. І. Меннерс обґрунтував концепцію </w:t>
      </w:r>
      <w:r>
        <w:rPr>
          <w:rFonts w:ascii="Times New Roman" w:cs="Times New Roman" w:eastAsia="Times New Roman" w:hAnsi="Times New Roman"/>
          <w:i/>
          <w:iCs/>
          <w:sz w:val="28"/>
          <w:szCs w:val="28"/>
        </w:rPr>
        <w:t xml:space="preserve">«нормативної сили Європи»</w:t>
      </w:r>
      <w:r>
        <w:rPr>
          <w:rFonts w:ascii="Times New Roman" w:cs="Times New Roman" w:eastAsia="Times New Roman" w:hAnsi="Times New Roman"/>
          <w:sz w:val="28"/>
          <w:szCs w:val="28"/>
        </w:rPr>
        <w:t xml:space="preserve"> — здатності ЄС формувати уявлення про «нормальне» в міжнародних відносинах через поширення цінностей [22]. К. Дамро запропонував концепт </w:t>
      </w:r>
      <w:r>
        <w:rPr>
          <w:rFonts w:ascii="Times New Roman" w:cs="Times New Roman" w:eastAsia="Times New Roman" w:hAnsi="Times New Roman"/>
          <w:i/>
          <w:iCs/>
          <w:sz w:val="28"/>
          <w:szCs w:val="28"/>
        </w:rPr>
        <w:t xml:space="preserve">«ринкової сили Європи»</w:t>
      </w:r>
      <w:r>
        <w:rPr>
          <w:rFonts w:ascii="Times New Roman" w:cs="Times New Roman" w:eastAsia="Times New Roman" w:hAnsi="Times New Roman"/>
          <w:sz w:val="28"/>
          <w:szCs w:val="28"/>
        </w:rPr>
        <w:t xml:space="preserve">, що наголошує на доступі до великого ринку як джерелі впливу [23]. А. Бредфорд описала </w:t>
      </w:r>
      <w:r>
        <w:rPr>
          <w:rFonts w:ascii="Times New Roman" w:cs="Times New Roman" w:eastAsia="Times New Roman" w:hAnsi="Times New Roman"/>
          <w:i/>
          <w:iCs/>
          <w:sz w:val="28"/>
          <w:szCs w:val="28"/>
        </w:rPr>
        <w:t xml:space="preserve">«брюссельський ефект»</w:t>
      </w:r>
      <w:r>
        <w:rPr>
          <w:rFonts w:ascii="Times New Roman" w:cs="Times New Roman" w:eastAsia="Times New Roman" w:hAnsi="Times New Roman"/>
          <w:sz w:val="28"/>
          <w:szCs w:val="28"/>
        </w:rPr>
        <w:t xml:space="preserve"> — одностороннє поширення регуляторних стандартів ЄС на глобальні ринки, оскільки транснаціональні компанії адаптують виробництво до найвищих вимог [24]. Прикладами є Загальний регламент про захист даних (GDPR), Регламент про штучний інтелект (ЄС) 2024/1689, механізм коригування вуглецевих викидів на кордоні (CBAM, Регламент (ЄС) 2023/956), який з 1 січня 2026 р. перейшов до остаточного етапу застосування.</w:t>
      </w:r>
    </w:p>
    <w:p>
      <w:pPr>
        <w:spacing w:after="0" w:line="360"/>
        <w:ind w:firstLine="709"/>
        <w:jc w:val="both"/>
      </w:pPr>
      <w:r>
        <w:rPr>
          <w:rFonts w:ascii="Times New Roman" w:cs="Times New Roman" w:eastAsia="Times New Roman" w:hAnsi="Times New Roman"/>
          <w:sz w:val="28"/>
          <w:szCs w:val="28"/>
        </w:rPr>
        <w:t xml:space="preserve">Інструментарій зовнішньоекономічної діяльності ЄС охоплює:</w:t>
      </w:r>
    </w:p>
    <w:p>
      <w:pPr>
        <w:pStyle w:val="ListParagraph"/>
        <w:numPr>
          <w:ilvl w:val="0"/>
          <w:numId w:val="2"/>
        </w:numPr>
        <w:spacing w:after="0" w:line="360"/>
        <w:jc w:val="both"/>
      </w:pPr>
      <w:r>
        <w:rPr>
          <w:rFonts w:ascii="Times New Roman" w:cs="Times New Roman" w:eastAsia="Times New Roman" w:hAnsi="Times New Roman"/>
          <w:b/>
          <w:bCs/>
          <w:sz w:val="28"/>
          <w:szCs w:val="28"/>
        </w:rPr>
        <w:t xml:space="preserve">торговельні угоди</w:t>
      </w:r>
      <w:r>
        <w:rPr>
          <w:rFonts w:ascii="Times New Roman" w:cs="Times New Roman" w:eastAsia="Times New Roman" w:hAnsi="Times New Roman"/>
          <w:sz w:val="28"/>
          <w:szCs w:val="28"/>
        </w:rPr>
        <w:t xml:space="preserve"> різних поколінь: від класичних ЗВТ до угод про поглиблену і всеосяжну зону вільної торгівлі (ПВЗВТ) з асоційованими партнерами (Україна, Молдова, Грузія) та угод про економічне партнерство (зокрема з Японією, чинна з 2019 р.);</w:t>
      </w:r>
    </w:p>
    <w:p>
      <w:pPr>
        <w:pStyle w:val="ListParagraph"/>
        <w:numPr>
          <w:ilvl w:val="0"/>
          <w:numId w:val="2"/>
        </w:numPr>
        <w:spacing w:after="0" w:line="360"/>
        <w:jc w:val="both"/>
      </w:pPr>
      <w:r>
        <w:rPr>
          <w:rFonts w:ascii="Times New Roman" w:cs="Times New Roman" w:eastAsia="Times New Roman" w:hAnsi="Times New Roman"/>
          <w:b/>
          <w:bCs/>
          <w:sz w:val="28"/>
          <w:szCs w:val="28"/>
        </w:rPr>
        <w:t xml:space="preserve">інструменти торговельного захисту та економічної безпеки</w:t>
      </w:r>
      <w:r>
        <w:rPr>
          <w:rFonts w:ascii="Times New Roman" w:cs="Times New Roman" w:eastAsia="Times New Roman" w:hAnsi="Times New Roman"/>
          <w:sz w:val="28"/>
          <w:szCs w:val="28"/>
        </w:rPr>
        <w:t xml:space="preserve">: антидемпінгові та компенсаційні заходи, скринінг прямих іноземних інвестицій (Регламент (ЄС) 2019/452), регламент про іноземні субсидії (Регламент (ЄС) 2022/2560), інструмент протидії економічному примусу (Регламент (ЄС) 2023/2675);</w:t>
      </w:r>
    </w:p>
    <w:p>
      <w:pPr>
        <w:pStyle w:val="ListParagraph"/>
        <w:numPr>
          <w:ilvl w:val="0"/>
          <w:numId w:val="2"/>
        </w:numPr>
        <w:spacing w:after="0" w:line="360"/>
        <w:jc w:val="both"/>
      </w:pPr>
      <w:r>
        <w:rPr>
          <w:rFonts w:ascii="Times New Roman" w:cs="Times New Roman" w:eastAsia="Times New Roman" w:hAnsi="Times New Roman"/>
          <w:b/>
          <w:bCs/>
          <w:sz w:val="28"/>
          <w:szCs w:val="28"/>
        </w:rPr>
        <w:t xml:space="preserve">санкції</w:t>
      </w:r>
      <w:r>
        <w:rPr>
          <w:rFonts w:ascii="Times New Roman" w:cs="Times New Roman" w:eastAsia="Times New Roman" w:hAnsi="Times New Roman"/>
          <w:sz w:val="28"/>
          <w:szCs w:val="28"/>
        </w:rPr>
        <w:t xml:space="preserve"> (обмежувальні заходи за ст. 215 ДФЄС), зокрема пакети санкцій проти Російської Федерації (станом на червень 2026 р. — 20 пакетів);</w:t>
      </w:r>
    </w:p>
    <w:p>
      <w:pPr>
        <w:pStyle w:val="ListParagraph"/>
        <w:numPr>
          <w:ilvl w:val="0"/>
          <w:numId w:val="2"/>
        </w:numPr>
        <w:spacing w:after="0" w:line="360"/>
        <w:jc w:val="both"/>
      </w:pPr>
      <w:r>
        <w:rPr>
          <w:rFonts w:ascii="Times New Roman" w:cs="Times New Roman" w:eastAsia="Times New Roman" w:hAnsi="Times New Roman"/>
          <w:b/>
          <w:bCs/>
          <w:sz w:val="28"/>
          <w:szCs w:val="28"/>
        </w:rPr>
        <w:t xml:space="preserve">фінансові інструменти зовнішньої дії</w:t>
      </w:r>
      <w:r>
        <w:rPr>
          <w:rFonts w:ascii="Times New Roman" w:cs="Times New Roman" w:eastAsia="Times New Roman" w:hAnsi="Times New Roman"/>
          <w:sz w:val="28"/>
          <w:szCs w:val="28"/>
        </w:rPr>
        <w:t xml:space="preserve">: інструмент «Глобальна Європа» (NDICI), Інструмент передвступної допомоги (IPA III), Інструмент для України (Ukraine Facility), зовнішні операції Європейського інвестиційного банку, ініціатива Global Gateway.</w:t>
      </w:r>
    </w:p>
    <w:p>
      <w:pPr>
        <w:spacing w:after="0" w:line="360"/>
        <w:ind w:firstLine="709"/>
        <w:jc w:val="both"/>
      </w:pPr>
      <w:r>
        <w:rPr>
          <w:rFonts w:ascii="Times New Roman" w:cs="Times New Roman" w:eastAsia="Times New Roman" w:hAnsi="Times New Roman"/>
          <w:sz w:val="28"/>
          <w:szCs w:val="28"/>
        </w:rPr>
        <w:t xml:space="preserve">Отже, ЄС у міжнародних економічних відносинах виступає водночас як </w:t>
      </w:r>
      <w:r>
        <w:rPr>
          <w:rFonts w:ascii="Times New Roman" w:cs="Times New Roman" w:eastAsia="Times New Roman" w:hAnsi="Times New Roman"/>
          <w:i/>
          <w:iCs/>
          <w:sz w:val="28"/>
          <w:szCs w:val="28"/>
        </w:rPr>
        <w:t xml:space="preserve">торговельна наддержава</w:t>
      </w:r>
      <w:r>
        <w:rPr>
          <w:rFonts w:ascii="Times New Roman" w:cs="Times New Roman" w:eastAsia="Times New Roman" w:hAnsi="Times New Roman"/>
          <w:sz w:val="28"/>
          <w:szCs w:val="28"/>
        </w:rPr>
        <w:t xml:space="preserve">, </w:t>
      </w:r>
      <w:r>
        <w:rPr>
          <w:rFonts w:ascii="Times New Roman" w:cs="Times New Roman" w:eastAsia="Times New Roman" w:hAnsi="Times New Roman"/>
          <w:i/>
          <w:iCs/>
          <w:sz w:val="28"/>
          <w:szCs w:val="28"/>
        </w:rPr>
        <w:t xml:space="preserve">регуляторний лідер</w:t>
      </w:r>
      <w:r>
        <w:rPr>
          <w:rFonts w:ascii="Times New Roman" w:cs="Times New Roman" w:eastAsia="Times New Roman" w:hAnsi="Times New Roman"/>
          <w:sz w:val="28"/>
          <w:szCs w:val="28"/>
        </w:rPr>
        <w:t xml:space="preserve"> і </w:t>
      </w:r>
      <w:r>
        <w:rPr>
          <w:rFonts w:ascii="Times New Roman" w:cs="Times New Roman" w:eastAsia="Times New Roman" w:hAnsi="Times New Roman"/>
          <w:i/>
          <w:iCs/>
          <w:sz w:val="28"/>
          <w:szCs w:val="28"/>
        </w:rPr>
        <w:t xml:space="preserve">донор розвитку</w:t>
      </w:r>
      <w:r>
        <w:rPr>
          <w:rFonts w:ascii="Times New Roman" w:cs="Times New Roman" w:eastAsia="Times New Roman" w:hAnsi="Times New Roman"/>
          <w:sz w:val="28"/>
          <w:szCs w:val="28"/>
        </w:rPr>
        <w:t xml:space="preserve">. Для держав-партнерів це означає, що доступ до ринку ЄС і його фінансових ресурсів дедалі тісніше пов’язується з регуляторним наближенням і дотриманням цінностей.</w:t>
      </w:r>
    </w:p>
    <w:p>
      <w:pPr>
        <w:pStyle w:val="Heading1"/>
        <w:keepNext/>
        <w:spacing w:after="160" w:before="300" w:line="300"/>
        <w:jc w:val="center"/>
      </w:pPr>
      <w:r>
        <w:rPr>
          <w:rFonts w:ascii="Times New Roman" w:cs="Times New Roman" w:eastAsia="Times New Roman" w:hAnsi="Times New Roman"/>
          <w:b/>
          <w:bCs/>
          <w:color w:val="1F3864"/>
          <w:sz w:val="30"/>
          <w:szCs w:val="30"/>
        </w:rPr>
        <w:t xml:space="preserve">5. Спільний ринок ЄС: свобода руху товарів, послуг, капіталу та робочої сили</w:t>
      </w:r>
    </w:p>
    <w:p>
      <w:pPr>
        <w:pBdr>
          <w:left w:val="single" w:color="2E5597" w:sz="24" w:space="6"/>
        </w:pBdr>
        <w:shd w:fill="EEF3FA" w:color="auto" w:val="clear"/>
        <w:spacing w:after="80" w:before="80" w:line="300"/>
        <w:ind w:left="284" w:right="142"/>
        <w:jc w:val="both"/>
      </w:pPr>
      <w:r>
        <w:rPr>
          <w:rFonts w:ascii="Times New Roman" w:cs="Times New Roman" w:eastAsia="Times New Roman" w:hAnsi="Times New Roman"/>
          <w:b/>
          <w:bCs/>
          <w:sz w:val="26"/>
          <w:szCs w:val="26"/>
        </w:rPr>
        <w:t xml:space="preserve">Внутрішній ринок</w:t>
      </w:r>
      <w:r>
        <w:rPr>
          <w:rFonts w:ascii="Times New Roman" w:cs="Times New Roman" w:eastAsia="Times New Roman" w:hAnsi="Times New Roman"/>
          <w:sz w:val="26"/>
          <w:szCs w:val="26"/>
        </w:rPr>
        <w:t xml:space="preserve"> — простір без внутрішніх кордонів, у якому забезпечується вільний рух товарів, осіб, послуг і капіталу відповідно до положень Договорів (ст. 26(2) ДФЄС).</w:t>
      </w:r>
    </w:p>
    <w:p>
      <w:pPr>
        <w:spacing w:after="0" w:line="360"/>
        <w:ind w:firstLine="709"/>
        <w:jc w:val="both"/>
      </w:pPr>
      <w:r>
        <w:rPr>
          <w:rFonts w:ascii="Times New Roman" w:cs="Times New Roman" w:eastAsia="Times New Roman" w:hAnsi="Times New Roman"/>
          <w:sz w:val="28"/>
          <w:szCs w:val="28"/>
        </w:rPr>
        <w:t xml:space="preserve">Єдиний ринок є економічним ядром ЄС. Його формування пройшло шлях від митного союзу (1968) через Білу книгу Комісії 1985 р. (близько 300 заходів з усунення фізичних, технічних і фіскальних бар’єрів) та Єдиний європейський акт (1986) до офіційного запровадження 1 січня 1993 р.</w:t>
      </w:r>
    </w:p>
    <w:p>
      <w:pPr>
        <w:keepNext/>
        <w:spacing w:after="40" w:before="120" w:line="276"/>
        <w:jc w:val="right"/>
      </w:pPr>
      <w:r>
        <w:rPr>
          <w:rFonts w:ascii="Times New Roman" w:cs="Times New Roman" w:eastAsia="Times New Roman" w:hAnsi="Times New Roman"/>
          <w:i/>
          <w:iCs/>
          <w:sz w:val="26"/>
          <w:szCs w:val="26"/>
        </w:rPr>
        <w:t xml:space="preserve">Таблиця 1.6</w:t>
      </w:r>
    </w:p>
    <w:p>
      <w:pPr>
        <w:keepNext/>
        <w:spacing w:after="80" w:before="0" w:line="276"/>
        <w:jc w:val="center"/>
      </w:pPr>
      <w:r>
        <w:rPr>
          <w:rFonts w:ascii="Times New Roman" w:cs="Times New Roman" w:eastAsia="Times New Roman" w:hAnsi="Times New Roman"/>
          <w:b/>
          <w:bCs/>
          <w:sz w:val="26"/>
          <w:szCs w:val="26"/>
        </w:rPr>
        <w:t xml:space="preserve">Чотири свободи єдиного ринку ЄС</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9"/>
        <w:gridCol w:w="1701"/>
        <w:gridCol w:w="2763"/>
        <w:gridCol w:w="3245"/>
      </w:tblGrid>
      <w:tr>
        <w:trPr>
          <w:tblHeader/>
        </w:trPr>
        <w:tc>
          <w:tcPr>
            <w:tcW w:type="dxa" w:w="1929"/>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Свобода</w:t>
            </w:r>
          </w:p>
        </w:tc>
        <w:tc>
          <w:tcPr>
            <w:tcW w:type="dxa" w:w="1701"/>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Правова основа (ДФЄС)</w:t>
            </w:r>
          </w:p>
        </w:tc>
        <w:tc>
          <w:tcPr>
            <w:tcW w:type="dxa" w:w="2763"/>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Зміст</w:t>
            </w:r>
          </w:p>
        </w:tc>
        <w:tc>
          <w:tcPr>
            <w:tcW w:type="dxa" w:w="3245"/>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Ключові механізми</w:t>
            </w:r>
          </w:p>
        </w:tc>
      </w:tr>
      <w:tr>
        <w:trPr>
          <w:tblHeader w:val="false"/>
        </w:trPr>
        <w:tc>
          <w:tcPr>
            <w:tcW w:type="dxa" w:w="192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Вільний рух товарів</w:t>
            </w:r>
          </w:p>
        </w:tc>
        <w:tc>
          <w:tcPr>
            <w:tcW w:type="dxa" w:w="170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ст. 28–37</w:t>
            </w:r>
          </w:p>
        </w:tc>
        <w:tc>
          <w:tcPr>
            <w:tcW w:type="dxa" w:w="276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Митний союз; заборона мит, кількісних обмежень і заходів рівнозначної дії</w:t>
            </w:r>
          </w:p>
        </w:tc>
        <w:tc>
          <w:tcPr>
            <w:tcW w:type="dxa" w:w="324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Взаємне визнання (справа Cassis de Dijon, C-120/78, 1979); гармонізація технічних вимог (новий підхід / нова законодавча рамка); CE-маркування</w:t>
            </w:r>
          </w:p>
        </w:tc>
      </w:tr>
      <w:tr>
        <w:trPr>
          <w:tblHeader w:val="false"/>
        </w:trPr>
        <w:tc>
          <w:tcPr>
            <w:tcW w:type="dxa" w:w="192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Вільний рух осіб (працівників)</w:t>
            </w:r>
          </w:p>
        </w:tc>
        <w:tc>
          <w:tcPr>
            <w:tcW w:type="dxa" w:w="170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ст. 45–48; право заснування — ст. 49–55</w:t>
            </w:r>
          </w:p>
        </w:tc>
        <w:tc>
          <w:tcPr>
            <w:tcW w:type="dxa" w:w="276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Право працювати, проживати, започатковувати діяльність в іншій державі-члені без дискримінації</w:t>
            </w:r>
          </w:p>
        </w:tc>
        <w:tc>
          <w:tcPr>
            <w:tcW w:type="dxa" w:w="324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Координація соціального забезпечення; визнання професійних кваліфікацій (Директива 2005/36/ЄС)</w:t>
            </w:r>
          </w:p>
        </w:tc>
      </w:tr>
      <w:tr>
        <w:trPr>
          <w:tblHeader w:val="false"/>
        </w:trPr>
        <w:tc>
          <w:tcPr>
            <w:tcW w:type="dxa" w:w="192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Вільний рух послуг</w:t>
            </w:r>
          </w:p>
        </w:tc>
        <w:tc>
          <w:tcPr>
            <w:tcW w:type="dxa" w:w="170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ст. 56–62</w:t>
            </w:r>
          </w:p>
        </w:tc>
        <w:tc>
          <w:tcPr>
            <w:tcW w:type="dxa" w:w="276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Право надавати транскордонні послуги</w:t>
            </w:r>
          </w:p>
        </w:tc>
        <w:tc>
          <w:tcPr>
            <w:tcW w:type="dxa" w:w="324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Директива про послуги 2006/123/ЄС; єдині контактні пункти</w:t>
            </w:r>
          </w:p>
        </w:tc>
      </w:tr>
      <w:tr>
        <w:trPr>
          <w:tblHeader w:val="false"/>
        </w:trPr>
        <w:tc>
          <w:tcPr>
            <w:tcW w:type="dxa" w:w="192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Вільний рух капіталу і платежів</w:t>
            </w:r>
          </w:p>
        </w:tc>
        <w:tc>
          <w:tcPr>
            <w:tcW w:type="dxa" w:w="170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ст. 63–66</w:t>
            </w:r>
          </w:p>
        </w:tc>
        <w:tc>
          <w:tcPr>
            <w:tcW w:type="dxa" w:w="276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Заборона обмежень руху капіталу між державами-членами, а також між державами-членами і третіми країнами</w:t>
            </w:r>
          </w:p>
        </w:tc>
        <w:tc>
          <w:tcPr>
            <w:tcW w:type="dxa" w:w="324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Лібералізація капітальних операцій; Союз заощаджень та інвестицій (раніше — Союз ринків капіталу)</w:t>
            </w:r>
          </w:p>
        </w:tc>
      </w:tr>
    </w:tbl>
    <w:p>
      <w:pPr>
        <w:spacing w:after="60" w:before="0" w:line="240"/>
      </w:pPr>
    </w:p>
    <w:p>
      <w:pPr>
        <w:spacing w:after="120" w:before="0" w:line="240"/>
        <w:jc w:val="left"/>
      </w:pPr>
      <w:r>
        <w:rPr>
          <w:rFonts w:ascii="Times New Roman" w:cs="Times New Roman" w:eastAsia="Times New Roman" w:hAnsi="Times New Roman"/>
          <w:i/>
          <w:iCs/>
          <w:sz w:val="22"/>
          <w:szCs w:val="22"/>
        </w:rPr>
        <w:t xml:space="preserve">Джерело: складено на основі [17; 18].</w:t>
      </w:r>
    </w:p>
    <w:p>
      <w:pPr>
        <w:spacing w:after="0" w:line="360"/>
        <w:ind w:firstLine="709"/>
        <w:jc w:val="both"/>
      </w:pPr>
      <w:r>
        <w:rPr>
          <w:rFonts w:ascii="Times New Roman" w:cs="Times New Roman" w:eastAsia="Times New Roman" w:hAnsi="Times New Roman"/>
          <w:sz w:val="28"/>
          <w:szCs w:val="28"/>
        </w:rPr>
        <w:t xml:space="preserve">Функціонування єдиного ринку забезпечують три групи механізмів: (1) </w:t>
      </w:r>
      <w:r>
        <w:rPr>
          <w:rFonts w:ascii="Times New Roman" w:cs="Times New Roman" w:eastAsia="Times New Roman" w:hAnsi="Times New Roman"/>
          <w:i/>
          <w:iCs/>
          <w:sz w:val="28"/>
          <w:szCs w:val="28"/>
        </w:rPr>
        <w:t xml:space="preserve">гармонізація</w:t>
      </w:r>
      <w:r>
        <w:rPr>
          <w:rFonts w:ascii="Times New Roman" w:cs="Times New Roman" w:eastAsia="Times New Roman" w:hAnsi="Times New Roman"/>
          <w:sz w:val="28"/>
          <w:szCs w:val="28"/>
        </w:rPr>
        <w:t xml:space="preserve"> законодавства (ст. 114 ДФЄС); (2) </w:t>
      </w:r>
      <w:r>
        <w:rPr>
          <w:rFonts w:ascii="Times New Roman" w:cs="Times New Roman" w:eastAsia="Times New Roman" w:hAnsi="Times New Roman"/>
          <w:i/>
          <w:iCs/>
          <w:sz w:val="28"/>
          <w:szCs w:val="28"/>
        </w:rPr>
        <w:t xml:space="preserve">взаємне визнання</w:t>
      </w:r>
      <w:r>
        <w:rPr>
          <w:rFonts w:ascii="Times New Roman" w:cs="Times New Roman" w:eastAsia="Times New Roman" w:hAnsi="Times New Roman"/>
          <w:sz w:val="28"/>
          <w:szCs w:val="28"/>
        </w:rPr>
        <w:t xml:space="preserve"> національних стандартів; (3) </w:t>
      </w:r>
      <w:r>
        <w:rPr>
          <w:rFonts w:ascii="Times New Roman" w:cs="Times New Roman" w:eastAsia="Times New Roman" w:hAnsi="Times New Roman"/>
          <w:i/>
          <w:iCs/>
          <w:sz w:val="28"/>
          <w:szCs w:val="28"/>
        </w:rPr>
        <w:t xml:space="preserve">політика конкуренції</w:t>
      </w:r>
      <w:r>
        <w:rPr>
          <w:rFonts w:ascii="Times New Roman" w:cs="Times New Roman" w:eastAsia="Times New Roman" w:hAnsi="Times New Roman"/>
          <w:sz w:val="28"/>
          <w:szCs w:val="28"/>
        </w:rPr>
        <w:t xml:space="preserve"> (ст. 101–109 ДФЄС), включно з контролем державної допомоги, що безпосередньо впливає на правила фінансування проєктів (зокрема на вимоги щодо неприпустимості прихованого субсидування господарської діяльності в грантових проєктах).</w:t>
      </w:r>
    </w:p>
    <w:p>
      <w:pPr>
        <w:spacing w:after="0" w:line="360"/>
        <w:ind w:firstLine="709"/>
        <w:jc w:val="both"/>
      </w:pPr>
      <w:r>
        <w:rPr>
          <w:rFonts w:ascii="Times New Roman" w:cs="Times New Roman" w:eastAsia="Times New Roman" w:hAnsi="Times New Roman"/>
          <w:sz w:val="28"/>
          <w:szCs w:val="28"/>
        </w:rPr>
        <w:t xml:space="preserve">Економічний ефект єдиного ринку є значним: модельні оцінки Європейської Комісії свідчать, що без єдиного ринку ВВП ЄС був би в середньому на 8–9 % нижчим [25]. Водночас ринок залишається незавершеним, особливо у сферах послуг, енергетики, цифрових і фінансових ринків. Доповідь Е. Летти «Набагато більше, ніж ринок» (квітень 2024 р.) запропонувала концепт </w:t>
      </w:r>
      <w:r>
        <w:rPr>
          <w:rFonts w:ascii="Times New Roman" w:cs="Times New Roman" w:eastAsia="Times New Roman" w:hAnsi="Times New Roman"/>
          <w:i/>
          <w:iCs/>
          <w:sz w:val="28"/>
          <w:szCs w:val="28"/>
        </w:rPr>
        <w:t xml:space="preserve">«п’ятої свободи»</w:t>
      </w:r>
      <w:r>
        <w:rPr>
          <w:rFonts w:ascii="Times New Roman" w:cs="Times New Roman" w:eastAsia="Times New Roman" w:hAnsi="Times New Roman"/>
          <w:sz w:val="28"/>
          <w:szCs w:val="28"/>
        </w:rPr>
        <w:t xml:space="preserve"> — вільного руху досліджень, інновацій, знань та освіти [19], що безпосередньо корелює з логікою програм Horizon Europe та Erasmus+. У травні 2025 р. Комісія представила нову Стратегію єдиного ринку, спрямовану на усунення найбільш шкідливих бар’єрів.</w:t>
      </w:r>
    </w:p>
    <w:p>
      <w:pPr>
        <w:spacing w:after="0" w:line="360"/>
        <w:ind w:firstLine="709"/>
        <w:jc w:val="both"/>
      </w:pPr>
      <w:r>
        <w:rPr>
          <w:rFonts w:ascii="Times New Roman" w:cs="Times New Roman" w:eastAsia="Times New Roman" w:hAnsi="Times New Roman"/>
          <w:sz w:val="28"/>
          <w:szCs w:val="28"/>
        </w:rPr>
        <w:t xml:space="preserve">Для України єдиний ринок ЄС є не лише ринком збуту, а й </w:t>
      </w:r>
      <w:r>
        <w:rPr>
          <w:rFonts w:ascii="Times New Roman" w:cs="Times New Roman" w:eastAsia="Times New Roman" w:hAnsi="Times New Roman"/>
          <w:i/>
          <w:iCs/>
          <w:sz w:val="28"/>
          <w:szCs w:val="28"/>
        </w:rPr>
        <w:t xml:space="preserve">моделлю регуляторної трансформації</w:t>
      </w:r>
      <w:r>
        <w:rPr>
          <w:rFonts w:ascii="Times New Roman" w:cs="Times New Roman" w:eastAsia="Times New Roman" w:hAnsi="Times New Roman"/>
          <w:sz w:val="28"/>
          <w:szCs w:val="28"/>
        </w:rPr>
        <w:t xml:space="preserve">. Угода про асоціацію передбачає поступову інтеграцію до окремих сегментів внутрішнього ринку (технічні регламенти, санітарні та фітосанітарні заходи, митні процедури, послуги, державні закупівлі). Практичними результатами цього процесу стали: синхронізація енергосистеми України з європейською мережею ENTSO-E (16 березня 2022 р.), приєднання до Конвенції про процедуру спільного транзиту (з 1 жовтня 2022 р.), участь у Програмі єдиного ринку (Single Market Programme), а також приєднання України до зони «роумінг як удома» з 1 січня 2026 р. — Україна стала першою державою поза ЄС/ЄЕЗ, яка отримала такий режим.</w:t>
      </w:r>
    </w:p>
    <w:p>
      <w:pPr>
        <w:pStyle w:val="Heading1"/>
        <w:keepNext/>
        <w:spacing w:after="160" w:before="300" w:line="300"/>
        <w:jc w:val="center"/>
      </w:pPr>
      <w:r>
        <w:rPr>
          <w:rFonts w:ascii="Times New Roman" w:cs="Times New Roman" w:eastAsia="Times New Roman" w:hAnsi="Times New Roman"/>
          <w:b/>
          <w:bCs/>
          <w:color w:val="1F3864"/>
          <w:sz w:val="30"/>
          <w:szCs w:val="30"/>
        </w:rPr>
        <w:t xml:space="preserve">6. Інституційна спроможність ЄС у забезпеченні сталого розвитку, конкурентоспроможності та економічної безпеки</w:t>
      </w:r>
    </w:p>
    <w:p>
      <w:pPr>
        <w:pBdr>
          <w:left w:val="single" w:color="2E5597" w:sz="24" w:space="6"/>
        </w:pBdr>
        <w:shd w:fill="EEF3FA" w:color="auto" w:val="clear"/>
        <w:spacing w:after="80" w:before="80" w:line="300"/>
        <w:ind w:left="284" w:right="142"/>
        <w:jc w:val="both"/>
      </w:pPr>
      <w:r>
        <w:rPr>
          <w:rFonts w:ascii="Times New Roman" w:cs="Times New Roman" w:eastAsia="Times New Roman" w:hAnsi="Times New Roman"/>
          <w:b/>
          <w:bCs/>
          <w:sz w:val="26"/>
          <w:szCs w:val="26"/>
        </w:rPr>
        <w:t xml:space="preserve">Інституційна спроможність ЄС</w:t>
      </w:r>
      <w:r>
        <w:rPr>
          <w:rFonts w:ascii="Times New Roman" w:cs="Times New Roman" w:eastAsia="Times New Roman" w:hAnsi="Times New Roman"/>
          <w:sz w:val="26"/>
          <w:szCs w:val="26"/>
        </w:rPr>
        <w:t xml:space="preserve"> — здатність системи інституцій Союзу визначати стратегічні цілі, трансформувати їх у юридично обов’язкові норми та фінансові інструменти, забезпечувати їх виконання і коригувати політики відповідно до зовнішніх викликів.</w:t>
      </w:r>
    </w:p>
    <w:p>
      <w:pPr>
        <w:spacing w:after="0" w:line="360"/>
        <w:ind w:firstLine="709"/>
        <w:jc w:val="both"/>
      </w:pPr>
      <w:r>
        <w:rPr>
          <w:rFonts w:ascii="Times New Roman" w:cs="Times New Roman" w:eastAsia="Times New Roman" w:hAnsi="Times New Roman"/>
          <w:sz w:val="28"/>
          <w:szCs w:val="28"/>
        </w:rPr>
        <w:t xml:space="preserve">Інституційну спроможність ЄС доцільно аналізувати через чотири групи інструментів: </w:t>
      </w:r>
      <w:r>
        <w:rPr>
          <w:rFonts w:ascii="Times New Roman" w:cs="Times New Roman" w:eastAsia="Times New Roman" w:hAnsi="Times New Roman"/>
          <w:i/>
          <w:iCs/>
          <w:sz w:val="28"/>
          <w:szCs w:val="28"/>
        </w:rPr>
        <w:t xml:space="preserve">регуляторні</w:t>
      </w:r>
      <w:r>
        <w:rPr>
          <w:rFonts w:ascii="Times New Roman" w:cs="Times New Roman" w:eastAsia="Times New Roman" w:hAnsi="Times New Roman"/>
          <w:sz w:val="28"/>
          <w:szCs w:val="28"/>
        </w:rPr>
        <w:t xml:space="preserve"> (законодавство), </w:t>
      </w:r>
      <w:r>
        <w:rPr>
          <w:rFonts w:ascii="Times New Roman" w:cs="Times New Roman" w:eastAsia="Times New Roman" w:hAnsi="Times New Roman"/>
          <w:i/>
          <w:iCs/>
          <w:sz w:val="28"/>
          <w:szCs w:val="28"/>
        </w:rPr>
        <w:t xml:space="preserve">фінансові</w:t>
      </w:r>
      <w:r>
        <w:rPr>
          <w:rFonts w:ascii="Times New Roman" w:cs="Times New Roman" w:eastAsia="Times New Roman" w:hAnsi="Times New Roman"/>
          <w:sz w:val="28"/>
          <w:szCs w:val="28"/>
        </w:rPr>
        <w:t xml:space="preserve"> (бюджет, спільне запозичення, ЄІБ), </w:t>
      </w:r>
      <w:r>
        <w:rPr>
          <w:rFonts w:ascii="Times New Roman" w:cs="Times New Roman" w:eastAsia="Times New Roman" w:hAnsi="Times New Roman"/>
          <w:i/>
          <w:iCs/>
          <w:sz w:val="28"/>
          <w:szCs w:val="28"/>
        </w:rPr>
        <w:t xml:space="preserve">координаційні</w:t>
      </w:r>
      <w:r>
        <w:rPr>
          <w:rFonts w:ascii="Times New Roman" w:cs="Times New Roman" w:eastAsia="Times New Roman" w:hAnsi="Times New Roman"/>
          <w:sz w:val="28"/>
          <w:szCs w:val="28"/>
        </w:rPr>
        <w:t xml:space="preserve"> (Європейський семестр, національні плани) та </w:t>
      </w:r>
      <w:r>
        <w:rPr>
          <w:rFonts w:ascii="Times New Roman" w:cs="Times New Roman" w:eastAsia="Times New Roman" w:hAnsi="Times New Roman"/>
          <w:i/>
          <w:iCs/>
          <w:sz w:val="28"/>
          <w:szCs w:val="28"/>
        </w:rPr>
        <w:t xml:space="preserve">зовнішньополітичні</w:t>
      </w:r>
      <w:r>
        <w:rPr>
          <w:rFonts w:ascii="Times New Roman" w:cs="Times New Roman" w:eastAsia="Times New Roman" w:hAnsi="Times New Roman"/>
          <w:sz w:val="28"/>
          <w:szCs w:val="28"/>
        </w:rPr>
        <w:t xml:space="preserve"> (торговельні угоди, санкції, розширення).</w:t>
      </w:r>
    </w:p>
    <w:p>
      <w:pPr>
        <w:spacing w:after="0" w:line="360"/>
        <w:ind w:firstLine="709"/>
        <w:jc w:val="both"/>
      </w:pPr>
      <w:r>
        <w:rPr>
          <w:rFonts w:ascii="Times New Roman" w:cs="Times New Roman" w:eastAsia="Times New Roman" w:hAnsi="Times New Roman"/>
          <w:b/>
          <w:bCs/>
          <w:sz w:val="28"/>
          <w:szCs w:val="28"/>
        </w:rPr>
        <w:t xml:space="preserve">Сталий розвиток.</w:t>
      </w:r>
      <w:r>
        <w:rPr>
          <w:rFonts w:ascii="Times New Roman" w:cs="Times New Roman" w:eastAsia="Times New Roman" w:hAnsi="Times New Roman"/>
          <w:sz w:val="28"/>
          <w:szCs w:val="28"/>
        </w:rPr>
        <w:t xml:space="preserve"> Сталий розвиток закріплено як ціль Союзу (ст. 3(3) ДЄС) і як горизонтальний принцип інтеграції екологічних вимог у всі політики (ст. 11 ДФЄС). Фінансування сталого розвитку територій, зокрема сільських громад, із бюджету ЄС є окремим предметом наукового аналізу [4; 30]. Політичною рамкою став Європейський зелений курс (COM(2019) 640, грудень 2019 р.), а правовою основою — Європейський кліматичний закон (Регламент (ЄС) 2021/1119), що встановив мету скорочення чистих викидів парникових газів щонайменше на 55 % до 2030 р. (порівняно з 1990 р.) і досягнення кліматичної нейтральності до 2050 р. У 2025–2026 рр. до закону внесено проміжну ціль скорочення чистих викидів на 90 % до 2040 р. (політична угода Ради та Європейського Парламенту — грудень 2025 р.; остаточне схвалення Радою — 5 березня 2026 р.), із визначеними елементами гнучкості.</w:t>
      </w:r>
    </w:p>
    <w:p>
      <w:pPr>
        <w:spacing w:after="0" w:line="360"/>
        <w:ind w:firstLine="709"/>
        <w:jc w:val="both"/>
      </w:pPr>
      <w:r>
        <w:rPr>
          <w:rFonts w:ascii="Times New Roman" w:cs="Times New Roman" w:eastAsia="Times New Roman" w:hAnsi="Times New Roman"/>
          <w:b/>
          <w:bCs/>
          <w:sz w:val="28"/>
          <w:szCs w:val="28"/>
        </w:rPr>
        <w:t xml:space="preserve">Конкурентоспроможність.</w:t>
      </w:r>
      <w:r>
        <w:rPr>
          <w:rFonts w:ascii="Times New Roman" w:cs="Times New Roman" w:eastAsia="Times New Roman" w:hAnsi="Times New Roman"/>
          <w:sz w:val="28"/>
          <w:szCs w:val="28"/>
        </w:rPr>
        <w:t xml:space="preserve"> Доповідь М. Драгі «Майбутнє європейської конкурентоспроможності» (вересень 2024 р.) зафіксувала структурне відставання ЄС від США та Китаю в продуктивності та інноваціях і оцінила потребу в додаткових інвестиціях на рівні 750–800 млрд євро щороку (4,4–4,7 % ВВП ЄС) [20]. На цій основі Комісія ухвалила «Компас конкурентоспроможності» (COM(2025) 30, 29 січня 2025 р.), який визначає три імперативи — подолання інноваційного розриву, спільну дорожню карту декарбонізації та конкурентоспроможності, зменшення надмірних залежностей і посилення безпеки, — а також горизонтальні засади: спрощення регулювання, усунення бар’єрів єдиного ринку, фінансування, навички та кращу координацію. Орієнтація на спрощення («омнібусні» пакети) стала наскрізним принципом Робочої програми Комісії на 2026 р. «Момент незалежності Європи» (21 жовтня 2025 р.).</w:t>
      </w:r>
    </w:p>
    <w:p>
      <w:pPr>
        <w:spacing w:after="0" w:line="360"/>
        <w:ind w:firstLine="709"/>
        <w:jc w:val="both"/>
      </w:pPr>
      <w:r>
        <w:rPr>
          <w:rFonts w:ascii="Times New Roman" w:cs="Times New Roman" w:eastAsia="Times New Roman" w:hAnsi="Times New Roman"/>
          <w:b/>
          <w:bCs/>
          <w:sz w:val="28"/>
          <w:szCs w:val="28"/>
        </w:rPr>
        <w:t xml:space="preserve">Економічна безпека.</w:t>
      </w:r>
      <w:r>
        <w:rPr>
          <w:rFonts w:ascii="Times New Roman" w:cs="Times New Roman" w:eastAsia="Times New Roman" w:hAnsi="Times New Roman"/>
          <w:sz w:val="28"/>
          <w:szCs w:val="28"/>
        </w:rPr>
        <w:t xml:space="preserve"> Стратегія європейської економічної безпеки (JOIN(2023) 20, 20 червня 2023 р.) запровадила підхід «просування — захист — партнерство» та окреслила ризики для ланцюгів постачання, критичної інфраструктури, технологічної безпеки й економічного примусу. Спільне повідомлення від 3 грудня 2025 р. про посилення економічної безпеки ЄС зміщує акцент на моніторинг ризиків, стримування, зменшення залежностей і ширше використання наявних інструментів (скринінг інвестицій, торговельний захист, контроль іноземних субсидій), а також передбачає мобілізацію 3 млрд євро на критичну сировину в межах плану RESourceEU. Законодавчу базу доповнюють Закон про чіпи (Регламент (ЄС) 2023/1781), Закон про критичну сировину (Регламент (ЄС) 2024/1252), Закон про промисловість з нульовим рівнем викидів (Регламент (ЄС) 2024/1735).</w:t>
      </w:r>
    </w:p>
    <w:p>
      <w:pPr>
        <w:spacing w:after="0" w:line="360"/>
        <w:ind w:firstLine="709"/>
        <w:jc w:val="both"/>
      </w:pPr>
      <w:r>
        <w:rPr>
          <w:rFonts w:ascii="Times New Roman" w:cs="Times New Roman" w:eastAsia="Times New Roman" w:hAnsi="Times New Roman"/>
          <w:b/>
          <w:bCs/>
          <w:sz w:val="28"/>
          <w:szCs w:val="28"/>
        </w:rPr>
        <w:t xml:space="preserve">Фінансовий вимір.</w:t>
      </w:r>
      <w:r>
        <w:rPr>
          <w:rFonts w:ascii="Times New Roman" w:cs="Times New Roman" w:eastAsia="Times New Roman" w:hAnsi="Times New Roman"/>
          <w:sz w:val="28"/>
          <w:szCs w:val="28"/>
        </w:rPr>
        <w:t xml:space="preserve"> Інструмент NextGenerationEU (2020) уперше дав змогу Комісії масштабно запозичувати кошти на ринках від імені ЄС; його ключовий компонент — Механізм відновлення та стійкості (RRF) — завершується у 2026 р. Пропозиція Комісії щодо Багаторічної фінансової рамки на 2028–2034 рр. (16 липня 2025 р.) передбачає близько 1,76 трлн євро (у цінах 2025 р.; 1,26 % ВНД ЄС) та консолідацію низки фондів у національні та регіональні партнерські плани; станом на вересень 2026 р. переговори тривають. Детально ці питання розглядатимуться в темі 5.</w:t>
      </w:r>
    </w:p>
    <w:p>
      <w:pPr>
        <w:keepNext/>
        <w:spacing w:after="40" w:before="120" w:line="276"/>
        <w:jc w:val="right"/>
      </w:pPr>
      <w:r>
        <w:rPr>
          <w:rFonts w:ascii="Times New Roman" w:cs="Times New Roman" w:eastAsia="Times New Roman" w:hAnsi="Times New Roman"/>
          <w:i/>
          <w:iCs/>
          <w:sz w:val="26"/>
          <w:szCs w:val="26"/>
        </w:rPr>
        <w:t xml:space="preserve">Таблиця 1.7</w:t>
      </w:r>
    </w:p>
    <w:p>
      <w:pPr>
        <w:keepNext/>
        <w:spacing w:after="80" w:before="0" w:line="276"/>
        <w:jc w:val="center"/>
      </w:pPr>
      <w:r>
        <w:rPr>
          <w:rFonts w:ascii="Times New Roman" w:cs="Times New Roman" w:eastAsia="Times New Roman" w:hAnsi="Times New Roman"/>
          <w:b/>
          <w:bCs/>
          <w:sz w:val="26"/>
          <w:szCs w:val="26"/>
        </w:rPr>
        <w:t xml:space="preserve">Обмеження інституційної спроможності ЄС</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59"/>
        <w:gridCol w:w="2542"/>
        <w:gridCol w:w="4737"/>
      </w:tblGrid>
      <w:tr>
        <w:trPr>
          <w:tblHeader/>
        </w:trPr>
        <w:tc>
          <w:tcPr>
            <w:tcW w:type="dxa" w:w="2359"/>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Обмеження</w:t>
            </w:r>
          </w:p>
        </w:tc>
        <w:tc>
          <w:tcPr>
            <w:tcW w:type="dxa" w:w="2542"/>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Прояв</w:t>
            </w:r>
          </w:p>
        </w:tc>
        <w:tc>
          <w:tcPr>
            <w:tcW w:type="dxa" w:w="4737"/>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Наслідки</w:t>
            </w:r>
          </w:p>
        </w:tc>
      </w:tr>
      <w:tr>
        <w:trPr>
          <w:tblHeader w:val="false"/>
        </w:trPr>
        <w:tc>
          <w:tcPr>
            <w:tcW w:type="dxa" w:w="235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Одностайність у чутливих сферах</w:t>
            </w:r>
          </w:p>
        </w:tc>
        <w:tc>
          <w:tcPr>
            <w:tcW w:type="dxa" w:w="254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Оподаткування, СЗБП, розширення, БФР</w:t>
            </w:r>
          </w:p>
        </w:tc>
        <w:tc>
          <w:tcPr>
            <w:tcW w:type="dxa" w:w="473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Можливість блокування рішень однією державою (приклад — затримка відкриття переговорних кластерів з Україною у 2024–2026 рр.)</w:t>
            </w:r>
          </w:p>
        </w:tc>
      </w:tr>
      <w:tr>
        <w:trPr>
          <w:tblHeader w:val="false"/>
        </w:trPr>
        <w:tc>
          <w:tcPr>
            <w:tcW w:type="dxa" w:w="235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Обмежений бюджет</w:t>
            </w:r>
          </w:p>
        </w:tc>
        <w:tc>
          <w:tcPr>
            <w:tcW w:type="dxa" w:w="254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Близько 1 % ВНД ЄС у чинній БФР</w:t>
            </w:r>
          </w:p>
        </w:tc>
        <w:tc>
          <w:tcPr>
            <w:tcW w:type="dxa" w:w="473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Залежність від національних бюджетів і приватних інвестицій; роль фінансових інструментів і ЄІБ</w:t>
            </w:r>
          </w:p>
        </w:tc>
      </w:tr>
      <w:tr>
        <w:trPr>
          <w:tblHeader w:val="false"/>
        </w:trPr>
        <w:tc>
          <w:tcPr>
            <w:tcW w:type="dxa" w:w="235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Регуляторне навантаження</w:t>
            </w:r>
          </w:p>
        </w:tc>
        <w:tc>
          <w:tcPr>
            <w:tcW w:type="dxa" w:w="254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Складність і фрагментація норм</w:t>
            </w:r>
          </w:p>
        </w:tc>
        <w:tc>
          <w:tcPr>
            <w:tcW w:type="dxa" w:w="473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Політика спрощення (омнібуси), «перевірка реальністю» законодавства</w:t>
            </w:r>
          </w:p>
        </w:tc>
      </w:tr>
      <w:tr>
        <w:trPr>
          <w:tblHeader w:val="false"/>
        </w:trPr>
        <w:tc>
          <w:tcPr>
            <w:tcW w:type="dxa" w:w="235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Політизація та поляризація</w:t>
            </w:r>
          </w:p>
        </w:tc>
        <w:tc>
          <w:tcPr>
            <w:tcW w:type="dxa" w:w="254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Посилення євроскептичних партій</w:t>
            </w:r>
          </w:p>
        </w:tc>
        <w:tc>
          <w:tcPr>
            <w:tcW w:type="dxa" w:w="473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Складність формування більшостей, уповільнення реформ</w:t>
            </w:r>
          </w:p>
        </w:tc>
      </w:tr>
    </w:tbl>
    <w:p>
      <w:pPr>
        <w:spacing w:after="60" w:before="0" w:line="240"/>
      </w:pPr>
    </w:p>
    <w:p>
      <w:pPr>
        <w:spacing w:after="120" w:before="0" w:line="240"/>
        <w:jc w:val="left"/>
      </w:pPr>
      <w:r>
        <w:rPr>
          <w:rFonts w:ascii="Times New Roman" w:cs="Times New Roman" w:eastAsia="Times New Roman" w:hAnsi="Times New Roman"/>
          <w:i/>
          <w:iCs/>
          <w:sz w:val="22"/>
          <w:szCs w:val="22"/>
        </w:rPr>
        <w:t xml:space="preserve">Джерело: складено автором.</w:t>
      </w:r>
    </w:p>
    <w:p>
      <w:pPr>
        <w:pStyle w:val="Heading1"/>
        <w:keepNext/>
        <w:spacing w:after="160" w:before="300" w:line="300"/>
        <w:jc w:val="center"/>
      </w:pPr>
      <w:r>
        <w:rPr>
          <w:rFonts w:ascii="Times New Roman" w:cs="Times New Roman" w:eastAsia="Times New Roman" w:hAnsi="Times New Roman"/>
          <w:b/>
          <w:bCs/>
          <w:color w:val="1F3864"/>
          <w:sz w:val="30"/>
          <w:szCs w:val="30"/>
        </w:rPr>
        <w:t xml:space="preserve">7. Україна в системі європейської інтеграції: статус, зобов’язання та перспективи</w:t>
      </w:r>
    </w:p>
    <w:p>
      <w:pPr>
        <w:spacing w:after="0" w:line="360"/>
        <w:ind w:firstLine="709"/>
        <w:jc w:val="both"/>
      </w:pPr>
      <w:r>
        <w:rPr>
          <w:rFonts w:ascii="Times New Roman" w:cs="Times New Roman" w:eastAsia="Times New Roman" w:hAnsi="Times New Roman"/>
          <w:sz w:val="28"/>
          <w:szCs w:val="28"/>
        </w:rPr>
        <w:t xml:space="preserve">Європейська інтеграція є конституційно закріпленим стратегічним курсом України: Законом України від 7 лютого 2019 р. № 2680-VIII до Конституції внесено положення про незворотність європейського та євроатлантичного курсу. Правовою основою відносин є Угода про асоціацію між Україною та ЄС (ратифікована Верховною Радою України та Європейським Парламентом синхронно 16 вересня 2014 р.; тимчасово застосовувалася частинами, повністю набула чинності 1 вересня 2017 р.), складовою якої є ПВЗВТ.</w:t>
      </w:r>
    </w:p>
    <w:p>
      <w:pPr>
        <w:keepNext/>
        <w:spacing w:after="40" w:before="120" w:line="276"/>
        <w:jc w:val="right"/>
      </w:pPr>
      <w:r>
        <w:rPr>
          <w:rFonts w:ascii="Times New Roman" w:cs="Times New Roman" w:eastAsia="Times New Roman" w:hAnsi="Times New Roman"/>
          <w:i/>
          <w:iCs/>
          <w:sz w:val="26"/>
          <w:szCs w:val="26"/>
        </w:rPr>
        <w:t xml:space="preserve">Таблиця 1.8</w:t>
      </w:r>
    </w:p>
    <w:p>
      <w:pPr>
        <w:keepNext/>
        <w:spacing w:after="80" w:before="0" w:line="276"/>
        <w:jc w:val="center"/>
      </w:pPr>
      <w:r>
        <w:rPr>
          <w:rFonts w:ascii="Times New Roman" w:cs="Times New Roman" w:eastAsia="Times New Roman" w:hAnsi="Times New Roman"/>
          <w:b/>
          <w:bCs/>
          <w:sz w:val="26"/>
          <w:szCs w:val="26"/>
        </w:rPr>
        <w:t xml:space="preserve">Хронологія ключових етапів європейської інтеграції України</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37"/>
        <w:gridCol w:w="6301"/>
      </w:tblGrid>
      <w:tr>
        <w:trPr>
          <w:tblHeader/>
        </w:trPr>
        <w:tc>
          <w:tcPr>
            <w:tcW w:type="dxa" w:w="3337"/>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Дата</w:t>
            </w:r>
          </w:p>
        </w:tc>
        <w:tc>
          <w:tcPr>
            <w:tcW w:type="dxa" w:w="6301"/>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Подія</w:t>
            </w:r>
          </w:p>
        </w:tc>
      </w:tr>
      <w:tr>
        <w:trPr>
          <w:tblHeader w:val="false"/>
        </w:trPr>
        <w:tc>
          <w:tcPr>
            <w:tcW w:type="dxa" w:w="333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14.06.1994</w:t>
            </w:r>
          </w:p>
        </w:tc>
        <w:tc>
          <w:tcPr>
            <w:tcW w:type="dxa" w:w="630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Підписання Угоди про партнерство і співробітництво (чинна з 1998 р.)</w:t>
            </w:r>
          </w:p>
        </w:tc>
      </w:tr>
      <w:tr>
        <w:trPr>
          <w:tblHeader w:val="false"/>
        </w:trPr>
        <w:tc>
          <w:tcPr>
            <w:tcW w:type="dxa" w:w="333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07.05.2009</w:t>
            </w:r>
          </w:p>
        </w:tc>
        <w:tc>
          <w:tcPr>
            <w:tcW w:type="dxa" w:w="630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Започаткування ініціативи «Східне партнерство»</w:t>
            </w:r>
          </w:p>
        </w:tc>
      </w:tr>
      <w:tr>
        <w:trPr>
          <w:tblHeader w:val="false"/>
        </w:trPr>
        <w:tc>
          <w:tcPr>
            <w:tcW w:type="dxa" w:w="333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21.03.2014 / 27.06.2014</w:t>
            </w:r>
          </w:p>
        </w:tc>
        <w:tc>
          <w:tcPr>
            <w:tcW w:type="dxa" w:w="630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Підписання політичної та економічної частин Угоди про асоціацію</w:t>
            </w:r>
          </w:p>
        </w:tc>
      </w:tr>
      <w:tr>
        <w:trPr>
          <w:tblHeader w:val="false"/>
        </w:trPr>
        <w:tc>
          <w:tcPr>
            <w:tcW w:type="dxa" w:w="333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01.01.2016</w:t>
            </w:r>
          </w:p>
        </w:tc>
        <w:tc>
          <w:tcPr>
            <w:tcW w:type="dxa" w:w="630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Початок тимчасового застосування ПВЗВТ</w:t>
            </w:r>
          </w:p>
        </w:tc>
      </w:tr>
      <w:tr>
        <w:trPr>
          <w:tblHeader w:val="false"/>
        </w:trPr>
        <w:tc>
          <w:tcPr>
            <w:tcW w:type="dxa" w:w="333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11.06.2017</w:t>
            </w:r>
          </w:p>
        </w:tc>
        <w:tc>
          <w:tcPr>
            <w:tcW w:type="dxa" w:w="630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Запровадження безвізового режиму для громадян України</w:t>
            </w:r>
          </w:p>
        </w:tc>
      </w:tr>
      <w:tr>
        <w:trPr>
          <w:tblHeader w:val="false"/>
        </w:trPr>
        <w:tc>
          <w:tcPr>
            <w:tcW w:type="dxa" w:w="333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01.09.2017</w:t>
            </w:r>
          </w:p>
        </w:tc>
        <w:tc>
          <w:tcPr>
            <w:tcW w:type="dxa" w:w="630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Набуття чинності Угодою про асоціацію в повному обсязі</w:t>
            </w:r>
          </w:p>
        </w:tc>
      </w:tr>
      <w:tr>
        <w:trPr>
          <w:tblHeader w:val="false"/>
        </w:trPr>
        <w:tc>
          <w:tcPr>
            <w:tcW w:type="dxa" w:w="333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28.02.2022</w:t>
            </w:r>
          </w:p>
        </w:tc>
        <w:tc>
          <w:tcPr>
            <w:tcW w:type="dxa" w:w="630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Подання заявки на членство в ЄС</w:t>
            </w:r>
          </w:p>
        </w:tc>
      </w:tr>
      <w:tr>
        <w:trPr>
          <w:tblHeader w:val="false"/>
        </w:trPr>
        <w:tc>
          <w:tcPr>
            <w:tcW w:type="dxa" w:w="333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23.06.2022</w:t>
            </w:r>
          </w:p>
        </w:tc>
        <w:tc>
          <w:tcPr>
            <w:tcW w:type="dxa" w:w="630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Надання Європейською Радою статусу кандидата</w:t>
            </w:r>
          </w:p>
        </w:tc>
      </w:tr>
      <w:tr>
        <w:trPr>
          <w:tblHeader w:val="false"/>
        </w:trPr>
        <w:tc>
          <w:tcPr>
            <w:tcW w:type="dxa" w:w="333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14.12.2023</w:t>
            </w:r>
          </w:p>
        </w:tc>
        <w:tc>
          <w:tcPr>
            <w:tcW w:type="dxa" w:w="630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Рішення Європейської Ради про відкриття переговорів про вступ</w:t>
            </w:r>
          </w:p>
        </w:tc>
      </w:tr>
      <w:tr>
        <w:trPr>
          <w:tblHeader w:val="false"/>
        </w:trPr>
        <w:tc>
          <w:tcPr>
            <w:tcW w:type="dxa" w:w="333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29.02.2024</w:t>
            </w:r>
          </w:p>
        </w:tc>
        <w:tc>
          <w:tcPr>
            <w:tcW w:type="dxa" w:w="630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Ухвалення Регламенту (ЄС) 2024/792 про Інструмент для України (Ukraine Facility)</w:t>
            </w:r>
          </w:p>
        </w:tc>
      </w:tr>
      <w:tr>
        <w:trPr>
          <w:tblHeader w:val="false"/>
        </w:trPr>
        <w:tc>
          <w:tcPr>
            <w:tcW w:type="dxa" w:w="333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25.06.2024</w:t>
            </w:r>
          </w:p>
        </w:tc>
        <w:tc>
          <w:tcPr>
            <w:tcW w:type="dxa" w:w="630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Перша міжурядова конференція; офіційний початок переговорів</w:t>
            </w:r>
          </w:p>
        </w:tc>
      </w:tr>
      <w:tr>
        <w:trPr>
          <w:tblHeader w:val="false"/>
        </w:trPr>
        <w:tc>
          <w:tcPr>
            <w:tcW w:type="dxa" w:w="333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30.09.2025</w:t>
            </w:r>
          </w:p>
        </w:tc>
        <w:tc>
          <w:tcPr>
            <w:tcW w:type="dxa" w:w="630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Завершення процесу скринінгу законодавства</w:t>
            </w:r>
          </w:p>
        </w:tc>
      </w:tr>
      <w:tr>
        <w:trPr>
          <w:tblHeader w:val="false"/>
        </w:trPr>
        <w:tc>
          <w:tcPr>
            <w:tcW w:type="dxa" w:w="333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29.10.2025</w:t>
            </w:r>
          </w:p>
        </w:tc>
        <w:tc>
          <w:tcPr>
            <w:tcW w:type="dxa" w:w="630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Набуття чинності оновленими торговельними умовами ПВЗВТ (перегляд за ст. 29 Угоди)</w:t>
            </w:r>
          </w:p>
        </w:tc>
      </w:tr>
      <w:tr>
        <w:trPr>
          <w:tblHeader w:val="false"/>
        </w:trPr>
        <w:tc>
          <w:tcPr>
            <w:tcW w:type="dxa" w:w="333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01.01.2026</w:t>
            </w:r>
          </w:p>
        </w:tc>
        <w:tc>
          <w:tcPr>
            <w:tcW w:type="dxa" w:w="630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Приєднання України до зони «роумінг як удома» ЄС</w:t>
            </w:r>
          </w:p>
        </w:tc>
      </w:tr>
      <w:tr>
        <w:trPr>
          <w:tblHeader w:val="false"/>
        </w:trPr>
        <w:tc>
          <w:tcPr>
            <w:tcW w:type="dxa" w:w="333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15.06.2026</w:t>
            </w:r>
          </w:p>
        </w:tc>
        <w:tc>
          <w:tcPr>
            <w:tcW w:type="dxa" w:w="630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Відкриття кластера 1 «Основи процесу вступу» (розділи 5, 18, 23, 24, 32)</w:t>
            </w:r>
          </w:p>
        </w:tc>
      </w:tr>
      <w:tr>
        <w:trPr>
          <w:tblHeader w:val="false"/>
        </w:trPr>
        <w:tc>
          <w:tcPr>
            <w:tcW w:type="dxa" w:w="333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14.07.2026</w:t>
            </w:r>
          </w:p>
        </w:tc>
        <w:tc>
          <w:tcPr>
            <w:tcW w:type="dxa" w:w="630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Відкриття кластера 6 «Зовнішні відносини» (розділи 30, 31)</w:t>
            </w:r>
          </w:p>
        </w:tc>
      </w:tr>
    </w:tbl>
    <w:p>
      <w:pPr>
        <w:spacing w:after="60" w:before="0" w:line="240"/>
      </w:pPr>
    </w:p>
    <w:p>
      <w:pPr>
        <w:spacing w:after="120" w:before="0" w:line="240"/>
        <w:jc w:val="left"/>
      </w:pPr>
      <w:r>
        <w:rPr>
          <w:rFonts w:ascii="Times New Roman" w:cs="Times New Roman" w:eastAsia="Times New Roman" w:hAnsi="Times New Roman"/>
          <w:i/>
          <w:iCs/>
          <w:sz w:val="22"/>
          <w:szCs w:val="22"/>
        </w:rPr>
        <w:t xml:space="preserve">Джерело: складено за даними Європейської Комісії та Ради ЄС [26–28].</w:t>
      </w:r>
    </w:p>
    <w:p>
      <w:pPr>
        <w:spacing w:after="0" w:line="360"/>
        <w:ind w:firstLine="709"/>
        <w:jc w:val="both"/>
      </w:pPr>
      <w:r>
        <w:rPr>
          <w:rFonts w:ascii="Times New Roman" w:cs="Times New Roman" w:eastAsia="Times New Roman" w:hAnsi="Times New Roman"/>
          <w:b/>
          <w:bCs/>
          <w:sz w:val="28"/>
          <w:szCs w:val="28"/>
        </w:rPr>
        <w:t xml:space="preserve">Статус.</w:t>
      </w:r>
      <w:r>
        <w:rPr>
          <w:rFonts w:ascii="Times New Roman" w:cs="Times New Roman" w:eastAsia="Times New Roman" w:hAnsi="Times New Roman"/>
          <w:sz w:val="28"/>
          <w:szCs w:val="28"/>
        </w:rPr>
        <w:t xml:space="preserve"> Україна є державою-кандидатом, з якою ведуться переговори про вступ відповідно до переглянутої методології розширення 2020 р. (COM(2020) 57). Методологія групує 33 переговорні розділи у шість кластерів: 1) основи процесу вступу; 2) внутрішній ринок; 3) конкурентоспроможність та інклюзивне зростання; 4) зелений порядок денний та стала взаємопов’язаність; 5) ресурси, сільське господарство та згуртованість; 6) зовнішні відносини. Кластер «Основи» відкривається першим і закривається останнім, а прогрес у ньому визначає загальний темп переговорів. Для розділів 23 і 24 встановлено проміжні контрольні показники (interim benchmarks).</w:t>
      </w:r>
    </w:p>
    <w:p>
      <w:pPr>
        <w:spacing w:after="0" w:line="360"/>
        <w:ind w:firstLine="709"/>
        <w:jc w:val="both"/>
      </w:pPr>
      <w:r>
        <w:rPr>
          <w:rFonts w:ascii="Times New Roman" w:cs="Times New Roman" w:eastAsia="Times New Roman" w:hAnsi="Times New Roman"/>
          <w:sz w:val="28"/>
          <w:szCs w:val="28"/>
        </w:rPr>
        <w:t xml:space="preserve">Відкриття перших кластерів тривалий час блокувалося через позицію уряду Угорщини. Після парламентських виборів в Угорщині (квітень 2026 р.) та досягнення двосторонніх домовленостей щодо прав національних меншин вето було знято (4 червня 2026 р.), що уможливило відкриття кластерів 1 і 6 одночасно з Республікою Молдова. Цей епізод є показовим прикладом дії принципу одностайності в політиці розширення.</w:t>
      </w:r>
    </w:p>
    <w:p>
      <w:pPr>
        <w:spacing w:after="0" w:line="360"/>
        <w:ind w:firstLine="709"/>
        <w:jc w:val="both"/>
      </w:pPr>
      <w:r>
        <w:rPr>
          <w:rFonts w:ascii="Times New Roman" w:cs="Times New Roman" w:eastAsia="Times New Roman" w:hAnsi="Times New Roman"/>
          <w:b/>
          <w:bCs/>
          <w:sz w:val="28"/>
          <w:szCs w:val="28"/>
        </w:rPr>
        <w:t xml:space="preserve">Зобов’язання.</w:t>
      </w:r>
      <w:r>
        <w:rPr>
          <w:rFonts w:ascii="Times New Roman" w:cs="Times New Roman" w:eastAsia="Times New Roman" w:hAnsi="Times New Roman"/>
          <w:sz w:val="28"/>
          <w:szCs w:val="28"/>
        </w:rPr>
        <w:t xml:space="preserve"> Зобов’язання України можна згрупувати так:</w:t>
      </w:r>
    </w:p>
    <w:p>
      <w:pPr>
        <w:pStyle w:val="ListParagraph"/>
        <w:numPr>
          <w:ilvl w:val="0"/>
          <w:numId w:val="2"/>
        </w:numPr>
        <w:spacing w:after="0" w:line="360"/>
        <w:jc w:val="both"/>
      </w:pPr>
      <w:r>
        <w:rPr>
          <w:rFonts w:ascii="Times New Roman" w:cs="Times New Roman" w:eastAsia="Times New Roman" w:hAnsi="Times New Roman"/>
          <w:i/>
          <w:iCs/>
          <w:sz w:val="28"/>
          <w:szCs w:val="28"/>
        </w:rPr>
        <w:t xml:space="preserve">політичні</w:t>
      </w:r>
      <w:r>
        <w:rPr>
          <w:rFonts w:ascii="Times New Roman" w:cs="Times New Roman" w:eastAsia="Times New Roman" w:hAnsi="Times New Roman"/>
          <w:sz w:val="28"/>
          <w:szCs w:val="28"/>
        </w:rPr>
        <w:t xml:space="preserve"> — виконання копенгагенських критеріїв, реформи у сферах верховенства права, боротьби з корупцією, державного управління, захисту прав національних меншин;</w:t>
      </w:r>
    </w:p>
    <w:p>
      <w:pPr>
        <w:pStyle w:val="ListParagraph"/>
        <w:numPr>
          <w:ilvl w:val="0"/>
          <w:numId w:val="2"/>
        </w:numPr>
        <w:spacing w:after="0" w:line="360"/>
        <w:jc w:val="both"/>
      </w:pPr>
      <w:r>
        <w:rPr>
          <w:rFonts w:ascii="Times New Roman" w:cs="Times New Roman" w:eastAsia="Times New Roman" w:hAnsi="Times New Roman"/>
          <w:i/>
          <w:iCs/>
          <w:sz w:val="28"/>
          <w:szCs w:val="28"/>
        </w:rPr>
        <w:t xml:space="preserve">правові</w:t>
      </w:r>
      <w:r>
        <w:rPr>
          <w:rFonts w:ascii="Times New Roman" w:cs="Times New Roman" w:eastAsia="Times New Roman" w:hAnsi="Times New Roman"/>
          <w:sz w:val="28"/>
          <w:szCs w:val="28"/>
        </w:rPr>
        <w:t xml:space="preserve"> — наближення законодавства до acquis ЄС відповідно до додатків Угоди про асоціацію та результатів скринінгу;</w:t>
      </w:r>
    </w:p>
    <w:p>
      <w:pPr>
        <w:pStyle w:val="ListParagraph"/>
        <w:numPr>
          <w:ilvl w:val="0"/>
          <w:numId w:val="2"/>
        </w:numPr>
        <w:spacing w:after="0" w:line="360"/>
        <w:jc w:val="both"/>
      </w:pPr>
      <w:r>
        <w:rPr>
          <w:rFonts w:ascii="Times New Roman" w:cs="Times New Roman" w:eastAsia="Times New Roman" w:hAnsi="Times New Roman"/>
          <w:i/>
          <w:iCs/>
          <w:sz w:val="28"/>
          <w:szCs w:val="28"/>
        </w:rPr>
        <w:t xml:space="preserve">економічні</w:t>
      </w:r>
      <w:r>
        <w:rPr>
          <w:rFonts w:ascii="Times New Roman" w:cs="Times New Roman" w:eastAsia="Times New Roman" w:hAnsi="Times New Roman"/>
          <w:sz w:val="28"/>
          <w:szCs w:val="28"/>
        </w:rPr>
        <w:t xml:space="preserve"> — функціонуюча ринкова економіка, здатність витримувати конкурентний тиск у межах ЄС; поетапне приведення виробничих стандартів (зокрема у сфері добробуту тварин, пестицидів, ветеринарних препаратів) до вимог ЄС як умова розширення тарифних квот за оновленою ПВЗВТ;</w:t>
      </w:r>
    </w:p>
    <w:p>
      <w:pPr>
        <w:pStyle w:val="ListParagraph"/>
        <w:numPr>
          <w:ilvl w:val="0"/>
          <w:numId w:val="2"/>
        </w:numPr>
        <w:spacing w:after="0" w:line="360"/>
        <w:jc w:val="both"/>
      </w:pPr>
      <w:r>
        <w:rPr>
          <w:rFonts w:ascii="Times New Roman" w:cs="Times New Roman" w:eastAsia="Times New Roman" w:hAnsi="Times New Roman"/>
          <w:i/>
          <w:iCs/>
          <w:sz w:val="28"/>
          <w:szCs w:val="28"/>
        </w:rPr>
        <w:t xml:space="preserve">фінансово-управлінські</w:t>
      </w:r>
      <w:r>
        <w:rPr>
          <w:rFonts w:ascii="Times New Roman" w:cs="Times New Roman" w:eastAsia="Times New Roman" w:hAnsi="Times New Roman"/>
          <w:sz w:val="28"/>
          <w:szCs w:val="28"/>
        </w:rPr>
        <w:t xml:space="preserve"> — виконання реформ і індикаторів Плану для України (Ukraine Plan), що є умовою траншів у межах Ukraine Facility.</w:t>
      </w:r>
    </w:p>
    <w:p>
      <w:pPr>
        <w:spacing w:after="0" w:line="360"/>
        <w:ind w:firstLine="709"/>
        <w:jc w:val="both"/>
      </w:pPr>
      <w:r>
        <w:rPr>
          <w:rFonts w:ascii="Times New Roman" w:cs="Times New Roman" w:eastAsia="Times New Roman" w:hAnsi="Times New Roman"/>
          <w:b/>
          <w:bCs/>
          <w:sz w:val="28"/>
          <w:szCs w:val="28"/>
        </w:rPr>
        <w:t xml:space="preserve">Економічний вимір взаємодії.</w:t>
      </w:r>
      <w:r>
        <w:rPr>
          <w:rFonts w:ascii="Times New Roman" w:cs="Times New Roman" w:eastAsia="Times New Roman" w:hAnsi="Times New Roman"/>
          <w:sz w:val="28"/>
          <w:szCs w:val="28"/>
        </w:rPr>
        <w:t xml:space="preserve"> ЄС є головним торговельним партнером України: у 2025 р. обсяг товарообігу становив 68,2 млрд євро (експорт ЄС до України — 46,5 млрд євро, імпорт з України — 21,7 млрд євро), а частка ЄС у товарній торгівлі України — близько 65 %. Режим автономних торговельних заходів, що діяв з червня 2022 р. до 5 червня 2025 р., замінено оновленими умовами ПВЗВТ (чинні з 29 жовтня 2025 р.), які передбачають розширені тарифні квоти, захисне застереження та поетапне наближення до виробничих стандартів ЄС. Фінансову підтримку забезпечують Ukraine Facility обсягом до 50 млрд євро на 2024–2027 рр. (до 33 млрд євро позик і близько 17 млрд євро грантів; станом на кінець липня 2026 р. виплачено близько 29,5 млрд євро), а також позика ЄС на 2026–2027 рр. обсягом 90 млрд євро, перше надходження за якою Європейська Рада очікувала до кінця червня 2026 р.</w:t>
      </w:r>
    </w:p>
    <w:p>
      <w:pPr>
        <w:spacing w:after="0" w:line="360"/>
        <w:ind w:firstLine="709"/>
        <w:jc w:val="both"/>
      </w:pPr>
      <w:r>
        <w:rPr>
          <w:rFonts w:ascii="Times New Roman" w:cs="Times New Roman" w:eastAsia="Times New Roman" w:hAnsi="Times New Roman"/>
          <w:b/>
          <w:bCs/>
          <w:sz w:val="28"/>
          <w:szCs w:val="28"/>
        </w:rPr>
        <w:t xml:space="preserve">Перспективи.</w:t>
      </w:r>
      <w:r>
        <w:rPr>
          <w:rFonts w:ascii="Times New Roman" w:cs="Times New Roman" w:eastAsia="Times New Roman" w:hAnsi="Times New Roman"/>
          <w:sz w:val="28"/>
          <w:szCs w:val="28"/>
        </w:rPr>
        <w:t xml:space="preserve"> Перспективи членства України визначатимуться сукупністю факторів: (1) результатами реформ у кластері «Основи» (принцип «за заслугами»); (2) безпековою ситуацією та процесом повоєнного відновлення; (3) внутрішньою готовністю ЄС до розширення — реформою процедур ухвалення рішень, бюджету та спільних політик (передусім сільськогосподарської та політики згуртованості); (4) моделлю </w:t>
      </w:r>
      <w:r>
        <w:rPr>
          <w:rFonts w:ascii="Times New Roman" w:cs="Times New Roman" w:eastAsia="Times New Roman" w:hAnsi="Times New Roman"/>
          <w:i/>
          <w:iCs/>
          <w:sz w:val="28"/>
          <w:szCs w:val="28"/>
        </w:rPr>
        <w:t xml:space="preserve">поступової інтеграції</w:t>
      </w:r>
      <w:r>
        <w:rPr>
          <w:rFonts w:ascii="Times New Roman" w:cs="Times New Roman" w:eastAsia="Times New Roman" w:hAnsi="Times New Roman"/>
          <w:sz w:val="28"/>
          <w:szCs w:val="28"/>
        </w:rPr>
        <w:t xml:space="preserve">, за якої Україна ще до вступу долучається до окремих політик, ринків і програм ЄС. Саме участь у програмах ЄС (Horizon Europe, Erasmus+, Creative Europe, Single Market Programme, Digital Europe, EU4Health, Connecting Europe Facility тощо) є практичним механізмом такої поступової інтеграції і становить предмет змістового модуля 2.</w:t>
      </w:r>
    </w:p>
    <w:p>
      <w:pPr>
        <w:pStyle w:val="Heading1"/>
        <w:keepNext/>
        <w:spacing w:after="160" w:before="300" w:line="300"/>
        <w:jc w:val="center"/>
      </w:pPr>
      <w:r>
        <w:rPr>
          <w:rFonts w:ascii="Times New Roman" w:cs="Times New Roman" w:eastAsia="Times New Roman" w:hAnsi="Times New Roman"/>
          <w:b/>
          <w:bCs/>
          <w:color w:val="1F3864"/>
          <w:sz w:val="30"/>
          <w:szCs w:val="30"/>
        </w:rPr>
        <w:t xml:space="preserve">Висновки</w:t>
      </w:r>
    </w:p>
    <w:p>
      <w:pPr>
        <w:spacing w:after="0" w:line="360"/>
        <w:ind w:firstLine="709"/>
        <w:jc w:val="both"/>
      </w:pPr>
      <w:r>
        <w:rPr>
          <w:rFonts w:ascii="Times New Roman" w:cs="Times New Roman" w:eastAsia="Times New Roman" w:hAnsi="Times New Roman"/>
          <w:sz w:val="28"/>
          <w:szCs w:val="28"/>
        </w:rPr>
        <w:t xml:space="preserve">1. ЄС є політико-економічною системою </w:t>
      </w:r>
      <w:r>
        <w:rPr>
          <w:rFonts w:ascii="Times New Roman" w:cs="Times New Roman" w:eastAsia="Times New Roman" w:hAnsi="Times New Roman"/>
          <w:i/>
          <w:iCs/>
          <w:sz w:val="28"/>
          <w:szCs w:val="28"/>
        </w:rPr>
        <w:t xml:space="preserve">sui generis</w:t>
      </w:r>
      <w:r>
        <w:rPr>
          <w:rFonts w:ascii="Times New Roman" w:cs="Times New Roman" w:eastAsia="Times New Roman" w:hAnsi="Times New Roman"/>
          <w:sz w:val="28"/>
          <w:szCs w:val="28"/>
        </w:rPr>
        <w:t xml:space="preserve">, що поєднує наднаціональні та міжурядові механізми; його еволюція відбувалася через послідовне поглиблення (від ЄОВС до ЕВС) і розширення (від 6 до 27 держав).</w:t>
      </w:r>
    </w:p>
    <w:p>
      <w:pPr>
        <w:spacing w:after="0" w:line="360"/>
        <w:ind w:firstLine="709"/>
        <w:jc w:val="both"/>
      </w:pPr>
      <w:r>
        <w:rPr>
          <w:rFonts w:ascii="Times New Roman" w:cs="Times New Roman" w:eastAsia="Times New Roman" w:hAnsi="Times New Roman"/>
          <w:sz w:val="28"/>
          <w:szCs w:val="28"/>
        </w:rPr>
        <w:t xml:space="preserve">2. Економічна інтеграція в ЄС пройшла стадії ЗВТ, митного союзу, єдиного ринку та економічного і валютного союзу, однак повна економічна інтеграція не досягнута; сучасна інтеграція є диференційованою.</w:t>
      </w:r>
    </w:p>
    <w:p>
      <w:pPr>
        <w:spacing w:after="0" w:line="360"/>
        <w:ind w:firstLine="709"/>
        <w:jc w:val="both"/>
      </w:pPr>
      <w:r>
        <w:rPr>
          <w:rFonts w:ascii="Times New Roman" w:cs="Times New Roman" w:eastAsia="Times New Roman" w:hAnsi="Times New Roman"/>
          <w:sz w:val="28"/>
          <w:szCs w:val="28"/>
        </w:rPr>
        <w:t xml:space="preserve">3. Цінності (ст. 2 ДЄС) і принципи (наділення компетенцією, субсидіарність, пропорційність, щира співпраця) мають операційне значення: вони визначають умови членства, межі дій ЄС і доступ до коштів бюджету ЄС.</w:t>
      </w:r>
    </w:p>
    <w:p>
      <w:pPr>
        <w:spacing w:after="0" w:line="360"/>
        <w:ind w:firstLine="709"/>
        <w:jc w:val="both"/>
      </w:pPr>
      <w:r>
        <w:rPr>
          <w:rFonts w:ascii="Times New Roman" w:cs="Times New Roman" w:eastAsia="Times New Roman" w:hAnsi="Times New Roman"/>
          <w:sz w:val="28"/>
          <w:szCs w:val="28"/>
        </w:rPr>
        <w:t xml:space="preserve">4. ЄС є одним із ключових суб’єктів світової економіки (17 % світового експорту товарів і послуг, ВВП 18,8 трлн євро), що реалізує свій вплив через торговельну політику, регуляторні стандарти («брюссельський ефект») і фінансові інструменти.</w:t>
      </w:r>
    </w:p>
    <w:p>
      <w:pPr>
        <w:spacing w:after="0" w:line="360"/>
        <w:ind w:firstLine="709"/>
        <w:jc w:val="both"/>
      </w:pPr>
      <w:r>
        <w:rPr>
          <w:rFonts w:ascii="Times New Roman" w:cs="Times New Roman" w:eastAsia="Times New Roman" w:hAnsi="Times New Roman"/>
          <w:sz w:val="28"/>
          <w:szCs w:val="28"/>
        </w:rPr>
        <w:t xml:space="preserve">5. Інституційна спроможність ЄС у сферах сталого розвитку, конкурентоспроможності та економічної безпеки забезпечується поєднанням регуляторних, фінансових, координаційних і зовнішньополітичних інструментів, але обмежується одностайністю в чутливих сферах і обмеженим бюджетом.</w:t>
      </w:r>
    </w:p>
    <w:p>
      <w:pPr>
        <w:spacing w:after="0" w:line="360"/>
        <w:ind w:firstLine="709"/>
        <w:jc w:val="both"/>
      </w:pPr>
      <w:r>
        <w:rPr>
          <w:rFonts w:ascii="Times New Roman" w:cs="Times New Roman" w:eastAsia="Times New Roman" w:hAnsi="Times New Roman"/>
          <w:sz w:val="28"/>
          <w:szCs w:val="28"/>
        </w:rPr>
        <w:t xml:space="preserve">6. Україна перебуває на етапі переговорів про вступ (відкрито кластери 1 і 6), а її інтеграція має поступовий характер — через ПВЗВТ, секторальну інтеграцію та участь у програмах ЄС.</w:t>
      </w:r>
    </w:p>
    <w:p>
      <w:pPr>
        <w:pStyle w:val="Heading1"/>
        <w:keepNext/>
        <w:spacing w:after="160" w:before="300" w:line="300"/>
        <w:jc w:val="center"/>
      </w:pPr>
      <w:r>
        <w:rPr>
          <w:rFonts w:ascii="Times New Roman" w:cs="Times New Roman" w:eastAsia="Times New Roman" w:hAnsi="Times New Roman"/>
          <w:b/>
          <w:bCs/>
          <w:color w:val="1F3864"/>
          <w:sz w:val="30"/>
          <w:szCs w:val="30"/>
        </w:rPr>
        <w:t xml:space="preserve">Питання для самоконтролю</w:t>
      </w:r>
    </w:p>
    <w:p>
      <w:pPr>
        <w:spacing w:after="60" w:line="300"/>
        <w:ind w:left="567" w:hanging="567"/>
        <w:jc w:val="both"/>
      </w:pPr>
      <w:r>
        <w:rPr>
          <w:rFonts w:ascii="Times New Roman" w:cs="Times New Roman" w:eastAsia="Times New Roman" w:hAnsi="Times New Roman"/>
          <w:sz w:val="26"/>
          <w:szCs w:val="26"/>
        </w:rPr>
        <w:t xml:space="preserve">1. Які безпекові, економічні та геополітичні передумови зумовили початок європейської інтеграції після Другої світової війни?</w:t>
      </w:r>
    </w:p>
    <w:p>
      <w:pPr>
        <w:spacing w:after="60" w:line="300"/>
        <w:ind w:left="567" w:hanging="567"/>
        <w:jc w:val="both"/>
      </w:pPr>
      <w:r>
        <w:rPr>
          <w:rFonts w:ascii="Times New Roman" w:cs="Times New Roman" w:eastAsia="Times New Roman" w:hAnsi="Times New Roman"/>
          <w:sz w:val="26"/>
          <w:szCs w:val="26"/>
        </w:rPr>
        <w:t xml:space="preserve">2. Чим Декларація Шумана та ЄОВС принципово відрізнялися від класичних міжнародних організацій?</w:t>
      </w:r>
    </w:p>
    <w:p>
      <w:pPr>
        <w:spacing w:after="60" w:line="300"/>
        <w:ind w:left="567" w:hanging="567"/>
        <w:jc w:val="both"/>
      </w:pPr>
      <w:r>
        <w:rPr>
          <w:rFonts w:ascii="Times New Roman" w:cs="Times New Roman" w:eastAsia="Times New Roman" w:hAnsi="Times New Roman"/>
          <w:sz w:val="26"/>
          <w:szCs w:val="26"/>
        </w:rPr>
        <w:t xml:space="preserve">3. Охарактеризуйте форми економічної інтеграції за Б. Баласою. Якої стадії досяг ЄС і чому?</w:t>
      </w:r>
    </w:p>
    <w:p>
      <w:pPr>
        <w:spacing w:after="60" w:line="300"/>
        <w:ind w:left="567" w:hanging="567"/>
        <w:jc w:val="both"/>
      </w:pPr>
      <w:r>
        <w:rPr>
          <w:rFonts w:ascii="Times New Roman" w:cs="Times New Roman" w:eastAsia="Times New Roman" w:hAnsi="Times New Roman"/>
          <w:sz w:val="26"/>
          <w:szCs w:val="26"/>
        </w:rPr>
        <w:t xml:space="preserve">4. Порівняйте пояснювальні можливості неофункціоналізму та ліберального інтерговерменталізму на прикладі однієї з подій історії ЄС.</w:t>
      </w:r>
    </w:p>
    <w:p>
      <w:pPr>
        <w:spacing w:after="60" w:line="300"/>
        <w:ind w:left="567" w:hanging="567"/>
        <w:jc w:val="both"/>
      </w:pPr>
      <w:r>
        <w:rPr>
          <w:rFonts w:ascii="Times New Roman" w:cs="Times New Roman" w:eastAsia="Times New Roman" w:hAnsi="Times New Roman"/>
          <w:sz w:val="26"/>
          <w:szCs w:val="26"/>
        </w:rPr>
        <w:t xml:space="preserve">5. Що таке диференційована інтеграція? Наведіть приклади та оцініть її значення для держав-кандидатів.</w:t>
      </w:r>
    </w:p>
    <w:p>
      <w:pPr>
        <w:spacing w:after="60" w:line="300"/>
        <w:ind w:left="567" w:hanging="567"/>
        <w:jc w:val="both"/>
      </w:pPr>
      <w:r>
        <w:rPr>
          <w:rFonts w:ascii="Times New Roman" w:cs="Times New Roman" w:eastAsia="Times New Roman" w:hAnsi="Times New Roman"/>
          <w:sz w:val="26"/>
          <w:szCs w:val="26"/>
        </w:rPr>
        <w:t xml:space="preserve">6. Які цінності закріплено у ст. 2 ДЄС і яким чином вони пов’язані з умовами членства та доступом до бюджетних коштів ЄС?</w:t>
      </w:r>
    </w:p>
    <w:p>
      <w:pPr>
        <w:spacing w:after="60" w:line="300"/>
        <w:ind w:left="567" w:hanging="567"/>
        <w:jc w:val="both"/>
      </w:pPr>
      <w:r>
        <w:rPr>
          <w:rFonts w:ascii="Times New Roman" w:cs="Times New Roman" w:eastAsia="Times New Roman" w:hAnsi="Times New Roman"/>
          <w:sz w:val="26"/>
          <w:szCs w:val="26"/>
        </w:rPr>
        <w:t xml:space="preserve">7. Розкрийте зміст принципу наділення компетенцією та його значення для меж діяльності ЄС.</w:t>
      </w:r>
    </w:p>
    <w:p>
      <w:pPr>
        <w:spacing w:after="60" w:line="300"/>
        <w:ind w:left="567" w:hanging="567"/>
        <w:jc w:val="both"/>
      </w:pPr>
      <w:r>
        <w:rPr>
          <w:rFonts w:ascii="Times New Roman" w:cs="Times New Roman" w:eastAsia="Times New Roman" w:hAnsi="Times New Roman"/>
          <w:sz w:val="26"/>
          <w:szCs w:val="26"/>
        </w:rPr>
        <w:t xml:space="preserve">8. Охарактеризуйте ієрархію джерел права ЄС. Чим регламент відрізняється від директиви?</w:t>
      </w:r>
    </w:p>
    <w:p>
      <w:pPr>
        <w:spacing w:after="60" w:line="300"/>
        <w:ind w:left="567" w:hanging="567"/>
        <w:jc w:val="both"/>
      </w:pPr>
      <w:r>
        <w:rPr>
          <w:rFonts w:ascii="Times New Roman" w:cs="Times New Roman" w:eastAsia="Times New Roman" w:hAnsi="Times New Roman"/>
          <w:sz w:val="26"/>
          <w:szCs w:val="26"/>
        </w:rPr>
        <w:t xml:space="preserve">9. На яких правових та економічних підставах ґрунтується суб’єктність ЄС у міжнародних економічних відносинах?</w:t>
      </w:r>
    </w:p>
    <w:p>
      <w:pPr>
        <w:spacing w:after="60" w:line="300"/>
        <w:ind w:left="567" w:hanging="567"/>
        <w:jc w:val="both"/>
      </w:pPr>
      <w:r>
        <w:rPr>
          <w:rFonts w:ascii="Times New Roman" w:cs="Times New Roman" w:eastAsia="Times New Roman" w:hAnsi="Times New Roman"/>
          <w:sz w:val="26"/>
          <w:szCs w:val="26"/>
        </w:rPr>
        <w:t xml:space="preserve">10. Розкрийте зміст концептів «нормативна сила Європи», «ринкова сила Європи» та «брюссельський ефект».</w:t>
      </w:r>
    </w:p>
    <w:p>
      <w:pPr>
        <w:spacing w:after="60" w:line="300"/>
        <w:ind w:left="567" w:hanging="567"/>
        <w:jc w:val="both"/>
      </w:pPr>
      <w:r>
        <w:rPr>
          <w:rFonts w:ascii="Times New Roman" w:cs="Times New Roman" w:eastAsia="Times New Roman" w:hAnsi="Times New Roman"/>
          <w:sz w:val="26"/>
          <w:szCs w:val="26"/>
        </w:rPr>
        <w:t xml:space="preserve">11. Охарактеризуйте чотири свободи єдиного ринку та механізми їх забезпечення.</w:t>
      </w:r>
    </w:p>
    <w:p>
      <w:pPr>
        <w:spacing w:after="60" w:line="300"/>
        <w:ind w:left="567" w:hanging="567"/>
        <w:jc w:val="both"/>
      </w:pPr>
      <w:r>
        <w:rPr>
          <w:rFonts w:ascii="Times New Roman" w:cs="Times New Roman" w:eastAsia="Times New Roman" w:hAnsi="Times New Roman"/>
          <w:sz w:val="26"/>
          <w:szCs w:val="26"/>
        </w:rPr>
        <w:t xml:space="preserve">12. Що означає концепт «п’ятої свободи» і як він пов’язаний із програмами ЄС у сфері освіти та науки?</w:t>
      </w:r>
    </w:p>
    <w:p>
      <w:pPr>
        <w:spacing w:after="60" w:line="300"/>
        <w:ind w:left="567" w:hanging="567"/>
        <w:jc w:val="both"/>
      </w:pPr>
      <w:r>
        <w:rPr>
          <w:rFonts w:ascii="Times New Roman" w:cs="Times New Roman" w:eastAsia="Times New Roman" w:hAnsi="Times New Roman"/>
          <w:sz w:val="26"/>
          <w:szCs w:val="26"/>
        </w:rPr>
        <w:t xml:space="preserve">13. Які інструменти використовує ЄС для забезпечення економічної безпеки?</w:t>
      </w:r>
    </w:p>
    <w:p>
      <w:pPr>
        <w:spacing w:after="60" w:line="300"/>
        <w:ind w:left="567" w:hanging="567"/>
        <w:jc w:val="both"/>
      </w:pPr>
      <w:r>
        <w:rPr>
          <w:rFonts w:ascii="Times New Roman" w:cs="Times New Roman" w:eastAsia="Times New Roman" w:hAnsi="Times New Roman"/>
          <w:sz w:val="26"/>
          <w:szCs w:val="26"/>
        </w:rPr>
        <w:t xml:space="preserve">14. Назвіть основні етапи європейської інтеграції України та поясніть значення відкриття переговорних кластерів у 2026 р.</w:t>
      </w:r>
    </w:p>
    <w:p>
      <w:pPr>
        <w:spacing w:after="60" w:line="300"/>
        <w:ind w:left="567" w:hanging="567"/>
        <w:jc w:val="both"/>
      </w:pPr>
      <w:r>
        <w:rPr>
          <w:rFonts w:ascii="Times New Roman" w:cs="Times New Roman" w:eastAsia="Times New Roman" w:hAnsi="Times New Roman"/>
          <w:sz w:val="26"/>
          <w:szCs w:val="26"/>
        </w:rPr>
        <w:t xml:space="preserve">15. Які фактори визначатимуть перспективи членства України в ЄС?</w:t>
      </w:r>
    </w:p>
    <w:p>
      <w:pPr>
        <w:pStyle w:val="Heading1"/>
        <w:keepNext/>
        <w:spacing w:after="160" w:before="300" w:line="300"/>
        <w:jc w:val="center"/>
      </w:pPr>
      <w:r>
        <w:rPr>
          <w:rFonts w:ascii="Times New Roman" w:cs="Times New Roman" w:eastAsia="Times New Roman" w:hAnsi="Times New Roman"/>
          <w:b/>
          <w:bCs/>
          <w:color w:val="1F3864"/>
          <w:sz w:val="30"/>
          <w:szCs w:val="30"/>
        </w:rPr>
        <w:t xml:space="preserve">Глосарій</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85"/>
        <w:gridCol w:w="6653"/>
      </w:tblGrid>
      <w:tr>
        <w:trPr>
          <w:tblHeader/>
        </w:trPr>
        <w:tc>
          <w:tcPr>
            <w:tcW w:type="dxa" w:w="2985"/>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Термін</w:t>
            </w:r>
          </w:p>
        </w:tc>
        <w:tc>
          <w:tcPr>
            <w:tcW w:type="dxa" w:w="6653"/>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Визначення</w:t>
            </w:r>
          </w:p>
        </w:tc>
      </w:tr>
      <w:tr>
        <w:trPr>
          <w:tblHeader w:val="false"/>
        </w:trPr>
        <w:tc>
          <w:tcPr>
            <w:tcW w:type="dxa" w:w="298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Acquis ЄС</w:t>
            </w:r>
          </w:p>
        </w:tc>
        <w:tc>
          <w:tcPr>
            <w:tcW w:type="dxa" w:w="665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Сукупність спільних прав і зобов’язань, обов’язкових для всіх держав-членів: договори, законодавство, судова практика, декларації та міжнародні угоди</w:t>
            </w:r>
          </w:p>
        </w:tc>
      </w:tr>
      <w:tr>
        <w:trPr>
          <w:tblHeader w:val="false"/>
        </w:trPr>
        <w:tc>
          <w:tcPr>
            <w:tcW w:type="dxa" w:w="298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Наднаціональність</w:t>
            </w:r>
          </w:p>
        </w:tc>
        <w:tc>
          <w:tcPr>
            <w:tcW w:type="dxa" w:w="665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Здатність інституції ухвалювати рішення, обов’язкові для держав, у тому числі без їхньої згоди</w:t>
            </w:r>
          </w:p>
        </w:tc>
      </w:tr>
      <w:tr>
        <w:trPr>
          <w:tblHeader w:val="false"/>
        </w:trPr>
        <w:tc>
          <w:tcPr>
            <w:tcW w:type="dxa" w:w="298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Принцип наділення компетенцією</w:t>
            </w:r>
          </w:p>
        </w:tc>
        <w:tc>
          <w:tcPr>
            <w:tcW w:type="dxa" w:w="665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ЄС діє лише в межах компетенцій, наданих йому Договорами</w:t>
            </w:r>
          </w:p>
        </w:tc>
      </w:tr>
      <w:tr>
        <w:trPr>
          <w:tblHeader w:val="false"/>
        </w:trPr>
        <w:tc>
          <w:tcPr>
            <w:tcW w:type="dxa" w:w="298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Єдиний (внутрішній) ринок</w:t>
            </w:r>
          </w:p>
        </w:tc>
        <w:tc>
          <w:tcPr>
            <w:tcW w:type="dxa" w:w="665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Простір без внутрішніх кордонів із вільним рухом товарів, осіб, послуг і капіталу</w:t>
            </w:r>
          </w:p>
        </w:tc>
      </w:tr>
      <w:tr>
        <w:trPr>
          <w:tblHeader w:val="false"/>
        </w:trPr>
        <w:tc>
          <w:tcPr>
            <w:tcW w:type="dxa" w:w="298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Диференційована інтеграція</w:t>
            </w:r>
          </w:p>
        </w:tc>
        <w:tc>
          <w:tcPr>
            <w:tcW w:type="dxa" w:w="665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Модель, за якої держави-члени беруть участь у спільних політиках з різним ступенем залученості</w:t>
            </w:r>
          </w:p>
        </w:tc>
      </w:tr>
      <w:tr>
        <w:trPr>
          <w:tblHeader w:val="false"/>
        </w:trPr>
        <w:tc>
          <w:tcPr>
            <w:tcW w:type="dxa" w:w="298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Копенгагенські критерії</w:t>
            </w:r>
          </w:p>
        </w:tc>
        <w:tc>
          <w:tcPr>
            <w:tcW w:type="dxa" w:w="665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Політичні, економічні та правові (здатність взяти на себе зобов’язання членства) критерії вступу до ЄС, визначені Європейською Радою 1993 р.</w:t>
            </w:r>
          </w:p>
        </w:tc>
      </w:tr>
      <w:tr>
        <w:trPr>
          <w:tblHeader w:val="false"/>
        </w:trPr>
        <w:tc>
          <w:tcPr>
            <w:tcW w:type="dxa" w:w="298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Переговорний кластер</w:t>
            </w:r>
          </w:p>
        </w:tc>
        <w:tc>
          <w:tcPr>
            <w:tcW w:type="dxa" w:w="665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Група тематично пов’язаних переговорних розділів, що відкриваються одночасно (методологія 2020 р.)</w:t>
            </w:r>
          </w:p>
        </w:tc>
      </w:tr>
      <w:tr>
        <w:trPr>
          <w:tblHeader w:val="false"/>
        </w:trPr>
        <w:tc>
          <w:tcPr>
            <w:tcW w:type="dxa" w:w="298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ПВЗВТ</w:t>
            </w:r>
          </w:p>
        </w:tc>
        <w:tc>
          <w:tcPr>
            <w:tcW w:type="dxa" w:w="665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Поглиблена і всеосяжна зона вільної торгівлі — економічна складова Угоди про асоціацію</w:t>
            </w:r>
          </w:p>
        </w:tc>
      </w:tr>
      <w:tr>
        <w:trPr>
          <w:tblHeader w:val="false"/>
        </w:trPr>
        <w:tc>
          <w:tcPr>
            <w:tcW w:type="dxa" w:w="298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Брюссельський ефект</w:t>
            </w:r>
          </w:p>
        </w:tc>
        <w:tc>
          <w:tcPr>
            <w:tcW w:type="dxa" w:w="665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Поширення регуляторних стандартів ЄС на глобальні ринки через ринкові механізми</w:t>
            </w:r>
          </w:p>
        </w:tc>
      </w:tr>
    </w:tbl>
    <w:p>
      <w:pPr>
        <w:spacing w:after="60" w:before="0" w:line="240"/>
      </w:pPr>
    </w:p>
    <w:p>
      <w:pPr>
        <w:pStyle w:val="Heading1"/>
        <w:keepNext/>
        <w:spacing w:after="160" w:before="300" w:line="300"/>
        <w:jc w:val="center"/>
      </w:pPr>
      <w:r>
        <w:rPr>
          <w:rFonts w:ascii="Times New Roman" w:cs="Times New Roman" w:eastAsia="Times New Roman" w:hAnsi="Times New Roman"/>
          <w:b/>
          <w:bCs/>
          <w:color w:val="1F3864"/>
          <w:sz w:val="30"/>
          <w:szCs w:val="30"/>
        </w:rPr>
        <w:t xml:space="preserve">Список використаних джерел</w:t>
      </w:r>
    </w:p>
    <w:p>
      <w:pPr>
        <w:spacing w:after="60" w:line="300"/>
        <w:ind w:left="567" w:hanging="567"/>
        <w:jc w:val="both"/>
      </w:pPr>
      <w:r>
        <w:rPr>
          <w:rFonts w:ascii="Times New Roman" w:cs="Times New Roman" w:eastAsia="Times New Roman" w:hAnsi="Times New Roman"/>
          <w:sz w:val="26"/>
          <w:szCs w:val="26"/>
        </w:rPr>
        <w:t xml:space="preserve">1. Основи зовнішньої політики Європейського Союзу : навч. посіб. / Н. А. Вінникова та ін. ; за заг. ред. Л. В. Новікової. Харків : ХНУ імені В. Н. Каразіна, 2022. 144 с.</w:t>
      </w:r>
    </w:p>
    <w:p>
      <w:pPr>
        <w:spacing w:after="60" w:line="300"/>
        <w:ind w:left="567" w:hanging="567"/>
        <w:jc w:val="both"/>
      </w:pPr>
      <w:r>
        <w:rPr>
          <w:rFonts w:ascii="Times New Roman" w:cs="Times New Roman" w:eastAsia="Times New Roman" w:hAnsi="Times New Roman"/>
          <w:sz w:val="26"/>
          <w:szCs w:val="26"/>
        </w:rPr>
        <w:t xml:space="preserve">2. Європейська інтеграція : навч.-метод. посіб. / уклад. Н. В. Кузьминчук, Т. П. Шуба, В. І. Ляшевська. Харків : ХНУ імені В. Н. Каразіна, 2023. 48 с.</w:t>
      </w:r>
    </w:p>
    <w:p>
      <w:pPr>
        <w:spacing w:after="60" w:line="300"/>
        <w:ind w:left="567" w:hanging="567"/>
        <w:jc w:val="both"/>
      </w:pPr>
      <w:r>
        <w:rPr>
          <w:rFonts w:ascii="Times New Roman" w:cs="Times New Roman" w:eastAsia="Times New Roman" w:hAnsi="Times New Roman"/>
          <w:sz w:val="26"/>
          <w:szCs w:val="26"/>
        </w:rPr>
        <w:t xml:space="preserve">3. Карлін М. І., Івашко О. А. Фінансові системи країн Європейського Союзу : підручник. Луцьк : Вежа-Друк, 2022. 384 с.</w:t>
      </w:r>
    </w:p>
    <w:p>
      <w:pPr>
        <w:spacing w:after="60" w:line="300"/>
        <w:ind w:left="567" w:hanging="567"/>
        <w:jc w:val="both"/>
      </w:pPr>
      <w:r>
        <w:rPr>
          <w:rFonts w:ascii="Times New Roman" w:cs="Times New Roman" w:eastAsia="Times New Roman" w:hAnsi="Times New Roman"/>
          <w:sz w:val="26"/>
          <w:szCs w:val="26"/>
        </w:rPr>
        <w:t xml:space="preserve">4. Абрамова І. В. Євроінтеграційні імперативи трансформації фінансового забезпечення сталого розвитку сільських територіальних громад : монографія. Житомир : БукДрук, 2024. 290 с. DOI: https://doi.org/10.5281/zenodo.15663514</w:t>
      </w:r>
    </w:p>
    <w:p>
      <w:pPr>
        <w:spacing w:after="60" w:line="300"/>
        <w:ind w:left="567" w:hanging="567"/>
        <w:jc w:val="both"/>
      </w:pPr>
      <w:r>
        <w:rPr>
          <w:rFonts w:ascii="Times New Roman" w:cs="Times New Roman" w:eastAsia="Times New Roman" w:hAnsi="Times New Roman"/>
          <w:sz w:val="26"/>
          <w:szCs w:val="26"/>
        </w:rPr>
        <w:t xml:space="preserve">5. Balassa B. The Theory of Economic Integration. Homewood, IL : Richard D. Irwin, 1961. 304 p.</w:t>
      </w:r>
    </w:p>
    <w:p>
      <w:pPr>
        <w:spacing w:after="60" w:line="300"/>
        <w:ind w:left="567" w:hanging="567"/>
        <w:jc w:val="both"/>
      </w:pPr>
      <w:r>
        <w:rPr>
          <w:rFonts w:ascii="Times New Roman" w:cs="Times New Roman" w:eastAsia="Times New Roman" w:hAnsi="Times New Roman"/>
          <w:sz w:val="26"/>
          <w:szCs w:val="26"/>
        </w:rPr>
        <w:t xml:space="preserve">6. Haas E. B. The Uniting of Europe: Political, Social, and Economic Forces, 1950–1957. Stanford : Stanford University Press, 1958. 552 p.</w:t>
      </w:r>
    </w:p>
    <w:p>
      <w:pPr>
        <w:spacing w:after="60" w:line="300"/>
        <w:ind w:left="567" w:hanging="567"/>
        <w:jc w:val="both"/>
      </w:pPr>
      <w:r>
        <w:rPr>
          <w:rFonts w:ascii="Times New Roman" w:cs="Times New Roman" w:eastAsia="Times New Roman" w:hAnsi="Times New Roman"/>
          <w:sz w:val="26"/>
          <w:szCs w:val="26"/>
        </w:rPr>
        <w:t xml:space="preserve">7. Hoffmann S. Obstinate or Obsolete? The Fate of the Nation-State and the Case of Western Europe. </w:t>
      </w:r>
      <w:r>
        <w:rPr>
          <w:rFonts w:ascii="Times New Roman" w:cs="Times New Roman" w:eastAsia="Times New Roman" w:hAnsi="Times New Roman"/>
          <w:i/>
          <w:iCs/>
          <w:sz w:val="26"/>
          <w:szCs w:val="26"/>
        </w:rPr>
        <w:t xml:space="preserve">Daedalus</w:t>
      </w:r>
      <w:r>
        <w:rPr>
          <w:rFonts w:ascii="Times New Roman" w:cs="Times New Roman" w:eastAsia="Times New Roman" w:hAnsi="Times New Roman"/>
          <w:sz w:val="26"/>
          <w:szCs w:val="26"/>
        </w:rPr>
        <w:t xml:space="preserve">. 1966. Vol. 95, No. 3. P. 862–915.</w:t>
      </w:r>
    </w:p>
    <w:p>
      <w:pPr>
        <w:spacing w:after="60" w:line="300"/>
        <w:ind w:left="567" w:hanging="567"/>
        <w:jc w:val="both"/>
      </w:pPr>
      <w:r>
        <w:rPr>
          <w:rFonts w:ascii="Times New Roman" w:cs="Times New Roman" w:eastAsia="Times New Roman" w:hAnsi="Times New Roman"/>
          <w:sz w:val="26"/>
          <w:szCs w:val="26"/>
        </w:rPr>
        <w:t xml:space="preserve">8. Moravcsik A. The Choice for Europe: Social Purpose and State Power from Messina to Maastricht. Ithaca : Cornell University Press, 1998. 514 p.</w:t>
      </w:r>
    </w:p>
    <w:p>
      <w:pPr>
        <w:spacing w:after="60" w:line="300"/>
        <w:ind w:left="567" w:hanging="567"/>
        <w:jc w:val="both"/>
      </w:pPr>
      <w:r>
        <w:rPr>
          <w:rFonts w:ascii="Times New Roman" w:cs="Times New Roman" w:eastAsia="Times New Roman" w:hAnsi="Times New Roman"/>
          <w:sz w:val="26"/>
          <w:szCs w:val="26"/>
        </w:rPr>
        <w:t xml:space="preserve">9. Грицишен Д. О., Поплавський П. Г. Аналіз бюджету ЄС для фінансування досліджень та інновацій. </w:t>
      </w:r>
      <w:r>
        <w:rPr>
          <w:rFonts w:ascii="Times New Roman" w:cs="Times New Roman" w:eastAsia="Times New Roman" w:hAnsi="Times New Roman"/>
          <w:i/>
          <w:iCs/>
          <w:sz w:val="26"/>
          <w:szCs w:val="26"/>
        </w:rPr>
        <w:t xml:space="preserve">Таврійський науковий вісник. Серія: Економіка</w:t>
      </w:r>
      <w:r>
        <w:rPr>
          <w:rFonts w:ascii="Times New Roman" w:cs="Times New Roman" w:eastAsia="Times New Roman" w:hAnsi="Times New Roman"/>
          <w:sz w:val="26"/>
          <w:szCs w:val="26"/>
        </w:rPr>
        <w:t xml:space="preserve">. 2024. № 20. С. 79–85. DOI: https://doi.org/10.32782/2708-0366/2024.20.9</w:t>
      </w:r>
    </w:p>
    <w:p>
      <w:pPr>
        <w:spacing w:after="60" w:line="300"/>
        <w:ind w:left="567" w:hanging="567"/>
        <w:jc w:val="both"/>
      </w:pPr>
      <w:r>
        <w:rPr>
          <w:rFonts w:ascii="Times New Roman" w:cs="Times New Roman" w:eastAsia="Times New Roman" w:hAnsi="Times New Roman"/>
          <w:sz w:val="26"/>
          <w:szCs w:val="26"/>
        </w:rPr>
        <w:t xml:space="preserve">10. Hooghe L., Marks G. Multi-Level Governance and European Integration. Lanham : Rowman &amp; Littlefield, 2001. 251 p.</w:t>
      </w:r>
    </w:p>
    <w:p>
      <w:pPr>
        <w:spacing w:after="60" w:line="300"/>
        <w:ind w:left="567" w:hanging="567"/>
        <w:jc w:val="both"/>
      </w:pPr>
      <w:r>
        <w:rPr>
          <w:rFonts w:ascii="Times New Roman" w:cs="Times New Roman" w:eastAsia="Times New Roman" w:hAnsi="Times New Roman"/>
          <w:sz w:val="26"/>
          <w:szCs w:val="26"/>
        </w:rPr>
        <w:t xml:space="preserve">11. Hooghe L., Marks G. A Postfunctionalist Theory of European Integration: From Permissive Consensus to Constraining Dissensus. </w:t>
      </w:r>
      <w:r>
        <w:rPr>
          <w:rFonts w:ascii="Times New Roman" w:cs="Times New Roman" w:eastAsia="Times New Roman" w:hAnsi="Times New Roman"/>
          <w:i/>
          <w:iCs/>
          <w:sz w:val="26"/>
          <w:szCs w:val="26"/>
        </w:rPr>
        <w:t xml:space="preserve">British Journal of Political Science</w:t>
      </w:r>
      <w:r>
        <w:rPr>
          <w:rFonts w:ascii="Times New Roman" w:cs="Times New Roman" w:eastAsia="Times New Roman" w:hAnsi="Times New Roman"/>
          <w:sz w:val="26"/>
          <w:szCs w:val="26"/>
        </w:rPr>
        <w:t xml:space="preserve">. 2009. Vol. 39, No. 1. P. 1–23.</w:t>
      </w:r>
    </w:p>
    <w:p>
      <w:pPr>
        <w:spacing w:after="60" w:line="300"/>
        <w:ind w:left="567" w:hanging="567"/>
        <w:jc w:val="both"/>
      </w:pPr>
      <w:r>
        <w:rPr>
          <w:rFonts w:ascii="Times New Roman" w:cs="Times New Roman" w:eastAsia="Times New Roman" w:hAnsi="Times New Roman"/>
          <w:sz w:val="26"/>
          <w:szCs w:val="26"/>
        </w:rPr>
        <w:t xml:space="preserve">12. Grytsyshen D., Abramova I., Islamli J. Institutional and legal framework for the functioning of the EU tax systems. </w:t>
      </w:r>
      <w:r>
        <w:rPr>
          <w:rFonts w:ascii="Times New Roman" w:cs="Times New Roman" w:eastAsia="Times New Roman" w:hAnsi="Times New Roman"/>
          <w:i/>
          <w:iCs/>
          <w:sz w:val="26"/>
          <w:szCs w:val="26"/>
        </w:rPr>
        <w:t xml:space="preserve">Public Policy and Accounting</w:t>
      </w:r>
      <w:r>
        <w:rPr>
          <w:rFonts w:ascii="Times New Roman" w:cs="Times New Roman" w:eastAsia="Times New Roman" w:hAnsi="Times New Roman"/>
          <w:sz w:val="26"/>
          <w:szCs w:val="26"/>
        </w:rPr>
        <w:t xml:space="preserve">. 2025. No. 1(11). P. 3–9. DOI: https://doi.org/10.26642/ppa-2025-1(11)-3-9</w:t>
      </w:r>
    </w:p>
    <w:p>
      <w:pPr>
        <w:spacing w:after="60" w:line="300"/>
        <w:ind w:left="567" w:hanging="567"/>
        <w:jc w:val="both"/>
      </w:pPr>
      <w:r>
        <w:rPr>
          <w:rFonts w:ascii="Times New Roman" w:cs="Times New Roman" w:eastAsia="Times New Roman" w:hAnsi="Times New Roman"/>
          <w:sz w:val="26"/>
          <w:szCs w:val="26"/>
        </w:rPr>
        <w:t xml:space="preserve">13. Nugent N. The Government and Politics of the European Union. 8th ed. London : Palgrave, 2017. 520 p.</w:t>
      </w:r>
    </w:p>
    <w:p>
      <w:pPr>
        <w:spacing w:after="60" w:line="300"/>
        <w:ind w:left="567" w:hanging="567"/>
        <w:jc w:val="both"/>
      </w:pPr>
      <w:r>
        <w:rPr>
          <w:rFonts w:ascii="Times New Roman" w:cs="Times New Roman" w:eastAsia="Times New Roman" w:hAnsi="Times New Roman"/>
          <w:sz w:val="26"/>
          <w:szCs w:val="26"/>
        </w:rPr>
        <w:t xml:space="preserve">14. Hix S., Høyland B. The Political System of the European Union. 3rd ed. Basingstoke : Palgrave Macmillan, 2011. 408 p.</w:t>
      </w:r>
    </w:p>
    <w:p>
      <w:pPr>
        <w:spacing w:after="60" w:line="300"/>
        <w:ind w:left="567" w:hanging="567"/>
        <w:jc w:val="both"/>
      </w:pPr>
      <w:r>
        <w:rPr>
          <w:rFonts w:ascii="Times New Roman" w:cs="Times New Roman" w:eastAsia="Times New Roman" w:hAnsi="Times New Roman"/>
          <w:sz w:val="26"/>
          <w:szCs w:val="26"/>
        </w:rPr>
        <w:t xml:space="preserve">15. Bickerton C. J., Hodson D., Puetter U. The New Intergovernmentalism: European Integration in the Post-Maastricht Era. </w:t>
      </w:r>
      <w:r>
        <w:rPr>
          <w:rFonts w:ascii="Times New Roman" w:cs="Times New Roman" w:eastAsia="Times New Roman" w:hAnsi="Times New Roman"/>
          <w:i/>
          <w:iCs/>
          <w:sz w:val="26"/>
          <w:szCs w:val="26"/>
        </w:rPr>
        <w:t xml:space="preserve">Journal of Common Market Studies</w:t>
      </w:r>
      <w:r>
        <w:rPr>
          <w:rFonts w:ascii="Times New Roman" w:cs="Times New Roman" w:eastAsia="Times New Roman" w:hAnsi="Times New Roman"/>
          <w:sz w:val="26"/>
          <w:szCs w:val="26"/>
        </w:rPr>
        <w:t xml:space="preserve">. 2015. Vol. 53, No. 4. P. 703–722.</w:t>
      </w:r>
    </w:p>
    <w:p>
      <w:pPr>
        <w:spacing w:after="60" w:line="300"/>
        <w:ind w:left="567" w:hanging="567"/>
        <w:jc w:val="both"/>
      </w:pPr>
      <w:r>
        <w:rPr>
          <w:rFonts w:ascii="Times New Roman" w:cs="Times New Roman" w:eastAsia="Times New Roman" w:hAnsi="Times New Roman"/>
          <w:sz w:val="26"/>
          <w:szCs w:val="26"/>
        </w:rPr>
        <w:t xml:space="preserve">16. Consolidated version of the Treaty on European Union. </w:t>
      </w:r>
      <w:r>
        <w:rPr>
          <w:rFonts w:ascii="Times New Roman" w:cs="Times New Roman" w:eastAsia="Times New Roman" w:hAnsi="Times New Roman"/>
          <w:i/>
          <w:iCs/>
          <w:sz w:val="26"/>
          <w:szCs w:val="26"/>
        </w:rPr>
        <w:t xml:space="preserve">Official Journal of the European Union</w:t>
      </w:r>
      <w:r>
        <w:rPr>
          <w:rFonts w:ascii="Times New Roman" w:cs="Times New Roman" w:eastAsia="Times New Roman" w:hAnsi="Times New Roman"/>
          <w:sz w:val="26"/>
          <w:szCs w:val="26"/>
        </w:rPr>
        <w:t xml:space="preserve">. C 202. 07.06.2016. P. 13–46.</w:t>
      </w:r>
    </w:p>
    <w:p>
      <w:pPr>
        <w:spacing w:after="60" w:line="300"/>
        <w:ind w:left="567" w:hanging="567"/>
        <w:jc w:val="both"/>
      </w:pPr>
      <w:r>
        <w:rPr>
          <w:rFonts w:ascii="Times New Roman" w:cs="Times New Roman" w:eastAsia="Times New Roman" w:hAnsi="Times New Roman"/>
          <w:sz w:val="26"/>
          <w:szCs w:val="26"/>
        </w:rPr>
        <w:t xml:space="preserve">17. Consolidated version of the Treaty on the Functioning of the European Union. </w:t>
      </w:r>
      <w:r>
        <w:rPr>
          <w:rFonts w:ascii="Times New Roman" w:cs="Times New Roman" w:eastAsia="Times New Roman" w:hAnsi="Times New Roman"/>
          <w:i/>
          <w:iCs/>
          <w:sz w:val="26"/>
          <w:szCs w:val="26"/>
        </w:rPr>
        <w:t xml:space="preserve">Official Journal of the European Union</w:t>
      </w:r>
      <w:r>
        <w:rPr>
          <w:rFonts w:ascii="Times New Roman" w:cs="Times New Roman" w:eastAsia="Times New Roman" w:hAnsi="Times New Roman"/>
          <w:sz w:val="26"/>
          <w:szCs w:val="26"/>
        </w:rPr>
        <w:t xml:space="preserve">. C 202. 07.06.2016. P. 47–199.</w:t>
      </w:r>
    </w:p>
    <w:p>
      <w:pPr>
        <w:spacing w:after="60" w:line="300"/>
        <w:ind w:left="567" w:hanging="567"/>
        <w:jc w:val="both"/>
      </w:pPr>
      <w:r>
        <w:rPr>
          <w:rFonts w:ascii="Times New Roman" w:cs="Times New Roman" w:eastAsia="Times New Roman" w:hAnsi="Times New Roman"/>
          <w:sz w:val="26"/>
          <w:szCs w:val="26"/>
        </w:rPr>
        <w:t xml:space="preserve">18. Craig P., de Búrca G. EU Law: Text, Cases, and Materials. 7th ed. Oxford : Oxford University Press, 2020. 1376 p.</w:t>
      </w:r>
    </w:p>
    <w:p>
      <w:pPr>
        <w:spacing w:after="60" w:line="300"/>
        <w:ind w:left="567" w:hanging="567"/>
        <w:jc w:val="both"/>
      </w:pPr>
      <w:r>
        <w:rPr>
          <w:rFonts w:ascii="Times New Roman" w:cs="Times New Roman" w:eastAsia="Times New Roman" w:hAnsi="Times New Roman"/>
          <w:sz w:val="26"/>
          <w:szCs w:val="26"/>
        </w:rPr>
        <w:t xml:space="preserve">19. Letta E. Much More Than a Market: Speed, Security, Solidarity. Brussels, April 2024. URL: https://www.consilium.europa.eu/media/ny3j24sm/much-more-than-a-market-report-by-enrico-letta.pdf</w:t>
      </w:r>
    </w:p>
    <w:p>
      <w:pPr>
        <w:spacing w:after="60" w:line="300"/>
        <w:ind w:left="567" w:hanging="567"/>
        <w:jc w:val="both"/>
      </w:pPr>
      <w:r>
        <w:rPr>
          <w:rFonts w:ascii="Times New Roman" w:cs="Times New Roman" w:eastAsia="Times New Roman" w:hAnsi="Times New Roman"/>
          <w:sz w:val="26"/>
          <w:szCs w:val="26"/>
        </w:rPr>
        <w:t xml:space="preserve">20. Draghi M. The Future of European Competitiveness. Brussels : European Commission, September 2024. URL: https://commission.europa.eu/topics/eu-competitiveness/draghi-report_en</w:t>
      </w:r>
    </w:p>
    <w:p>
      <w:pPr>
        <w:spacing w:after="60" w:line="300"/>
        <w:ind w:left="567" w:hanging="567"/>
        <w:jc w:val="both"/>
      </w:pPr>
      <w:r>
        <w:rPr>
          <w:rFonts w:ascii="Times New Roman" w:cs="Times New Roman" w:eastAsia="Times New Roman" w:hAnsi="Times New Roman"/>
          <w:sz w:val="26"/>
          <w:szCs w:val="26"/>
        </w:rPr>
        <w:t xml:space="preserve">21. Tinbergen J. International Economic Integration. Amsterdam : Elsevier, 1954. 142 p.</w:t>
      </w:r>
    </w:p>
    <w:p>
      <w:pPr>
        <w:spacing w:after="60" w:line="300"/>
        <w:ind w:left="567" w:hanging="567"/>
        <w:jc w:val="both"/>
      </w:pPr>
      <w:r>
        <w:rPr>
          <w:rFonts w:ascii="Times New Roman" w:cs="Times New Roman" w:eastAsia="Times New Roman" w:hAnsi="Times New Roman"/>
          <w:sz w:val="26"/>
          <w:szCs w:val="26"/>
        </w:rPr>
        <w:t xml:space="preserve">22. Manners I. Normative Power Europe: A Contradiction in Terms? </w:t>
      </w:r>
      <w:r>
        <w:rPr>
          <w:rFonts w:ascii="Times New Roman" w:cs="Times New Roman" w:eastAsia="Times New Roman" w:hAnsi="Times New Roman"/>
          <w:i/>
          <w:iCs/>
          <w:sz w:val="26"/>
          <w:szCs w:val="26"/>
        </w:rPr>
        <w:t xml:space="preserve">Journal of Common Market Studies</w:t>
      </w:r>
      <w:r>
        <w:rPr>
          <w:rFonts w:ascii="Times New Roman" w:cs="Times New Roman" w:eastAsia="Times New Roman" w:hAnsi="Times New Roman"/>
          <w:sz w:val="26"/>
          <w:szCs w:val="26"/>
        </w:rPr>
        <w:t xml:space="preserve">. 2002. Vol. 40, No. 2. P. 235–258.</w:t>
      </w:r>
    </w:p>
    <w:p>
      <w:pPr>
        <w:spacing w:after="60" w:line="300"/>
        <w:ind w:left="567" w:hanging="567"/>
        <w:jc w:val="both"/>
      </w:pPr>
      <w:r>
        <w:rPr>
          <w:rFonts w:ascii="Times New Roman" w:cs="Times New Roman" w:eastAsia="Times New Roman" w:hAnsi="Times New Roman"/>
          <w:sz w:val="26"/>
          <w:szCs w:val="26"/>
        </w:rPr>
        <w:t xml:space="preserve">23. Damro C. Market Power Europe. </w:t>
      </w:r>
      <w:r>
        <w:rPr>
          <w:rFonts w:ascii="Times New Roman" w:cs="Times New Roman" w:eastAsia="Times New Roman" w:hAnsi="Times New Roman"/>
          <w:i/>
          <w:iCs/>
          <w:sz w:val="26"/>
          <w:szCs w:val="26"/>
        </w:rPr>
        <w:t xml:space="preserve">Journal of European Public Policy</w:t>
      </w:r>
      <w:r>
        <w:rPr>
          <w:rFonts w:ascii="Times New Roman" w:cs="Times New Roman" w:eastAsia="Times New Roman" w:hAnsi="Times New Roman"/>
          <w:sz w:val="26"/>
          <w:szCs w:val="26"/>
        </w:rPr>
        <w:t xml:space="preserve">. 2012. Vol. 19, No. 5. P. 682–699.</w:t>
      </w:r>
    </w:p>
    <w:p>
      <w:pPr>
        <w:spacing w:after="60" w:line="300"/>
        <w:ind w:left="567" w:hanging="567"/>
        <w:jc w:val="both"/>
      </w:pPr>
      <w:r>
        <w:rPr>
          <w:rFonts w:ascii="Times New Roman" w:cs="Times New Roman" w:eastAsia="Times New Roman" w:hAnsi="Times New Roman"/>
          <w:sz w:val="26"/>
          <w:szCs w:val="26"/>
        </w:rPr>
        <w:t xml:space="preserve">24. Bradford A. The Brussels Effect: How the European Union Rules the World. New York : Oxford University Press, 2020. 424 p.</w:t>
      </w:r>
    </w:p>
    <w:p>
      <w:pPr>
        <w:spacing w:after="60" w:line="300"/>
        <w:ind w:left="567" w:hanging="567"/>
        <w:jc w:val="both"/>
      </w:pPr>
      <w:r>
        <w:rPr>
          <w:rFonts w:ascii="Times New Roman" w:cs="Times New Roman" w:eastAsia="Times New Roman" w:hAnsi="Times New Roman"/>
          <w:sz w:val="26"/>
          <w:szCs w:val="26"/>
        </w:rPr>
        <w:t xml:space="preserve">25. in ’t Veld J. Quantifying the Economic Effects of the Single Market in a Structural Macromodel. </w:t>
      </w:r>
      <w:r>
        <w:rPr>
          <w:rFonts w:ascii="Times New Roman" w:cs="Times New Roman" w:eastAsia="Times New Roman" w:hAnsi="Times New Roman"/>
          <w:i/>
          <w:iCs/>
          <w:sz w:val="26"/>
          <w:szCs w:val="26"/>
        </w:rPr>
        <w:t xml:space="preserve">European Economy Discussion Paper</w:t>
      </w:r>
      <w:r>
        <w:rPr>
          <w:rFonts w:ascii="Times New Roman" w:cs="Times New Roman" w:eastAsia="Times New Roman" w:hAnsi="Times New Roman"/>
          <w:sz w:val="26"/>
          <w:szCs w:val="26"/>
        </w:rPr>
        <w:t xml:space="preserve">. 2019. No. 094. Brussels : European Commission.</w:t>
      </w:r>
    </w:p>
    <w:p>
      <w:pPr>
        <w:spacing w:after="60" w:line="300"/>
        <w:ind w:left="567" w:hanging="567"/>
        <w:jc w:val="both"/>
      </w:pPr>
      <w:r>
        <w:rPr>
          <w:rFonts w:ascii="Times New Roman" w:cs="Times New Roman" w:eastAsia="Times New Roman" w:hAnsi="Times New Roman"/>
          <w:sz w:val="26"/>
          <w:szCs w:val="26"/>
        </w:rPr>
        <w:t xml:space="preserve">26. European Commission. Ukraine’s path towards EU accession. URL: https://commission.europa.eu/topics/eu-solidarity-ukraine/ukraines-path-towards-eu-accession_en</w:t>
      </w:r>
    </w:p>
    <w:p>
      <w:pPr>
        <w:spacing w:after="60" w:line="300"/>
        <w:ind w:left="567" w:hanging="567"/>
        <w:jc w:val="both"/>
      </w:pPr>
      <w:r>
        <w:rPr>
          <w:rFonts w:ascii="Times New Roman" w:cs="Times New Roman" w:eastAsia="Times New Roman" w:hAnsi="Times New Roman"/>
          <w:sz w:val="26"/>
          <w:szCs w:val="26"/>
        </w:rPr>
        <w:t xml:space="preserve">27. Council of the EU. EU and Ukraine open first accession negotiations cluster : press release, 15 June 2026 ; Enlargement: EU opens accession negotiations with Ukraine on external relations policies : press release, 14 July 2026. URL: https://www.consilium.europa.eu</w:t>
      </w:r>
    </w:p>
    <w:p>
      <w:pPr>
        <w:spacing w:after="60" w:line="300"/>
        <w:ind w:left="567" w:hanging="567"/>
        <w:jc w:val="both"/>
      </w:pPr>
      <w:r>
        <w:rPr>
          <w:rFonts w:ascii="Times New Roman" w:cs="Times New Roman" w:eastAsia="Times New Roman" w:hAnsi="Times New Roman"/>
          <w:sz w:val="26"/>
          <w:szCs w:val="26"/>
        </w:rPr>
        <w:t xml:space="preserve">28. European Commission, DG Trade. EU trade relations with Ukraine. URL: https://policy.trade.ec.europa.eu/eu-trade-relationships-country-and-region/countries-and-regions/ukraine_en</w:t>
      </w:r>
    </w:p>
    <w:p>
      <w:pPr>
        <w:spacing w:after="60" w:line="300"/>
        <w:ind w:left="567" w:hanging="567"/>
        <w:jc w:val="both"/>
      </w:pPr>
      <w:r>
        <w:rPr>
          <w:rFonts w:ascii="Times New Roman" w:cs="Times New Roman" w:eastAsia="Times New Roman" w:hAnsi="Times New Roman"/>
          <w:sz w:val="26"/>
          <w:szCs w:val="26"/>
        </w:rPr>
        <w:t xml:space="preserve">29. Eurostat. EU’s GDP valued at €18.8 trillion in 2025 (06.08.2026) ; World trade in goods and services – an overview. URL: https://ec.europa.eu/eurostat</w:t>
      </w:r>
    </w:p>
    <w:p>
      <w:pPr>
        <w:spacing w:after="60" w:line="300"/>
        <w:ind w:left="567" w:hanging="567"/>
        <w:jc w:val="both"/>
      </w:pPr>
      <w:r>
        <w:rPr>
          <w:rFonts w:ascii="Times New Roman" w:cs="Times New Roman" w:eastAsia="Times New Roman" w:hAnsi="Times New Roman"/>
          <w:sz w:val="26"/>
          <w:szCs w:val="26"/>
        </w:rPr>
        <w:t xml:space="preserve">30. Romanchuk L., Abramova I., Moroz Yu., Poplavskyi P., Svitlyshyn I. Funding for sustainable development of rural communities: European experience. </w:t>
      </w:r>
      <w:r>
        <w:rPr>
          <w:rFonts w:ascii="Times New Roman" w:cs="Times New Roman" w:eastAsia="Times New Roman" w:hAnsi="Times New Roman"/>
          <w:i/>
          <w:iCs/>
          <w:sz w:val="26"/>
          <w:szCs w:val="26"/>
        </w:rPr>
        <w:t xml:space="preserve">Agricultural and Resource Economics</w:t>
      </w:r>
      <w:r>
        <w:rPr>
          <w:rFonts w:ascii="Times New Roman" w:cs="Times New Roman" w:eastAsia="Times New Roman" w:hAnsi="Times New Roman"/>
          <w:sz w:val="26"/>
          <w:szCs w:val="26"/>
        </w:rPr>
        <w:t xml:space="preserve">. 2024. Vol. 10, No. 4. P. 203–234. DOI: https://doi.org/10.51599/are.2024.10.04.09</w:t>
      </w:r>
    </w:p>
    <w:sectPr>
      <w:headerReference w:type="default" r:id="rId7"/>
      <w:footerReference w:type="default" r:id="rId8"/>
      <w:pgSz w:w="11906" w:h="16838" w:orient="portrait"/>
      <w:pgMar w:top="1134" w:right="850" w:bottom="1134"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8EA9DB" w:sz="4" w:space="2"/>
      </w:pBdr>
      <w:jc w:val="right"/>
    </w:pPr>
    <w:r>
      <w:rPr>
        <w:rFonts w:ascii="Times New Roman" w:cs="Times New Roman" w:eastAsia="Times New Roman" w:hAnsi="Times New Roman"/>
        <w:i/>
        <w:iCs/>
        <w:color w:val="595959"/>
        <w:sz w:val="18"/>
        <w:szCs w:val="18"/>
      </w:rPr>
      <w:t xml:space="preserve">Європейські інституції та грантово-проєктна політика ЄС · Лекція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09" w:hanging="284"/>
      </w:pPr>
    </w:lvl>
    <w:lvl w:ilvl="1" w15:tentative="1">
      <w:start w:val="1"/>
      <w:numFmt w:val="bullet"/>
      <w:lvlText w:val="•"/>
      <w:lvlJc w:val="left"/>
      <w:pPr>
        <w:ind w:left="1134" w:hanging="284"/>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Times New Roman" w:cs="Times New Roman" w:eastAsia="Times New Roman" w:hAnsi="Times New Roman"/>
      <w:b/>
      <w:bCs/>
      <w:color w:val="1F3864"/>
      <w:sz w:val="30"/>
      <w:szCs w:val="30"/>
    </w:rPr>
  </w:style>
  <w:style w:type="paragraph" w:styleId="Heading2">
    <w:name w:val="Heading 2"/>
    <w:basedOn w:val="Normal"/>
    <w:next w:val="Normal"/>
    <w:qFormat/>
    <w:pPr>
      <w:outlineLvl w:val="1"/>
    </w:pPr>
    <w:rPr>
      <w:rFonts w:ascii="Times New Roman" w:cs="Times New Roman" w:eastAsia="Times New Roman" w:hAnsi="Times New Roman"/>
      <w:b/>
      <w:bCs/>
      <w:color w:val="1F3864"/>
      <w:sz w:val="28"/>
      <w:szCs w:val="28"/>
    </w:rPr>
  </w:style>
  <w:style w:type="paragraph" w:styleId="Heading3">
    <w:name w:val="Heading 3"/>
    <w:basedOn w:val="Normal"/>
    <w:next w:val="Normal"/>
    <w:qFormat/>
    <w:pPr>
      <w:outlineLvl w:val="2"/>
    </w:pPr>
    <w:rPr>
      <w:rFonts w:ascii="Times New Roman" w:cs="Times New Roman" w:eastAsia="Times New Roman" w:hAnsi="Times New Roman"/>
      <w:b/>
      <w:bCs/>
      <w:i/>
      <w:iCs/>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Європейські інституції та грантово-проєктна політика ЄС · Лекція 1</dc:title>
  <dc:creator>ЖПУ, кафедра МЕВ і ПМ</dc:creator>
  <cp:lastModifiedBy>Un-named</cp:lastModifiedBy>
  <cp:revision>1</cp:revision>
  <dcterms:created xsi:type="dcterms:W3CDTF">2026-09-11T15:43:44.232Z</dcterms:created>
  <dcterms:modified xsi:type="dcterms:W3CDTF">2026-09-11T15:43:44.232Z</dcterms:modified>
</cp:coreProperties>
</file>

<file path=docProps/custom.xml><?xml version="1.0" encoding="utf-8"?>
<Properties xmlns="http://schemas.openxmlformats.org/officeDocument/2006/custom-properties" xmlns:vt="http://schemas.openxmlformats.org/officeDocument/2006/docPropsVTypes"/>
</file>