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4447" w14:textId="77777777" w:rsidR="00D81EE2" w:rsidRPr="0084717A" w:rsidRDefault="00D81EE2" w:rsidP="00D81EE2">
      <w:pPr>
        <w:spacing w:after="0" w:line="240" w:lineRule="auto"/>
        <w:ind w:firstLine="720"/>
        <w:jc w:val="both"/>
        <w:rPr>
          <w:rFonts w:ascii="Times New Roman" w:hAnsi="Times New Roman" w:cs="Times New Roman"/>
          <w:b/>
          <w:sz w:val="28"/>
          <w:szCs w:val="28"/>
        </w:rPr>
      </w:pPr>
      <w:r w:rsidRPr="0084717A">
        <w:rPr>
          <w:rFonts w:ascii="Times New Roman" w:hAnsi="Times New Roman" w:cs="Times New Roman"/>
          <w:b/>
          <w:sz w:val="28"/>
          <w:szCs w:val="28"/>
        </w:rPr>
        <w:t>Тема 3. Архітектура національної стійкості та багаторівневе врядування (координація, розподіл повноважень, міжвідомча взаємодія)</w:t>
      </w:r>
    </w:p>
    <w:p w14:paraId="09FE09EC" w14:textId="77777777" w:rsidR="00D81EE2" w:rsidRPr="0084717A" w:rsidRDefault="00D81EE2" w:rsidP="00D81EE2">
      <w:pPr>
        <w:spacing w:after="0" w:line="240" w:lineRule="auto"/>
        <w:ind w:firstLine="720"/>
        <w:jc w:val="both"/>
        <w:rPr>
          <w:rFonts w:ascii="Times New Roman" w:hAnsi="Times New Roman" w:cs="Times New Roman"/>
          <w:b/>
          <w:sz w:val="28"/>
          <w:szCs w:val="28"/>
        </w:rPr>
      </w:pPr>
    </w:p>
    <w:p w14:paraId="71CF6A11" w14:textId="77777777" w:rsidR="00D81EE2" w:rsidRPr="0084717A" w:rsidRDefault="00D81EE2" w:rsidP="00D81EE2">
      <w:pPr>
        <w:spacing w:after="0" w:line="240" w:lineRule="auto"/>
        <w:ind w:firstLine="720"/>
        <w:jc w:val="both"/>
        <w:rPr>
          <w:rFonts w:ascii="Times New Roman" w:hAnsi="Times New Roman" w:cs="Times New Roman"/>
          <w:bCs/>
          <w:sz w:val="28"/>
          <w:szCs w:val="28"/>
        </w:rPr>
      </w:pPr>
      <w:r w:rsidRPr="0084717A">
        <w:rPr>
          <w:rFonts w:ascii="Times New Roman" w:hAnsi="Times New Roman" w:cs="Times New Roman"/>
          <w:bCs/>
          <w:sz w:val="28"/>
          <w:szCs w:val="28"/>
        </w:rPr>
        <w:t>3.1. Поняття національної стійкості та її місце в системі публічного управління</w:t>
      </w:r>
    </w:p>
    <w:p w14:paraId="3D24F365" w14:textId="77777777" w:rsidR="00D81EE2" w:rsidRPr="0084717A" w:rsidRDefault="00D81EE2" w:rsidP="00D81EE2">
      <w:pPr>
        <w:spacing w:after="0" w:line="240" w:lineRule="auto"/>
        <w:ind w:firstLine="720"/>
        <w:jc w:val="both"/>
        <w:rPr>
          <w:rFonts w:ascii="Times New Roman" w:hAnsi="Times New Roman" w:cs="Times New Roman"/>
          <w:bCs/>
          <w:sz w:val="28"/>
          <w:szCs w:val="28"/>
        </w:rPr>
      </w:pPr>
      <w:r w:rsidRPr="0084717A">
        <w:rPr>
          <w:rFonts w:ascii="Times New Roman" w:hAnsi="Times New Roman" w:cs="Times New Roman"/>
          <w:bCs/>
          <w:sz w:val="28"/>
          <w:szCs w:val="28"/>
        </w:rPr>
        <w:t>3.2. Інституційна архітектура забезпечення стійкості та розподіл повноважень між суб’єктами управління</w:t>
      </w:r>
    </w:p>
    <w:p w14:paraId="4D9A4388" w14:textId="77777777" w:rsidR="00D81EE2" w:rsidRPr="0084717A" w:rsidRDefault="00D81EE2" w:rsidP="00D81EE2">
      <w:pPr>
        <w:spacing w:after="0" w:line="240" w:lineRule="auto"/>
        <w:ind w:firstLine="720"/>
        <w:jc w:val="both"/>
        <w:rPr>
          <w:rFonts w:ascii="Times New Roman" w:hAnsi="Times New Roman" w:cs="Times New Roman"/>
          <w:bCs/>
          <w:sz w:val="28"/>
          <w:szCs w:val="28"/>
        </w:rPr>
      </w:pPr>
      <w:r w:rsidRPr="0084717A">
        <w:rPr>
          <w:rFonts w:ascii="Times New Roman" w:hAnsi="Times New Roman" w:cs="Times New Roman"/>
          <w:bCs/>
          <w:sz w:val="28"/>
          <w:szCs w:val="28"/>
        </w:rPr>
        <w:t>3.3. Багаторівневе врядування у сфері протидії гібридним загрозам та механізми координації</w:t>
      </w:r>
    </w:p>
    <w:p w14:paraId="321D8A14" w14:textId="77777777" w:rsidR="00D81EE2" w:rsidRPr="0084717A" w:rsidRDefault="00D81EE2" w:rsidP="00D81EE2">
      <w:pPr>
        <w:spacing w:after="0" w:line="240" w:lineRule="auto"/>
        <w:ind w:firstLine="720"/>
        <w:jc w:val="both"/>
        <w:rPr>
          <w:rFonts w:ascii="Times New Roman" w:hAnsi="Times New Roman" w:cs="Times New Roman"/>
          <w:bCs/>
          <w:sz w:val="28"/>
          <w:szCs w:val="28"/>
        </w:rPr>
      </w:pPr>
      <w:r w:rsidRPr="0084717A">
        <w:rPr>
          <w:rFonts w:ascii="Times New Roman" w:hAnsi="Times New Roman" w:cs="Times New Roman"/>
          <w:bCs/>
          <w:sz w:val="28"/>
          <w:szCs w:val="28"/>
        </w:rPr>
        <w:t>3.4. Міжвідомча взаємодія, інтегроване планування та управління ресурсами в умовах гібридних ризиків</w:t>
      </w:r>
    </w:p>
    <w:p w14:paraId="3246FAA8" w14:textId="77777777" w:rsidR="00D81EE2" w:rsidRPr="0084717A" w:rsidRDefault="00D81EE2" w:rsidP="00D81EE2">
      <w:pPr>
        <w:spacing w:after="0" w:line="240" w:lineRule="auto"/>
        <w:ind w:firstLine="720"/>
        <w:jc w:val="both"/>
        <w:rPr>
          <w:rFonts w:ascii="Times New Roman" w:hAnsi="Times New Roman" w:cs="Times New Roman"/>
          <w:bCs/>
          <w:sz w:val="28"/>
          <w:szCs w:val="28"/>
        </w:rPr>
      </w:pPr>
      <w:r w:rsidRPr="0084717A">
        <w:rPr>
          <w:rFonts w:ascii="Times New Roman" w:hAnsi="Times New Roman" w:cs="Times New Roman"/>
          <w:bCs/>
          <w:sz w:val="28"/>
          <w:szCs w:val="28"/>
        </w:rPr>
        <w:t>3.5. Механізми партнерства держави, місцевого самоврядування і громадянського суспільства у зміцненні національної стійкості</w:t>
      </w:r>
    </w:p>
    <w:p w14:paraId="58AEA3E8" w14:textId="77777777" w:rsidR="00D81EE2" w:rsidRPr="0084717A" w:rsidRDefault="00D81EE2" w:rsidP="00835403">
      <w:pPr>
        <w:spacing w:after="0" w:line="240" w:lineRule="auto"/>
        <w:ind w:firstLine="720"/>
        <w:jc w:val="both"/>
        <w:rPr>
          <w:rFonts w:ascii="Times New Roman" w:hAnsi="Times New Roman" w:cs="Times New Roman"/>
          <w:b/>
          <w:bCs/>
          <w:sz w:val="28"/>
          <w:szCs w:val="28"/>
        </w:rPr>
      </w:pPr>
    </w:p>
    <w:p w14:paraId="67939400" w14:textId="298B1B9A" w:rsidR="00835403" w:rsidRPr="0084717A" w:rsidRDefault="00835403" w:rsidP="00835403">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3.1. Поняття національної стійкості та її місце в системі публічного управління</w:t>
      </w:r>
    </w:p>
    <w:p w14:paraId="4BDAE115" w14:textId="77777777" w:rsidR="00D81EE2" w:rsidRPr="0084717A" w:rsidRDefault="00D81EE2" w:rsidP="00835403">
      <w:pPr>
        <w:spacing w:after="0" w:line="240" w:lineRule="auto"/>
        <w:ind w:firstLine="720"/>
        <w:jc w:val="both"/>
        <w:rPr>
          <w:rFonts w:ascii="Times New Roman" w:hAnsi="Times New Roman" w:cs="Times New Roman"/>
          <w:b/>
          <w:bCs/>
          <w:sz w:val="28"/>
          <w:szCs w:val="28"/>
        </w:rPr>
      </w:pPr>
    </w:p>
    <w:p w14:paraId="23A1BDE9"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Поняття </w:t>
      </w:r>
      <w:r w:rsidRPr="0084717A">
        <w:rPr>
          <w:rFonts w:ascii="Times New Roman" w:hAnsi="Times New Roman" w:cs="Times New Roman"/>
          <w:b/>
          <w:bCs/>
          <w:sz w:val="28"/>
          <w:szCs w:val="28"/>
        </w:rPr>
        <w:t>національної стійкості</w:t>
      </w:r>
      <w:r w:rsidRPr="0084717A">
        <w:rPr>
          <w:rFonts w:ascii="Times New Roman" w:hAnsi="Times New Roman" w:cs="Times New Roman"/>
          <w:sz w:val="28"/>
          <w:szCs w:val="28"/>
        </w:rPr>
        <w:t xml:space="preserve"> належить до ключових категорій сучасної науки публічного управління, оскільки відображає здатність держави, суспільства, економіки, інституцій та критично важливих систем не лише протистояти кризам, а й зберігати керованість, адаптуватися до змін, відновлюватися після потрясінь і продовжувати розвиток в умовах тривалої невизначеності. У широкому розумінні національна стійкість означає не просто “міцність” держави перед загрозами, а її </w:t>
      </w:r>
      <w:r w:rsidRPr="0084717A">
        <w:rPr>
          <w:rFonts w:ascii="Times New Roman" w:hAnsi="Times New Roman" w:cs="Times New Roman"/>
          <w:b/>
          <w:bCs/>
          <w:sz w:val="28"/>
          <w:szCs w:val="28"/>
        </w:rPr>
        <w:t>спроможність функціонувати в умовах шоку</w:t>
      </w:r>
      <w:r w:rsidRPr="0084717A">
        <w:rPr>
          <w:rFonts w:ascii="Times New Roman" w:hAnsi="Times New Roman" w:cs="Times New Roman"/>
          <w:sz w:val="28"/>
          <w:szCs w:val="28"/>
        </w:rPr>
        <w:t>: війни, гібридних атак, кібератак, енергетичних криз, пандемій, інформаційних операцій, економічних потрясінь або природних катастроф.</w:t>
      </w:r>
    </w:p>
    <w:p w14:paraId="0EFF5B6E" w14:textId="6919EFCC"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 українському нормативному полі важливою основою для розуміння цього поняття є </w:t>
      </w:r>
      <w:r w:rsidRPr="0084717A">
        <w:rPr>
          <w:rFonts w:ascii="Times New Roman" w:hAnsi="Times New Roman" w:cs="Times New Roman"/>
          <w:b/>
          <w:bCs/>
          <w:sz w:val="28"/>
          <w:szCs w:val="28"/>
        </w:rPr>
        <w:t>Концепція забезпечення національної системи стійкості</w:t>
      </w:r>
      <w:r w:rsidRPr="0084717A">
        <w:rPr>
          <w:rFonts w:ascii="Times New Roman" w:hAnsi="Times New Roman" w:cs="Times New Roman"/>
          <w:sz w:val="28"/>
          <w:szCs w:val="28"/>
        </w:rPr>
        <w:t xml:space="preserve">, затверджена Указом Президента України № 479/2021. Вона була запроваджена з метою реалізації Стратегії національної безпеки України та формування системного підходу до здатності держави й суспільства запобігати кризам, реагувати на них і відновлюватися після них. </w:t>
      </w:r>
    </w:p>
    <w:p w14:paraId="75633EE2"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науковому сенсі національну стійкість доцільно розглядати як </w:t>
      </w:r>
      <w:r w:rsidRPr="0084717A">
        <w:rPr>
          <w:rFonts w:ascii="Times New Roman" w:hAnsi="Times New Roman" w:cs="Times New Roman"/>
          <w:b/>
          <w:bCs/>
          <w:sz w:val="28"/>
          <w:szCs w:val="28"/>
        </w:rPr>
        <w:t>інтегральну властивість публічно-управлінської системи</w:t>
      </w:r>
      <w:r w:rsidRPr="0084717A">
        <w:rPr>
          <w:rFonts w:ascii="Times New Roman" w:hAnsi="Times New Roman" w:cs="Times New Roman"/>
          <w:sz w:val="28"/>
          <w:szCs w:val="28"/>
        </w:rPr>
        <w:t>, що поєднує безпековий, адміністративний, соціальний, економічний, інформаційний, інфраструктурний та громадянський виміри. Це означає, що стійкість не може бути забезпечена лише армією, поліцією, спецслужбами чи органами цивільного захисту. Вона формується через взаємодію багатьох суб’єктів: центральних органів виконавчої влади, місцевого самоврядування, військових адміністрацій, бізнесу, громадянського суспільства, закладів освіти, медіа, волонтерських мереж, операторів критичної інфраструктури та самих громадян.</w:t>
      </w:r>
    </w:p>
    <w:p w14:paraId="7B705F95"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важливо підкреслити: </w:t>
      </w:r>
      <w:r w:rsidRPr="0084717A">
        <w:rPr>
          <w:rFonts w:ascii="Times New Roman" w:hAnsi="Times New Roman" w:cs="Times New Roman"/>
          <w:b/>
          <w:bCs/>
          <w:sz w:val="28"/>
          <w:szCs w:val="28"/>
        </w:rPr>
        <w:t>національна стійкість є не стільки окремою галуззю управління, скільки принципом організації всієї системи публічного управління в умовах ризику</w:t>
      </w:r>
      <w:r w:rsidRPr="0084717A">
        <w:rPr>
          <w:rFonts w:ascii="Times New Roman" w:hAnsi="Times New Roman" w:cs="Times New Roman"/>
          <w:sz w:val="28"/>
          <w:szCs w:val="28"/>
        </w:rPr>
        <w:t xml:space="preserve">. Якщо традиційне публічне управління часто орієнтується на стабільні процедури, планування, адміністративний контроль і надання послуг у нормальних умовах, то управління стійкістю передбачає </w:t>
      </w:r>
      <w:r w:rsidRPr="0084717A">
        <w:rPr>
          <w:rFonts w:ascii="Times New Roman" w:hAnsi="Times New Roman" w:cs="Times New Roman"/>
          <w:sz w:val="28"/>
          <w:szCs w:val="28"/>
        </w:rPr>
        <w:lastRenderedPageBreak/>
        <w:t>готовність до порушення звичних режимів функціонування. Це означає, що держава має бути здатною діяти не лише за стандартним адміністративним сценарієм, а й у ситуації дефіциту часу, ресурсів, інформації, довіри або фізичної безпеки.</w:t>
      </w:r>
    </w:p>
    <w:p w14:paraId="210FBE28"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під час масованих ракетних атак на енергетичну інфраструктуру України питання стійкості полягало не лише в технічному ремонті пошкоджених об’єктів. Воно охоплювало координацію центральної влади, енергетичних компаній, місцевого самоврядування, ДСНС, військових адміністрацій, міжнародних партнерів і громадян. Відповідно, стійкість проявлялася в здатності швидко перерозподіляти ресурси, інформувати населення, забезпечувати роботу пунктів незламності, підтримувати критичні послуги, організовувати альтернативне енергозабезпечення та зберігати довіру громадян до державних рішень.</w:t>
      </w:r>
    </w:p>
    <w:p w14:paraId="73FED514"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цьому контексті національна стійкість має кілька базових характеристик.</w:t>
      </w:r>
    </w:p>
    <w:p w14:paraId="12414439"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По-перше, це </w:t>
      </w:r>
      <w:r w:rsidRPr="0084717A">
        <w:rPr>
          <w:rFonts w:ascii="Times New Roman" w:hAnsi="Times New Roman" w:cs="Times New Roman"/>
          <w:b/>
          <w:bCs/>
          <w:sz w:val="28"/>
          <w:szCs w:val="28"/>
        </w:rPr>
        <w:t>превентивність</w:t>
      </w:r>
      <w:r w:rsidRPr="0084717A">
        <w:rPr>
          <w:rFonts w:ascii="Times New Roman" w:hAnsi="Times New Roman" w:cs="Times New Roman"/>
          <w:sz w:val="28"/>
          <w:szCs w:val="28"/>
        </w:rPr>
        <w:t>. Стійка держава не чекає настання кризи, а заздалегідь ідентифікує ризики, оцінює вразливості, створює резерви, планує альтернативні сценарії та проводить навчання. Наприклад, якщо громада заздалегідь має план евакуації населення, перелік об’єктів критичної інфраструктури, резервні джерела електроживлення та відпрацьовані канали інформування, вона є значно стійкішою до надзвичайної ситуації.</w:t>
      </w:r>
    </w:p>
    <w:p w14:paraId="6CE2FE2B"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По-друге, це </w:t>
      </w:r>
      <w:r w:rsidRPr="0084717A">
        <w:rPr>
          <w:rFonts w:ascii="Times New Roman" w:hAnsi="Times New Roman" w:cs="Times New Roman"/>
          <w:b/>
          <w:bCs/>
          <w:sz w:val="28"/>
          <w:szCs w:val="28"/>
        </w:rPr>
        <w:t>адаптивність</w:t>
      </w:r>
      <w:r w:rsidRPr="0084717A">
        <w:rPr>
          <w:rFonts w:ascii="Times New Roman" w:hAnsi="Times New Roman" w:cs="Times New Roman"/>
          <w:sz w:val="28"/>
          <w:szCs w:val="28"/>
        </w:rPr>
        <w:t xml:space="preserve">. Система публічного управління повинна змінювати способи дії залежно від характеру загрози. У гібридному середовищі криза </w:t>
      </w:r>
      <w:proofErr w:type="spellStart"/>
      <w:r w:rsidRPr="0084717A">
        <w:rPr>
          <w:rFonts w:ascii="Times New Roman" w:hAnsi="Times New Roman" w:cs="Times New Roman"/>
          <w:sz w:val="28"/>
          <w:szCs w:val="28"/>
        </w:rPr>
        <w:t>рідко</w:t>
      </w:r>
      <w:proofErr w:type="spellEnd"/>
      <w:r w:rsidRPr="0084717A">
        <w:rPr>
          <w:rFonts w:ascii="Times New Roman" w:hAnsi="Times New Roman" w:cs="Times New Roman"/>
          <w:sz w:val="28"/>
          <w:szCs w:val="28"/>
        </w:rPr>
        <w:t xml:space="preserve"> має лише один вимір. Кібератака може поєднуватися з інформаційною кампанією, економічним тиском, дипломатичною ескалацією та військовою загрозою. Тому управлінська система має швидко переходити від звичайної бюрократичної логіки до режиму міжвідомчої координації, кризових штабів, оперативного обміну даними й гнучкого прийняття рішень.</w:t>
      </w:r>
    </w:p>
    <w:p w14:paraId="5B3DB20D"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По-третє, це </w:t>
      </w:r>
      <w:r w:rsidRPr="0084717A">
        <w:rPr>
          <w:rFonts w:ascii="Times New Roman" w:hAnsi="Times New Roman" w:cs="Times New Roman"/>
          <w:b/>
          <w:bCs/>
          <w:sz w:val="28"/>
          <w:szCs w:val="28"/>
        </w:rPr>
        <w:t>безперервність функціонування держави</w:t>
      </w:r>
      <w:r w:rsidRPr="0084717A">
        <w:rPr>
          <w:rFonts w:ascii="Times New Roman" w:hAnsi="Times New Roman" w:cs="Times New Roman"/>
          <w:sz w:val="28"/>
          <w:szCs w:val="28"/>
        </w:rPr>
        <w:t xml:space="preserve">. Один із центральних критеріїв стійкості — здатність органів влади продовжувати виконання базових функцій навіть під час масштабної кризи. У НАТО цивільна готовність і стійкість пов’язуються з трьома ключовими функціями: безперервністю урядування, безперервністю надання основних послуг населенню та цивільною підтримкою військових операцій. Ці функції деталізуються через сім базових вимог до національної стійкості, зокрема у сферах енергетики, транспорту, зв’язку, продовольства, водопостачання, масових переміщень населення й медичних систем. </w:t>
      </w:r>
    </w:p>
    <w:p w14:paraId="68E4956E"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По-четверте, це </w:t>
      </w:r>
      <w:r w:rsidRPr="0084717A">
        <w:rPr>
          <w:rFonts w:ascii="Times New Roman" w:hAnsi="Times New Roman" w:cs="Times New Roman"/>
          <w:b/>
          <w:bCs/>
          <w:sz w:val="28"/>
          <w:szCs w:val="28"/>
        </w:rPr>
        <w:t>відновлюваність</w:t>
      </w:r>
      <w:r w:rsidRPr="0084717A">
        <w:rPr>
          <w:rFonts w:ascii="Times New Roman" w:hAnsi="Times New Roman" w:cs="Times New Roman"/>
          <w:sz w:val="28"/>
          <w:szCs w:val="28"/>
        </w:rPr>
        <w:t xml:space="preserve">. Стійкість не означає відсутність втрат або руйнувань. Навпаки, вона виходить із реалістичного припущення, що кризи можуть мати серйозні наслідки. Питання полягає в тому, наскільки швидко система здатна відновити критичні функції, мінімізувати соціальні втрати й перейти до нового, більш безпечного рівня розвитку. Наприклад, відновлення зруйнованої школи може бути не просто поверненням до попереднього стану, а створенням </w:t>
      </w:r>
      <w:proofErr w:type="spellStart"/>
      <w:r w:rsidRPr="0084717A">
        <w:rPr>
          <w:rFonts w:ascii="Times New Roman" w:hAnsi="Times New Roman" w:cs="Times New Roman"/>
          <w:sz w:val="28"/>
          <w:szCs w:val="28"/>
        </w:rPr>
        <w:t>укриттів</w:t>
      </w:r>
      <w:proofErr w:type="spellEnd"/>
      <w:r w:rsidRPr="0084717A">
        <w:rPr>
          <w:rFonts w:ascii="Times New Roman" w:hAnsi="Times New Roman" w:cs="Times New Roman"/>
          <w:sz w:val="28"/>
          <w:szCs w:val="28"/>
        </w:rPr>
        <w:t>, цифрової інфраструктури, енергоефективних рішень і нової моделі безпечного освітнього середовища.</w:t>
      </w:r>
    </w:p>
    <w:p w14:paraId="24458EB4"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По-п’яте, це </w:t>
      </w:r>
      <w:r w:rsidRPr="0084717A">
        <w:rPr>
          <w:rFonts w:ascii="Times New Roman" w:hAnsi="Times New Roman" w:cs="Times New Roman"/>
          <w:b/>
          <w:bCs/>
          <w:sz w:val="28"/>
          <w:szCs w:val="28"/>
        </w:rPr>
        <w:t>суспільна залученість і довіра</w:t>
      </w:r>
      <w:r w:rsidRPr="0084717A">
        <w:rPr>
          <w:rFonts w:ascii="Times New Roman" w:hAnsi="Times New Roman" w:cs="Times New Roman"/>
          <w:sz w:val="28"/>
          <w:szCs w:val="28"/>
        </w:rPr>
        <w:t xml:space="preserve">. Національна стійкість неможлива без громадян, які довіряють інституціям, розуміють логіку управлінських рішень і готові брати участь у спільному реагуванні. У сучасному публічному управлінні довіра розглядається як ресурс стійкості не менш важливий, ніж фінанси </w:t>
      </w:r>
      <w:r w:rsidRPr="0084717A">
        <w:rPr>
          <w:rFonts w:ascii="Times New Roman" w:hAnsi="Times New Roman" w:cs="Times New Roman"/>
          <w:sz w:val="28"/>
          <w:szCs w:val="28"/>
        </w:rPr>
        <w:lastRenderedPageBreak/>
        <w:t>чи інфраструктура. Якщо громадяни не довіряють офіційній інформації, вони можуть ігнорувати евакуаційні повідомлення, поширювати паніку, піддаватися дезінформації або відмовлятися від співпраці з органами влади.</w:t>
      </w:r>
    </w:p>
    <w:p w14:paraId="1B805EE4"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Місце національної стійкості в системі публічного управління можна пояснити через три рівні.</w:t>
      </w:r>
    </w:p>
    <w:p w14:paraId="26C51FF4"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Перший рівень — стратегічний.</w:t>
      </w:r>
      <w:r w:rsidRPr="0084717A">
        <w:rPr>
          <w:rFonts w:ascii="Times New Roman" w:hAnsi="Times New Roman" w:cs="Times New Roman"/>
          <w:sz w:val="28"/>
          <w:szCs w:val="28"/>
        </w:rPr>
        <w:t xml:space="preserve"> На цьому рівні стійкість пов’язана з національною безпекою, стратегічним плануванням, визначенням критичних функцій держави, захистом суверенітету, територіальної цілісності та демократичного конституційного ладу. Саме тут формуються доктрини, стратегії, концепції, національні плани реагування, моделі оцінювання ризиків і системи моніторингу загроз.</w:t>
      </w:r>
    </w:p>
    <w:p w14:paraId="7367A649"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Другий рівень — інституційно-організаційний.</w:t>
      </w:r>
      <w:r w:rsidRPr="0084717A">
        <w:rPr>
          <w:rFonts w:ascii="Times New Roman" w:hAnsi="Times New Roman" w:cs="Times New Roman"/>
          <w:sz w:val="28"/>
          <w:szCs w:val="28"/>
        </w:rPr>
        <w:t xml:space="preserve"> Тут ідеться про те, як саме розподілені повноваження між органами влади, хто відповідає за координацію, як працюють міжвідомчі механізми, чи є дублювання функцій, чи існує обмін даними між суб’єктами, чи сформовані кризові протоколи. Наприклад, якщо центральний орган виконавчої влади відповідає за політику у сфері енергетики, місцева влада — за життєзабезпечення громади, а оператори інфраструктури — за технічне функціонування мереж, то стійкість залежить від того, наскільки ці суб’єкти здатні діяти як єдина система.</w:t>
      </w:r>
    </w:p>
    <w:p w14:paraId="6A6325C5"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Третій рівень — операційний.</w:t>
      </w:r>
      <w:r w:rsidRPr="0084717A">
        <w:rPr>
          <w:rFonts w:ascii="Times New Roman" w:hAnsi="Times New Roman" w:cs="Times New Roman"/>
          <w:sz w:val="28"/>
          <w:szCs w:val="28"/>
        </w:rPr>
        <w:t xml:space="preserve"> Це рівень конкретних дій: евакуація, резервне електроживлення, </w:t>
      </w:r>
      <w:proofErr w:type="spellStart"/>
      <w:r w:rsidRPr="0084717A">
        <w:rPr>
          <w:rFonts w:ascii="Times New Roman" w:hAnsi="Times New Roman" w:cs="Times New Roman"/>
          <w:sz w:val="28"/>
          <w:szCs w:val="28"/>
        </w:rPr>
        <w:t>кіберзахист</w:t>
      </w:r>
      <w:proofErr w:type="spellEnd"/>
      <w:r w:rsidRPr="0084717A">
        <w:rPr>
          <w:rFonts w:ascii="Times New Roman" w:hAnsi="Times New Roman" w:cs="Times New Roman"/>
          <w:sz w:val="28"/>
          <w:szCs w:val="28"/>
        </w:rPr>
        <w:t>, розгортання пунктів допомоги, комунікація з населенням, підтримка медичних закладів, організація логістики, відновлення послуг. Саме на цьому рівні абстрактне поняття стійкості перетворюється на практичну управлінську здатність.</w:t>
      </w:r>
    </w:p>
    <w:p w14:paraId="78ACDC17"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лекції аспірантам можна запропонувати таку аналітичну тезу: </w:t>
      </w:r>
      <w:r w:rsidRPr="0084717A">
        <w:rPr>
          <w:rFonts w:ascii="Times New Roman" w:hAnsi="Times New Roman" w:cs="Times New Roman"/>
          <w:b/>
          <w:bCs/>
          <w:sz w:val="28"/>
          <w:szCs w:val="28"/>
        </w:rPr>
        <w:t>національна стійкість є відповіддю публічного управління на ускладнення середовища безпеки, у якому межі між воєнними, цивільними, інформаційними, економічними й технологічними загрозами стають дедалі менш чіткими</w:t>
      </w:r>
      <w:r w:rsidRPr="0084717A">
        <w:rPr>
          <w:rFonts w:ascii="Times New Roman" w:hAnsi="Times New Roman" w:cs="Times New Roman"/>
          <w:sz w:val="28"/>
          <w:szCs w:val="28"/>
        </w:rPr>
        <w:t>. Саме тому стійкість не можна зводити до цивільного захисту або антикризового менеджменту. Вона охоплює ширшу логіку — від стратегічного прогнозування до повсякденної спроможності громад, від нормативної архітектури до поведінки громадян, від захисту критичної інфраструктури до збереження демократичної легітимності влади.</w:t>
      </w:r>
    </w:p>
    <w:p w14:paraId="1A846348"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практичному вимірі це можна пояснити через декілька прикладів.</w:t>
      </w:r>
    </w:p>
    <w:p w14:paraId="63E17D9F"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Перший приклад — </w:t>
      </w:r>
      <w:r w:rsidRPr="0084717A">
        <w:rPr>
          <w:rFonts w:ascii="Times New Roman" w:hAnsi="Times New Roman" w:cs="Times New Roman"/>
          <w:b/>
          <w:bCs/>
          <w:sz w:val="28"/>
          <w:szCs w:val="28"/>
        </w:rPr>
        <w:t>цифрова стійкість держави</w:t>
      </w:r>
      <w:r w:rsidRPr="0084717A">
        <w:rPr>
          <w:rFonts w:ascii="Times New Roman" w:hAnsi="Times New Roman" w:cs="Times New Roman"/>
          <w:sz w:val="28"/>
          <w:szCs w:val="28"/>
        </w:rPr>
        <w:t xml:space="preserve">. Україна в умовах повномасштабної війни продовжила надавати значну частину публічних послуг у цифровому форматі. Це показує, що </w:t>
      </w:r>
      <w:proofErr w:type="spellStart"/>
      <w:r w:rsidRPr="0084717A">
        <w:rPr>
          <w:rFonts w:ascii="Times New Roman" w:hAnsi="Times New Roman" w:cs="Times New Roman"/>
          <w:sz w:val="28"/>
          <w:szCs w:val="28"/>
        </w:rPr>
        <w:t>цифровізація</w:t>
      </w:r>
      <w:proofErr w:type="spellEnd"/>
      <w:r w:rsidRPr="0084717A">
        <w:rPr>
          <w:rFonts w:ascii="Times New Roman" w:hAnsi="Times New Roman" w:cs="Times New Roman"/>
          <w:sz w:val="28"/>
          <w:szCs w:val="28"/>
        </w:rPr>
        <w:t xml:space="preserve"> є не лише інструментом зручності, а й елементом стійкості. Якщо фізичний доступ до адміністративних будівель обмежений, цифрові сервіси дозволяють підтримувати зв’язок держави з громадянином.</w:t>
      </w:r>
    </w:p>
    <w:p w14:paraId="5C9D2D01"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Другий приклад — </w:t>
      </w:r>
      <w:r w:rsidRPr="0084717A">
        <w:rPr>
          <w:rFonts w:ascii="Times New Roman" w:hAnsi="Times New Roman" w:cs="Times New Roman"/>
          <w:b/>
          <w:bCs/>
          <w:sz w:val="28"/>
          <w:szCs w:val="28"/>
        </w:rPr>
        <w:t>енергетична стійкість громад</w:t>
      </w:r>
      <w:r w:rsidRPr="0084717A">
        <w:rPr>
          <w:rFonts w:ascii="Times New Roman" w:hAnsi="Times New Roman" w:cs="Times New Roman"/>
          <w:sz w:val="28"/>
          <w:szCs w:val="28"/>
        </w:rPr>
        <w:t>. Наявність генераторів, альтернативних джерел енергії, локальних планів реагування, пріоритетного забезпечення лікарень, водоканалів і пунктів обігріву є проявом не лише технічної підготовки, а й управлінської спроможності.</w:t>
      </w:r>
    </w:p>
    <w:p w14:paraId="14D45CF4"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Третій приклад — </w:t>
      </w:r>
      <w:r w:rsidRPr="0084717A">
        <w:rPr>
          <w:rFonts w:ascii="Times New Roman" w:hAnsi="Times New Roman" w:cs="Times New Roman"/>
          <w:b/>
          <w:bCs/>
          <w:sz w:val="28"/>
          <w:szCs w:val="28"/>
        </w:rPr>
        <w:t>інформаційна стійкість</w:t>
      </w:r>
      <w:r w:rsidRPr="0084717A">
        <w:rPr>
          <w:rFonts w:ascii="Times New Roman" w:hAnsi="Times New Roman" w:cs="Times New Roman"/>
          <w:sz w:val="28"/>
          <w:szCs w:val="28"/>
        </w:rPr>
        <w:t>. У періоди криз органи влади мають не просто “публікувати повідомлення”, а формувати зрозумілу, регулярну, достовірну й координовану комунікацію. Якщо різні інституції дають суперечливі сигнали, це знижує довіру і посилює вразливість суспільства до дезінформації.</w:t>
      </w:r>
    </w:p>
    <w:p w14:paraId="31FEAB19"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Четвертий приклад — </w:t>
      </w:r>
      <w:r w:rsidRPr="0084717A">
        <w:rPr>
          <w:rFonts w:ascii="Times New Roman" w:hAnsi="Times New Roman" w:cs="Times New Roman"/>
          <w:b/>
          <w:bCs/>
          <w:sz w:val="28"/>
          <w:szCs w:val="28"/>
        </w:rPr>
        <w:t>стійкість місцевого самоврядування</w:t>
      </w:r>
      <w:r w:rsidRPr="0084717A">
        <w:rPr>
          <w:rFonts w:ascii="Times New Roman" w:hAnsi="Times New Roman" w:cs="Times New Roman"/>
          <w:sz w:val="28"/>
          <w:szCs w:val="28"/>
        </w:rPr>
        <w:t>. Саме громади часто першими стикаються з наслідками криз: переміщенням населення, руйнуванням інфраструктури, дефіцитом ресурсів, соціальною напругою. Тому національна стійкість фактично починається з локального рівня, де абстрактна державна політика перетворюється на конкретну здатність забезпечити воду, тепло, транспорт, медичну допомогу, укриття, соціальний супровід і комунікацію.</w:t>
      </w:r>
    </w:p>
    <w:p w14:paraId="11F6A93D"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Отже, у системі публічного управління національна стійкість виконує декілька функцій: </w:t>
      </w:r>
      <w:r w:rsidRPr="0084717A">
        <w:rPr>
          <w:rFonts w:ascii="Times New Roman" w:hAnsi="Times New Roman" w:cs="Times New Roman"/>
          <w:b/>
          <w:bCs/>
          <w:sz w:val="28"/>
          <w:szCs w:val="28"/>
        </w:rPr>
        <w:t>аналітичну</w:t>
      </w:r>
      <w:r w:rsidRPr="0084717A">
        <w:rPr>
          <w:rFonts w:ascii="Times New Roman" w:hAnsi="Times New Roman" w:cs="Times New Roman"/>
          <w:sz w:val="28"/>
          <w:szCs w:val="28"/>
        </w:rPr>
        <w:t xml:space="preserve">, оскільки дозволяє виявляти ризики й вразливості; </w:t>
      </w:r>
      <w:r w:rsidRPr="0084717A">
        <w:rPr>
          <w:rFonts w:ascii="Times New Roman" w:hAnsi="Times New Roman" w:cs="Times New Roman"/>
          <w:b/>
          <w:bCs/>
          <w:sz w:val="28"/>
          <w:szCs w:val="28"/>
        </w:rPr>
        <w:t>організаційну</w:t>
      </w:r>
      <w:r w:rsidRPr="0084717A">
        <w:rPr>
          <w:rFonts w:ascii="Times New Roman" w:hAnsi="Times New Roman" w:cs="Times New Roman"/>
          <w:sz w:val="28"/>
          <w:szCs w:val="28"/>
        </w:rPr>
        <w:t xml:space="preserve">, оскільки вимагає координації між суб’єктами управління; </w:t>
      </w:r>
      <w:r w:rsidRPr="0084717A">
        <w:rPr>
          <w:rFonts w:ascii="Times New Roman" w:hAnsi="Times New Roman" w:cs="Times New Roman"/>
          <w:b/>
          <w:bCs/>
          <w:sz w:val="28"/>
          <w:szCs w:val="28"/>
        </w:rPr>
        <w:t>ресурсну</w:t>
      </w:r>
      <w:r w:rsidRPr="0084717A">
        <w:rPr>
          <w:rFonts w:ascii="Times New Roman" w:hAnsi="Times New Roman" w:cs="Times New Roman"/>
          <w:sz w:val="28"/>
          <w:szCs w:val="28"/>
        </w:rPr>
        <w:t xml:space="preserve">, оскільки пов’язана з плануванням резервів і </w:t>
      </w:r>
      <w:proofErr w:type="spellStart"/>
      <w:r w:rsidRPr="0084717A">
        <w:rPr>
          <w:rFonts w:ascii="Times New Roman" w:hAnsi="Times New Roman" w:cs="Times New Roman"/>
          <w:sz w:val="28"/>
          <w:szCs w:val="28"/>
        </w:rPr>
        <w:t>спроможностей</w:t>
      </w:r>
      <w:proofErr w:type="spellEnd"/>
      <w:r w:rsidRPr="0084717A">
        <w:rPr>
          <w:rFonts w:ascii="Times New Roman" w:hAnsi="Times New Roman" w:cs="Times New Roman"/>
          <w:sz w:val="28"/>
          <w:szCs w:val="28"/>
        </w:rPr>
        <w:t xml:space="preserve">; </w:t>
      </w:r>
      <w:r w:rsidRPr="0084717A">
        <w:rPr>
          <w:rFonts w:ascii="Times New Roman" w:hAnsi="Times New Roman" w:cs="Times New Roman"/>
          <w:b/>
          <w:bCs/>
          <w:sz w:val="28"/>
          <w:szCs w:val="28"/>
        </w:rPr>
        <w:t>комунікативну</w:t>
      </w:r>
      <w:r w:rsidRPr="0084717A">
        <w:rPr>
          <w:rFonts w:ascii="Times New Roman" w:hAnsi="Times New Roman" w:cs="Times New Roman"/>
          <w:sz w:val="28"/>
          <w:szCs w:val="28"/>
        </w:rPr>
        <w:t xml:space="preserve">, оскільки потребує довіри й достовірної інформації; </w:t>
      </w:r>
      <w:r w:rsidRPr="0084717A">
        <w:rPr>
          <w:rFonts w:ascii="Times New Roman" w:hAnsi="Times New Roman" w:cs="Times New Roman"/>
          <w:b/>
          <w:bCs/>
          <w:sz w:val="28"/>
          <w:szCs w:val="28"/>
        </w:rPr>
        <w:t>відновлювальну</w:t>
      </w:r>
      <w:r w:rsidRPr="0084717A">
        <w:rPr>
          <w:rFonts w:ascii="Times New Roman" w:hAnsi="Times New Roman" w:cs="Times New Roman"/>
          <w:sz w:val="28"/>
          <w:szCs w:val="28"/>
        </w:rPr>
        <w:t xml:space="preserve">, оскільки орієнтує державу не лише на реагування, а й на </w:t>
      </w:r>
      <w:proofErr w:type="spellStart"/>
      <w:r w:rsidRPr="0084717A">
        <w:rPr>
          <w:rFonts w:ascii="Times New Roman" w:hAnsi="Times New Roman" w:cs="Times New Roman"/>
          <w:sz w:val="28"/>
          <w:szCs w:val="28"/>
        </w:rPr>
        <w:t>післякризову</w:t>
      </w:r>
      <w:proofErr w:type="spellEnd"/>
      <w:r w:rsidRPr="0084717A">
        <w:rPr>
          <w:rFonts w:ascii="Times New Roman" w:hAnsi="Times New Roman" w:cs="Times New Roman"/>
          <w:sz w:val="28"/>
          <w:szCs w:val="28"/>
        </w:rPr>
        <w:t xml:space="preserve"> трансформацію.</w:t>
      </w:r>
    </w:p>
    <w:p w14:paraId="7D7F1E99"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Національна стійкість — це інтегрована спроможність держави, суспільства, економіки, критичної інфраструктури та публічних інституцій запобігати кризам, витримувати вплив загроз, забезпечувати безперервність ключових функцій, адаптуватися до змін, відновлюватися після потрясінь і розвиватися в умовах тривалої невизначеності.</w:t>
      </w:r>
    </w:p>
    <w:p w14:paraId="10C5CB78" w14:textId="77777777" w:rsidR="00835403" w:rsidRPr="0084717A" w:rsidRDefault="00835403" w:rsidP="00835403">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межах публічного управління це поняття має особливе значення, оскільки </w:t>
      </w:r>
      <w:proofErr w:type="spellStart"/>
      <w:r w:rsidRPr="0084717A">
        <w:rPr>
          <w:rFonts w:ascii="Times New Roman" w:hAnsi="Times New Roman" w:cs="Times New Roman"/>
          <w:sz w:val="28"/>
          <w:szCs w:val="28"/>
        </w:rPr>
        <w:t>переносить</w:t>
      </w:r>
      <w:proofErr w:type="spellEnd"/>
      <w:r w:rsidRPr="0084717A">
        <w:rPr>
          <w:rFonts w:ascii="Times New Roman" w:hAnsi="Times New Roman" w:cs="Times New Roman"/>
          <w:sz w:val="28"/>
          <w:szCs w:val="28"/>
        </w:rPr>
        <w:t xml:space="preserve"> акцент із реактивного подолання криз на </w:t>
      </w:r>
      <w:proofErr w:type="spellStart"/>
      <w:r w:rsidRPr="0084717A">
        <w:rPr>
          <w:rFonts w:ascii="Times New Roman" w:hAnsi="Times New Roman" w:cs="Times New Roman"/>
          <w:b/>
          <w:bCs/>
          <w:sz w:val="28"/>
          <w:szCs w:val="28"/>
        </w:rPr>
        <w:t>проактивне</w:t>
      </w:r>
      <w:proofErr w:type="spellEnd"/>
      <w:r w:rsidRPr="0084717A">
        <w:rPr>
          <w:rFonts w:ascii="Times New Roman" w:hAnsi="Times New Roman" w:cs="Times New Roman"/>
          <w:b/>
          <w:bCs/>
          <w:sz w:val="28"/>
          <w:szCs w:val="28"/>
        </w:rPr>
        <w:t xml:space="preserve"> формування </w:t>
      </w:r>
      <w:proofErr w:type="spellStart"/>
      <w:r w:rsidRPr="0084717A">
        <w:rPr>
          <w:rFonts w:ascii="Times New Roman" w:hAnsi="Times New Roman" w:cs="Times New Roman"/>
          <w:b/>
          <w:bCs/>
          <w:sz w:val="28"/>
          <w:szCs w:val="28"/>
        </w:rPr>
        <w:t>спроможностей</w:t>
      </w:r>
      <w:proofErr w:type="spellEnd"/>
      <w:r w:rsidRPr="0084717A">
        <w:rPr>
          <w:rFonts w:ascii="Times New Roman" w:hAnsi="Times New Roman" w:cs="Times New Roman"/>
          <w:sz w:val="28"/>
          <w:szCs w:val="28"/>
        </w:rPr>
        <w:t>. Тобто ефективне управління стійкістю починається не тоді, коли криза вже настала, а тоді, коли держава, громади та суспільство заздалегідь створюють інституційні, ресурсні, комунікаційні й нормативні умови для збереження життєздатності країни в умовах складних і гібридних загроз.</w:t>
      </w:r>
    </w:p>
    <w:p w14:paraId="4AE7B390" w14:textId="77777777" w:rsidR="002C3688" w:rsidRPr="0084717A" w:rsidRDefault="002C3688" w:rsidP="00835403">
      <w:pPr>
        <w:spacing w:after="0" w:line="240" w:lineRule="auto"/>
        <w:ind w:firstLine="720"/>
        <w:jc w:val="both"/>
        <w:rPr>
          <w:rFonts w:ascii="Times New Roman" w:hAnsi="Times New Roman" w:cs="Times New Roman"/>
          <w:sz w:val="28"/>
          <w:szCs w:val="28"/>
        </w:rPr>
      </w:pPr>
    </w:p>
    <w:p w14:paraId="037DD772" w14:textId="77777777" w:rsidR="007B2B44" w:rsidRPr="0084717A" w:rsidRDefault="007B2B44" w:rsidP="007B2B44">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3.2. Інституційна архітектура забезпечення стійкості та розподіл повноважень між суб’єктами управління</w:t>
      </w:r>
    </w:p>
    <w:p w14:paraId="0DBEE877"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Інституційна архітектура забезпечення національної стійкості є одним із ключових елементів сучасного публічного управління, оскільки саме через систему інституцій, повноважень, процедур, координаційних механізмів і ресурсних </w:t>
      </w:r>
      <w:proofErr w:type="spellStart"/>
      <w:r w:rsidRPr="0084717A">
        <w:rPr>
          <w:rFonts w:ascii="Times New Roman" w:hAnsi="Times New Roman" w:cs="Times New Roman"/>
          <w:sz w:val="28"/>
          <w:szCs w:val="28"/>
        </w:rPr>
        <w:t>зв’язків</w:t>
      </w:r>
      <w:proofErr w:type="spellEnd"/>
      <w:r w:rsidRPr="0084717A">
        <w:rPr>
          <w:rFonts w:ascii="Times New Roman" w:hAnsi="Times New Roman" w:cs="Times New Roman"/>
          <w:sz w:val="28"/>
          <w:szCs w:val="28"/>
        </w:rPr>
        <w:t xml:space="preserve"> абстрактна ідея стійкості перетворюється на практичну спроможність держави діяти в умовах криз, гібридних загроз і тривалої невизначеності. Якщо поняття національної стійкості відповідає на питання, </w:t>
      </w:r>
      <w:r w:rsidRPr="0084717A">
        <w:rPr>
          <w:rFonts w:ascii="Times New Roman" w:hAnsi="Times New Roman" w:cs="Times New Roman"/>
          <w:b/>
          <w:bCs/>
          <w:sz w:val="28"/>
          <w:szCs w:val="28"/>
        </w:rPr>
        <w:t>що саме має бути здатною робити держава і суспільство</w:t>
      </w:r>
      <w:r w:rsidRPr="0084717A">
        <w:rPr>
          <w:rFonts w:ascii="Times New Roman" w:hAnsi="Times New Roman" w:cs="Times New Roman"/>
          <w:sz w:val="28"/>
          <w:szCs w:val="28"/>
        </w:rPr>
        <w:t xml:space="preserve">, то інституційна архітектура відповідає на питання, </w:t>
      </w:r>
      <w:r w:rsidRPr="0084717A">
        <w:rPr>
          <w:rFonts w:ascii="Times New Roman" w:hAnsi="Times New Roman" w:cs="Times New Roman"/>
          <w:b/>
          <w:bCs/>
          <w:sz w:val="28"/>
          <w:szCs w:val="28"/>
        </w:rPr>
        <w:t>хто саме, на якому рівні, з якими повноваженнями, ресурсами та відповідальністю має забезпечувати цю здатність</w:t>
      </w:r>
      <w:r w:rsidRPr="0084717A">
        <w:rPr>
          <w:rFonts w:ascii="Times New Roman" w:hAnsi="Times New Roman" w:cs="Times New Roman"/>
          <w:sz w:val="28"/>
          <w:szCs w:val="28"/>
        </w:rPr>
        <w:t>.</w:t>
      </w:r>
    </w:p>
    <w:p w14:paraId="6FE8CB9C"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науковому розумінні інституційну архітектуру національної стійкості доцільно визначати як </w:t>
      </w:r>
      <w:r w:rsidRPr="0084717A">
        <w:rPr>
          <w:rFonts w:ascii="Times New Roman" w:hAnsi="Times New Roman" w:cs="Times New Roman"/>
          <w:b/>
          <w:bCs/>
          <w:sz w:val="28"/>
          <w:szCs w:val="28"/>
        </w:rPr>
        <w:t xml:space="preserve">систему формальних і неформальних інститутів, органів влади, процедур координації, каналів комунікації, правових режимів, ресурсних механізмів та партнерських </w:t>
      </w:r>
      <w:proofErr w:type="spellStart"/>
      <w:r w:rsidRPr="0084717A">
        <w:rPr>
          <w:rFonts w:ascii="Times New Roman" w:hAnsi="Times New Roman" w:cs="Times New Roman"/>
          <w:b/>
          <w:bCs/>
          <w:sz w:val="28"/>
          <w:szCs w:val="28"/>
        </w:rPr>
        <w:t>зв’язків</w:t>
      </w:r>
      <w:proofErr w:type="spellEnd"/>
      <w:r w:rsidRPr="0084717A">
        <w:rPr>
          <w:rFonts w:ascii="Times New Roman" w:hAnsi="Times New Roman" w:cs="Times New Roman"/>
          <w:b/>
          <w:bCs/>
          <w:sz w:val="28"/>
          <w:szCs w:val="28"/>
        </w:rPr>
        <w:t xml:space="preserve">, які забезпечують здатність держави і суспільства запобігати кризам, реагувати на них, підтримувати </w:t>
      </w:r>
      <w:r w:rsidRPr="0084717A">
        <w:rPr>
          <w:rFonts w:ascii="Times New Roman" w:hAnsi="Times New Roman" w:cs="Times New Roman"/>
          <w:b/>
          <w:bCs/>
          <w:sz w:val="28"/>
          <w:szCs w:val="28"/>
        </w:rPr>
        <w:lastRenderedPageBreak/>
        <w:t>безперервність критичних функцій і відновлюватися після деструктивних впливів</w:t>
      </w:r>
      <w:r w:rsidRPr="0084717A">
        <w:rPr>
          <w:rFonts w:ascii="Times New Roman" w:hAnsi="Times New Roman" w:cs="Times New Roman"/>
          <w:sz w:val="28"/>
          <w:szCs w:val="28"/>
        </w:rPr>
        <w:t>.</w:t>
      </w:r>
    </w:p>
    <w:p w14:paraId="50D80A38"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 українському правовому полі важливим орієнтиром є </w:t>
      </w:r>
      <w:r w:rsidRPr="0084717A">
        <w:rPr>
          <w:rFonts w:ascii="Times New Roman" w:hAnsi="Times New Roman" w:cs="Times New Roman"/>
          <w:b/>
          <w:bCs/>
          <w:sz w:val="28"/>
          <w:szCs w:val="28"/>
        </w:rPr>
        <w:t>Концепція забезпечення національної системи стійкості</w:t>
      </w:r>
      <w:r w:rsidRPr="0084717A">
        <w:rPr>
          <w:rFonts w:ascii="Times New Roman" w:hAnsi="Times New Roman" w:cs="Times New Roman"/>
          <w:sz w:val="28"/>
          <w:szCs w:val="28"/>
        </w:rPr>
        <w:t xml:space="preserve">, затверджена Указом Президента України № 479/2021. У ній суб’єктами забезпечення національної стійкості визначено не лише органи державної влади, а й органи місцевого самоврядування, підприємства, установи, організації, громадські об’єднання та громадян, які беруть участь у процесах забезпечення стійкості. Це принципово важливо, оскільки стійкість розглядається не як монопольна функція державного апарату, а як спільна спроможність держави, суспільства, бізнесу та громад. </w:t>
      </w:r>
    </w:p>
    <w:p w14:paraId="0B0CEB93"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варто підкреслити, що інституційна архітектура стійкості має </w:t>
      </w:r>
      <w:r w:rsidRPr="0084717A">
        <w:rPr>
          <w:rFonts w:ascii="Times New Roman" w:hAnsi="Times New Roman" w:cs="Times New Roman"/>
          <w:b/>
          <w:bCs/>
          <w:sz w:val="28"/>
          <w:szCs w:val="28"/>
        </w:rPr>
        <w:t>мережевий</w:t>
      </w:r>
      <w:r w:rsidRPr="0084717A">
        <w:rPr>
          <w:rFonts w:ascii="Times New Roman" w:hAnsi="Times New Roman" w:cs="Times New Roman"/>
          <w:sz w:val="28"/>
          <w:szCs w:val="28"/>
        </w:rPr>
        <w:t>, а не суто ієрархічний характер. Традиційна адміністративна модель виходить із вертикалі підпорядкування: центральний орган ухвалює рішення, нижчі рівні виконують. Однак у сфері стійкості така модель є недостатньою. Гібридні ризики, кібератаки, руйнування інфраструктури, інформаційні операції, енергетичні кризи або масові переміщення населення вимагають одночасної взаємодії багатьох суб’єктів, які не завжди перебувають у прямому адміністративному підпорядкуванні один одному. Саме тому стійкість потребує не лише командно-адміністративного управління, а й горизонтальної координації, партнерства, обміну даними, довіри та узгодженого планування.</w:t>
      </w:r>
    </w:p>
    <w:p w14:paraId="09B62918"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Інституційну архітектуру забезпечення національної стійкості можна розглядати через кілька взаємопов’язаних рівнів.</w:t>
      </w:r>
    </w:p>
    <w:p w14:paraId="2C532429"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Перший рівень — політико-стратегічний.</w:t>
      </w:r>
      <w:r w:rsidRPr="0084717A">
        <w:rPr>
          <w:rFonts w:ascii="Times New Roman" w:hAnsi="Times New Roman" w:cs="Times New Roman"/>
          <w:sz w:val="28"/>
          <w:szCs w:val="28"/>
        </w:rPr>
        <w:t xml:space="preserve"> На цьому рівні визначаються національні інтереси, стратегічні цілі, пріоритети безпеки, принципи стійкості, рамкові політики, національні стратегії та концепції. В Україні до цього рівня належать Президент України, Верховна Рада України, Рада національної безпеки і оборони України, Кабінет Міністрів України та інші суб’єкти, залучені до формування й реалізації державної політики у сфері національної безпеки. Закон України «Про національну безпеку України» визначає та розмежовує повноваження державних органів у сферах національної безпеки і оборони, що створює загальну правову рамку для організації сектору безпеки і оборони та пов’язаних управлінських процесів. </w:t>
      </w:r>
    </w:p>
    <w:p w14:paraId="0C9EF358"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цьому рівні стійкість постає як </w:t>
      </w:r>
      <w:r w:rsidRPr="0084717A">
        <w:rPr>
          <w:rFonts w:ascii="Times New Roman" w:hAnsi="Times New Roman" w:cs="Times New Roman"/>
          <w:b/>
          <w:bCs/>
          <w:sz w:val="28"/>
          <w:szCs w:val="28"/>
        </w:rPr>
        <w:t>політичний і стратегічний пріоритет</w:t>
      </w:r>
      <w:r w:rsidRPr="0084717A">
        <w:rPr>
          <w:rFonts w:ascii="Times New Roman" w:hAnsi="Times New Roman" w:cs="Times New Roman"/>
          <w:sz w:val="28"/>
          <w:szCs w:val="28"/>
        </w:rPr>
        <w:t>. Йдеться не про окремий набір технічних заходів, а про здатність держави визначити критичні функції, пріоритети захисту, межі відповідальності, порядок реагування та механізми відновлення. Наприклад, рішення про те, які об’єкти критичної інфраструктури мають бути захищені першочергово, які функції держави не можуть бути зупинені навіть під час війни, які ресурси мають резервуватися для кризового реагування, ухвалюються саме на стратегічному рівні.</w:t>
      </w:r>
    </w:p>
    <w:p w14:paraId="48EA1E28"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Другий рівень — урядово-координаційний.</w:t>
      </w:r>
      <w:r w:rsidRPr="0084717A">
        <w:rPr>
          <w:rFonts w:ascii="Times New Roman" w:hAnsi="Times New Roman" w:cs="Times New Roman"/>
          <w:sz w:val="28"/>
          <w:szCs w:val="28"/>
        </w:rPr>
        <w:t xml:space="preserve"> Він пов’язаний із практичною організацією виконання стратегічних рішень. Центральну роль тут відіграє Кабінет Міністрів України як вищий орган у системі органів виконавчої влади, міністерства, центральні органи виконавчої влади, міжвідомчі комісії, координаційні штаби та інші урядові механізми. Саме цей рівень забезпечує перехід від стратегії до програм, </w:t>
      </w:r>
      <w:r w:rsidRPr="0084717A">
        <w:rPr>
          <w:rFonts w:ascii="Times New Roman" w:hAnsi="Times New Roman" w:cs="Times New Roman"/>
          <w:sz w:val="28"/>
          <w:szCs w:val="28"/>
        </w:rPr>
        <w:lastRenderedPageBreak/>
        <w:t xml:space="preserve">планів, порядків, стандартів, бюджетних рішень, </w:t>
      </w:r>
      <w:proofErr w:type="spellStart"/>
      <w:r w:rsidRPr="0084717A">
        <w:rPr>
          <w:rFonts w:ascii="Times New Roman" w:hAnsi="Times New Roman" w:cs="Times New Roman"/>
          <w:sz w:val="28"/>
          <w:szCs w:val="28"/>
        </w:rPr>
        <w:t>методик</w:t>
      </w:r>
      <w:proofErr w:type="spellEnd"/>
      <w:r w:rsidRPr="0084717A">
        <w:rPr>
          <w:rFonts w:ascii="Times New Roman" w:hAnsi="Times New Roman" w:cs="Times New Roman"/>
          <w:sz w:val="28"/>
          <w:szCs w:val="28"/>
        </w:rPr>
        <w:t xml:space="preserve"> оцінювання ризиків і процедур взаємодії.</w:t>
      </w:r>
    </w:p>
    <w:p w14:paraId="5893BE4B"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у сфері енергетичної стійкості стратегічна мета може полягати у збереженні безперервності енергопостачання, але на урядово-координаційному рівні ця мета перетворюється на конкретні рішення: створення резервів обладнання, визначення пріоритетних споживачів, координацію з операторами енергетичного ринку, залучення міжнародної допомоги, нормативне врегулювання аварійних режимів роботи, фінансування ремонтних робіт і комунікацію з населенням.</w:t>
      </w:r>
    </w:p>
    <w:p w14:paraId="36F83450"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Третій рівень — секторальний.</w:t>
      </w:r>
      <w:r w:rsidRPr="0084717A">
        <w:rPr>
          <w:rFonts w:ascii="Times New Roman" w:hAnsi="Times New Roman" w:cs="Times New Roman"/>
          <w:sz w:val="28"/>
          <w:szCs w:val="28"/>
        </w:rPr>
        <w:t xml:space="preserve"> На цьому рівні стійкість забезпечується в окремих сферах: енергетиці, транспорті, охороні здоров’я, </w:t>
      </w:r>
      <w:proofErr w:type="spellStart"/>
      <w:r w:rsidRPr="0084717A">
        <w:rPr>
          <w:rFonts w:ascii="Times New Roman" w:hAnsi="Times New Roman" w:cs="Times New Roman"/>
          <w:sz w:val="28"/>
          <w:szCs w:val="28"/>
        </w:rPr>
        <w:t>кібербезпеці</w:t>
      </w:r>
      <w:proofErr w:type="spellEnd"/>
      <w:r w:rsidRPr="0084717A">
        <w:rPr>
          <w:rFonts w:ascii="Times New Roman" w:hAnsi="Times New Roman" w:cs="Times New Roman"/>
          <w:sz w:val="28"/>
          <w:szCs w:val="28"/>
        </w:rPr>
        <w:t>, освіті, продовольчій безпеці, фінансовій системі, зв’язку, водопостачанні, соціальному захисті, обороні, публічній безпеці. Кожен сектор має власні ризики, критичні функції, інфраструктуру, професійні стандарти, регуляторів і операторів.</w:t>
      </w:r>
    </w:p>
    <w:p w14:paraId="6AFBBE92"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Особливо показовим є сектор критичної інфраструктури. Закон України «Про критичну інфраструктуру» визначає правові та організаційні засади створення і функціонування національної системи захисту критичної інфраструктури та прямо пов’язує її із законодавством у сфері національної безпеки. Це означає, що захист критичної інфраструктури є не лише технічним або господарським питанням, а елементом національної стійкості. </w:t>
      </w:r>
    </w:p>
    <w:p w14:paraId="56CADB40"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цьому контексті важливо пояснити аспірантам різницю між </w:t>
      </w:r>
      <w:r w:rsidRPr="0084717A">
        <w:rPr>
          <w:rFonts w:ascii="Times New Roman" w:hAnsi="Times New Roman" w:cs="Times New Roman"/>
          <w:b/>
          <w:bCs/>
          <w:sz w:val="28"/>
          <w:szCs w:val="28"/>
        </w:rPr>
        <w:t>секторальною відповідальністю</w:t>
      </w:r>
      <w:r w:rsidRPr="0084717A">
        <w:rPr>
          <w:rFonts w:ascii="Times New Roman" w:hAnsi="Times New Roman" w:cs="Times New Roman"/>
          <w:sz w:val="28"/>
          <w:szCs w:val="28"/>
        </w:rPr>
        <w:t xml:space="preserve"> і </w:t>
      </w:r>
      <w:r w:rsidRPr="0084717A">
        <w:rPr>
          <w:rFonts w:ascii="Times New Roman" w:hAnsi="Times New Roman" w:cs="Times New Roman"/>
          <w:b/>
          <w:bCs/>
          <w:sz w:val="28"/>
          <w:szCs w:val="28"/>
        </w:rPr>
        <w:t>загальнонаціональною координацією</w:t>
      </w:r>
      <w:r w:rsidRPr="0084717A">
        <w:rPr>
          <w:rFonts w:ascii="Times New Roman" w:hAnsi="Times New Roman" w:cs="Times New Roman"/>
          <w:sz w:val="28"/>
          <w:szCs w:val="28"/>
        </w:rPr>
        <w:t>. Секторальний орган може відповідати за певну сферу, наприклад енергетику або транспорт, але наслідки кризи в одному секторі швидко поширюються на інші. Пошкодження енергетичної інфраструктури впливає на водопостачання, зв’язок, медицину, транспорт, освіту, місцеву економіку й соціальний захист. Тому секторальна архітектура має бути інтегрована в ширшу систему міжвідомчого управління.</w:t>
      </w:r>
    </w:p>
    <w:p w14:paraId="3F4A1BF6"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Четвертий рівень — регіональний і місцевий.</w:t>
      </w:r>
      <w:r w:rsidRPr="0084717A">
        <w:rPr>
          <w:rFonts w:ascii="Times New Roman" w:hAnsi="Times New Roman" w:cs="Times New Roman"/>
          <w:sz w:val="28"/>
          <w:szCs w:val="28"/>
        </w:rPr>
        <w:t xml:space="preserve"> Він має особливе значення для національної стійкості, оскільки саме на рівні областей, районів і територіальних громад кризові явища набувають конкретної форми. Саме тут організовується евакуація, розміщення внутрішньо переміщених осіб, робота пунктів незламності, забезпечення водою, теплом, транспортом, комунікація з населенням, відновлення пошкоджених об’єктів, підтримка закладів освіти й охорони здоров’я.</w:t>
      </w:r>
    </w:p>
    <w:p w14:paraId="191F93EC"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 умовах воєнного стану особливу роль відіграють військові адміністрації. Закон України «Про правовий режим воєнного стану» передбачає, що військові адміністрації населених пунктів здійснюють, зокрема, делеговані повноваження органів виконавчої влади, надані органам місцевого самоврядування законами України. Це демонструє специфіку кризової інституційної архітектури, коли в умовах воєнної загрози частина управлінських функцій реалізується через спеціальні адміністративно-правові механізми. </w:t>
      </w:r>
    </w:p>
    <w:p w14:paraId="6B7A7942"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Разом із тим не варто розглядати військові адміністрації як повну заміну місцевого самоврядування у </w:t>
      </w:r>
      <w:proofErr w:type="spellStart"/>
      <w:r w:rsidRPr="0084717A">
        <w:rPr>
          <w:rFonts w:ascii="Times New Roman" w:hAnsi="Times New Roman" w:cs="Times New Roman"/>
          <w:sz w:val="28"/>
          <w:szCs w:val="28"/>
        </w:rPr>
        <w:t>логіці</w:t>
      </w:r>
      <w:proofErr w:type="spellEnd"/>
      <w:r w:rsidRPr="0084717A">
        <w:rPr>
          <w:rFonts w:ascii="Times New Roman" w:hAnsi="Times New Roman" w:cs="Times New Roman"/>
          <w:sz w:val="28"/>
          <w:szCs w:val="28"/>
        </w:rPr>
        <w:t xml:space="preserve"> стійкості. У практичному вимірі ефективність кризового управління значною мірою залежить від того, наскільки військові адміністрації, органи місцевого самоврядування, комунальні підприємства, місцевий бізнес, волонтерські структури та громадські організації здатні координувати дії. </w:t>
      </w:r>
      <w:r w:rsidRPr="0084717A">
        <w:rPr>
          <w:rFonts w:ascii="Times New Roman" w:hAnsi="Times New Roman" w:cs="Times New Roman"/>
          <w:sz w:val="28"/>
          <w:szCs w:val="28"/>
        </w:rPr>
        <w:lastRenderedPageBreak/>
        <w:t>Тобто навіть у більш централізованому режимі управління стійкість залишається багаторівневою і партнерською.</w:t>
      </w:r>
    </w:p>
    <w:p w14:paraId="548ABF7A"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П’ятий рівень — суспільний і приватний.</w:t>
      </w:r>
      <w:r w:rsidRPr="0084717A">
        <w:rPr>
          <w:rFonts w:ascii="Times New Roman" w:hAnsi="Times New Roman" w:cs="Times New Roman"/>
          <w:sz w:val="28"/>
          <w:szCs w:val="28"/>
        </w:rPr>
        <w:t xml:space="preserve"> До нього належать бізнес, оператори критичної інфраструктури, громадські організації, волонтерські мережі, професійні асоціації, заклади освіти, наукові установи, медіа, громадяни. У сучасних умовах держава не володіє всіма ресурсами, необхідними для забезпечення стійкості. Значна частина критичної інфраструктури, технологічних рішень, логістичних можливостей, експертних знань і комунікаційних каналів перебуває поза межами класичного державного апарату. Тому інституційна архітектура стійкості неминуче передбачає партнерство держави з недержавними суб’єктами.</w:t>
      </w:r>
    </w:p>
    <w:p w14:paraId="69E097BD"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під час масштабних криз волонтерські організації можуть швидше доставляти допомогу в окремі громади, бізнес може забезпечувати логістику або обладнання, ІТ-компанії — підтримувати цифрові сервіси, університети й аналітичні центри — надавати експертизу, а медіа — забезпечувати поширення перевіреної інформації. Але для того, щоб ці ресурси справді працювали на стійкість, потрібні правила взаємодії, канали координації, прозорі процедури, довіра та відповідальність.</w:t>
      </w:r>
    </w:p>
    <w:p w14:paraId="682A277E"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межах лекції варто окремо зупинитися на </w:t>
      </w:r>
      <w:r w:rsidRPr="0084717A">
        <w:rPr>
          <w:rFonts w:ascii="Times New Roman" w:hAnsi="Times New Roman" w:cs="Times New Roman"/>
          <w:b/>
          <w:bCs/>
          <w:sz w:val="28"/>
          <w:szCs w:val="28"/>
        </w:rPr>
        <w:t>розподілі повноважень</w:t>
      </w:r>
      <w:r w:rsidRPr="0084717A">
        <w:rPr>
          <w:rFonts w:ascii="Times New Roman" w:hAnsi="Times New Roman" w:cs="Times New Roman"/>
          <w:sz w:val="28"/>
          <w:szCs w:val="28"/>
        </w:rPr>
        <w:t xml:space="preserve"> між суб’єктами управління. Розподіл повноважень у системі стійкості має відповідати кільком принципам.</w:t>
      </w:r>
    </w:p>
    <w:p w14:paraId="3439F3F3"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Перший принцип — </w:t>
      </w:r>
      <w:r w:rsidRPr="0084717A">
        <w:rPr>
          <w:rFonts w:ascii="Times New Roman" w:hAnsi="Times New Roman" w:cs="Times New Roman"/>
          <w:b/>
          <w:bCs/>
          <w:sz w:val="28"/>
          <w:szCs w:val="28"/>
        </w:rPr>
        <w:t>чіткість відповідальності</w:t>
      </w:r>
      <w:r w:rsidRPr="0084717A">
        <w:rPr>
          <w:rFonts w:ascii="Times New Roman" w:hAnsi="Times New Roman" w:cs="Times New Roman"/>
          <w:sz w:val="28"/>
          <w:szCs w:val="28"/>
        </w:rPr>
        <w:t>. Кожен суб’єкт має розуміти, за що саме він відповідає у звичайному режимі, у режимі підвищеної готовності, під час кризи та на етапі відновлення. Нечіткість відповідальності призводить до дублювання дій, втрати часу, управлінських конфліктів і розмивання відповідальності.</w:t>
      </w:r>
    </w:p>
    <w:p w14:paraId="2E508FB0"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Другий принцип — </w:t>
      </w:r>
      <w:proofErr w:type="spellStart"/>
      <w:r w:rsidRPr="0084717A">
        <w:rPr>
          <w:rFonts w:ascii="Times New Roman" w:hAnsi="Times New Roman" w:cs="Times New Roman"/>
          <w:b/>
          <w:bCs/>
          <w:sz w:val="28"/>
          <w:szCs w:val="28"/>
        </w:rPr>
        <w:t>субсидіарність</w:t>
      </w:r>
      <w:proofErr w:type="spellEnd"/>
      <w:r w:rsidRPr="0084717A">
        <w:rPr>
          <w:rFonts w:ascii="Times New Roman" w:hAnsi="Times New Roman" w:cs="Times New Roman"/>
          <w:sz w:val="28"/>
          <w:szCs w:val="28"/>
        </w:rPr>
        <w:t xml:space="preserve">. Рішення мають ухвалюватися на тому рівні, який найближчий до проблеми і здатний ефективно її вирішити. Наприклад, питання локальної евакуації, розміщення населення, роботи комунальних служб часто краще вирішуються на рівні громади або області. Водночас питання мобілізації загальнодержавних ресурсів, міжнародної допомоги, оборонного планування або національної </w:t>
      </w:r>
      <w:proofErr w:type="spellStart"/>
      <w:r w:rsidRPr="0084717A">
        <w:rPr>
          <w:rFonts w:ascii="Times New Roman" w:hAnsi="Times New Roman" w:cs="Times New Roman"/>
          <w:sz w:val="28"/>
          <w:szCs w:val="28"/>
        </w:rPr>
        <w:t>кібербезпеки</w:t>
      </w:r>
      <w:proofErr w:type="spellEnd"/>
      <w:r w:rsidRPr="0084717A">
        <w:rPr>
          <w:rFonts w:ascii="Times New Roman" w:hAnsi="Times New Roman" w:cs="Times New Roman"/>
          <w:sz w:val="28"/>
          <w:szCs w:val="28"/>
        </w:rPr>
        <w:t xml:space="preserve"> потребують центральної координації.</w:t>
      </w:r>
    </w:p>
    <w:p w14:paraId="63A527AE"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Третій принцип — </w:t>
      </w:r>
      <w:r w:rsidRPr="0084717A">
        <w:rPr>
          <w:rFonts w:ascii="Times New Roman" w:hAnsi="Times New Roman" w:cs="Times New Roman"/>
          <w:b/>
          <w:bCs/>
          <w:sz w:val="28"/>
          <w:szCs w:val="28"/>
        </w:rPr>
        <w:t>координованість</w:t>
      </w:r>
      <w:r w:rsidRPr="0084717A">
        <w:rPr>
          <w:rFonts w:ascii="Times New Roman" w:hAnsi="Times New Roman" w:cs="Times New Roman"/>
          <w:sz w:val="28"/>
          <w:szCs w:val="28"/>
        </w:rPr>
        <w:t>. Навіть якщо повноваження формально розподілені, вони мають бути поєднані через механізми координації. Для стійкості недостатньо, щоб кожен орган “робив свою роботу” ізольовано. Потрібно, щоб рішення різних органів були сумісними, інформація передавалася вчасно, ресурси не дублювалися, а дії не суперечили одна одній.</w:t>
      </w:r>
    </w:p>
    <w:p w14:paraId="51F028C2"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Четвертий принцип — </w:t>
      </w:r>
      <w:r w:rsidRPr="0084717A">
        <w:rPr>
          <w:rFonts w:ascii="Times New Roman" w:hAnsi="Times New Roman" w:cs="Times New Roman"/>
          <w:b/>
          <w:bCs/>
          <w:sz w:val="28"/>
          <w:szCs w:val="28"/>
        </w:rPr>
        <w:t>безперервність управління</w:t>
      </w:r>
      <w:r w:rsidRPr="0084717A">
        <w:rPr>
          <w:rFonts w:ascii="Times New Roman" w:hAnsi="Times New Roman" w:cs="Times New Roman"/>
          <w:sz w:val="28"/>
          <w:szCs w:val="28"/>
        </w:rPr>
        <w:t>. Інституційна архітектура має передбачати резервні процедури: хто ухвалює рішення, якщо основний орган не може працювати; як забезпечується зв’язок у разі відключення електроенергії; як передаються дані; хто відповідає за критичні послуги у випадку пошкодження адміністративної інфраструктури.</w:t>
      </w:r>
    </w:p>
    <w:p w14:paraId="05587F8F"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П’ятий принцип — </w:t>
      </w:r>
      <w:r w:rsidRPr="0084717A">
        <w:rPr>
          <w:rFonts w:ascii="Times New Roman" w:hAnsi="Times New Roman" w:cs="Times New Roman"/>
          <w:b/>
          <w:bCs/>
          <w:sz w:val="28"/>
          <w:szCs w:val="28"/>
        </w:rPr>
        <w:t>адаптивність</w:t>
      </w:r>
      <w:r w:rsidRPr="0084717A">
        <w:rPr>
          <w:rFonts w:ascii="Times New Roman" w:hAnsi="Times New Roman" w:cs="Times New Roman"/>
          <w:sz w:val="28"/>
          <w:szCs w:val="28"/>
        </w:rPr>
        <w:t xml:space="preserve">. Система повноважень не повинна бути надмірно жорсткою. У кризових умовах виникають ситуації, які неможливо повністю передбачити нормативно. Тому потрібні механізми делегування, </w:t>
      </w:r>
      <w:r w:rsidRPr="0084717A">
        <w:rPr>
          <w:rFonts w:ascii="Times New Roman" w:hAnsi="Times New Roman" w:cs="Times New Roman"/>
          <w:sz w:val="28"/>
          <w:szCs w:val="28"/>
        </w:rPr>
        <w:lastRenderedPageBreak/>
        <w:t>тимчасового перерозподілу ресурсів, створення кризових штабів, оперативних груп, міжвідомчих центрів та інших гнучких управлінських форматів.</w:t>
      </w:r>
    </w:p>
    <w:p w14:paraId="2F2245B3"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Для кращого розуміння можна запропонувати аспірантам таку аналітичну схему.</w:t>
      </w:r>
    </w:p>
    <w:p w14:paraId="50D8B912"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w:t>
      </w:r>
      <w:r w:rsidRPr="0084717A">
        <w:rPr>
          <w:rFonts w:ascii="Times New Roman" w:hAnsi="Times New Roman" w:cs="Times New Roman"/>
          <w:b/>
          <w:bCs/>
          <w:sz w:val="28"/>
          <w:szCs w:val="28"/>
        </w:rPr>
        <w:t>центральному рівні</w:t>
      </w:r>
      <w:r w:rsidRPr="0084717A">
        <w:rPr>
          <w:rFonts w:ascii="Times New Roman" w:hAnsi="Times New Roman" w:cs="Times New Roman"/>
          <w:sz w:val="28"/>
          <w:szCs w:val="28"/>
        </w:rPr>
        <w:t xml:space="preserve"> формуються стратегія, політика, нормативне регулювання, загальнодержавні плани, ресурсні пріоритети та міжнародна координація.</w:t>
      </w:r>
    </w:p>
    <w:p w14:paraId="2540C799"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w:t>
      </w:r>
      <w:r w:rsidRPr="0084717A">
        <w:rPr>
          <w:rFonts w:ascii="Times New Roman" w:hAnsi="Times New Roman" w:cs="Times New Roman"/>
          <w:b/>
          <w:bCs/>
          <w:sz w:val="28"/>
          <w:szCs w:val="28"/>
        </w:rPr>
        <w:t>секторальному рівні</w:t>
      </w:r>
      <w:r w:rsidRPr="0084717A">
        <w:rPr>
          <w:rFonts w:ascii="Times New Roman" w:hAnsi="Times New Roman" w:cs="Times New Roman"/>
          <w:sz w:val="28"/>
          <w:szCs w:val="28"/>
        </w:rPr>
        <w:t xml:space="preserve"> визначаються специфічні ризики, стандарти безпеки, функціональні спроможності, відповідальні оператори, резервні процедури та секторальні плани реагування.</w:t>
      </w:r>
    </w:p>
    <w:p w14:paraId="41360D2D"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w:t>
      </w:r>
      <w:r w:rsidRPr="0084717A">
        <w:rPr>
          <w:rFonts w:ascii="Times New Roman" w:hAnsi="Times New Roman" w:cs="Times New Roman"/>
          <w:b/>
          <w:bCs/>
          <w:sz w:val="28"/>
          <w:szCs w:val="28"/>
        </w:rPr>
        <w:t>регіональному рівні</w:t>
      </w:r>
      <w:r w:rsidRPr="0084717A">
        <w:rPr>
          <w:rFonts w:ascii="Times New Roman" w:hAnsi="Times New Roman" w:cs="Times New Roman"/>
          <w:sz w:val="28"/>
          <w:szCs w:val="28"/>
        </w:rPr>
        <w:t xml:space="preserve"> здійснюється координація між територіальними підрозділами центральних органів влади, військовими адміністраціями, обласними структурами, службами цивільного захисту, правоохоронними органами, медичною системою та інфраструктурними операторами.</w:t>
      </w:r>
    </w:p>
    <w:p w14:paraId="51A453F5"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w:t>
      </w:r>
      <w:r w:rsidRPr="0084717A">
        <w:rPr>
          <w:rFonts w:ascii="Times New Roman" w:hAnsi="Times New Roman" w:cs="Times New Roman"/>
          <w:b/>
          <w:bCs/>
          <w:sz w:val="28"/>
          <w:szCs w:val="28"/>
        </w:rPr>
        <w:t>місцевому рівні</w:t>
      </w:r>
      <w:r w:rsidRPr="0084717A">
        <w:rPr>
          <w:rFonts w:ascii="Times New Roman" w:hAnsi="Times New Roman" w:cs="Times New Roman"/>
          <w:sz w:val="28"/>
          <w:szCs w:val="28"/>
        </w:rPr>
        <w:t xml:space="preserve"> забезпечуються конкретні послуги для населення, робота комунальної інфраструктури, локальне реагування, комунікація з громадянами, підтримка вразливих груп і первинне відновлення.</w:t>
      </w:r>
    </w:p>
    <w:p w14:paraId="2835CB53"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w:t>
      </w:r>
      <w:r w:rsidRPr="0084717A">
        <w:rPr>
          <w:rFonts w:ascii="Times New Roman" w:hAnsi="Times New Roman" w:cs="Times New Roman"/>
          <w:b/>
          <w:bCs/>
          <w:sz w:val="28"/>
          <w:szCs w:val="28"/>
        </w:rPr>
        <w:t>суспільному рівні</w:t>
      </w:r>
      <w:r w:rsidRPr="0084717A">
        <w:rPr>
          <w:rFonts w:ascii="Times New Roman" w:hAnsi="Times New Roman" w:cs="Times New Roman"/>
          <w:sz w:val="28"/>
          <w:szCs w:val="28"/>
        </w:rPr>
        <w:t xml:space="preserve"> мобілізуються ресурси громадянського суспільства, волонтерів, бізнесу, експертних спільнот і громадян.</w:t>
      </w:r>
    </w:p>
    <w:p w14:paraId="32C60984"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Як приклад можна розглянути ситуацію руйнування великого енергетичного об’єкта. Центральна влада визначає загальнодержавні пріоритети реагування, уряд координує ресурси і міжнародну допомогу, секторальне міністерство та енергетичні оператори організовують технічне відновлення, військові та правоохоронні органи забезпечують захист і режим доступу, обласна військова адміністрація координує дії на території, громади організовують пункти допомоги, лікарні переходять на резервне живлення, комунальні підприємства забезпечують воду й тепло, громадські організації допомагають вразливим групам, а медіа та офіційні канали інформують населення. У цьому прикладі стійкість виникає не з діяльності одного органу, а з </w:t>
      </w:r>
      <w:r w:rsidRPr="0084717A">
        <w:rPr>
          <w:rFonts w:ascii="Times New Roman" w:hAnsi="Times New Roman" w:cs="Times New Roman"/>
          <w:b/>
          <w:bCs/>
          <w:sz w:val="28"/>
          <w:szCs w:val="28"/>
        </w:rPr>
        <w:t>узгодженості всієї системи</w:t>
      </w:r>
      <w:r w:rsidRPr="0084717A">
        <w:rPr>
          <w:rFonts w:ascii="Times New Roman" w:hAnsi="Times New Roman" w:cs="Times New Roman"/>
          <w:sz w:val="28"/>
          <w:szCs w:val="28"/>
        </w:rPr>
        <w:t>.</w:t>
      </w:r>
    </w:p>
    <w:p w14:paraId="7267E90A"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Інший приклад — кібератака на державні цифрові сервіси. Тут відповідальність розподіляється між органами </w:t>
      </w:r>
      <w:proofErr w:type="spellStart"/>
      <w:r w:rsidRPr="0084717A">
        <w:rPr>
          <w:rFonts w:ascii="Times New Roman" w:hAnsi="Times New Roman" w:cs="Times New Roman"/>
          <w:sz w:val="28"/>
          <w:szCs w:val="28"/>
        </w:rPr>
        <w:t>кібербезпеки</w:t>
      </w:r>
      <w:proofErr w:type="spellEnd"/>
      <w:r w:rsidRPr="0084717A">
        <w:rPr>
          <w:rFonts w:ascii="Times New Roman" w:hAnsi="Times New Roman" w:cs="Times New Roman"/>
          <w:sz w:val="28"/>
          <w:szCs w:val="28"/>
        </w:rPr>
        <w:t>, адміністраторами інформаційних систем, міністерствами, надавачами цифрових послуг, правоохоронними органами, комунікаційними підрозділами та користувачами. Якщо відсутній резервний доступ до даних, плани відновлення, міжвідомчі протоколи, комунікація з громадянами та механізми швидкої технічної підтримки, навіть локальна кібератака може перетворитися на кризу довіри до держави.</w:t>
      </w:r>
    </w:p>
    <w:p w14:paraId="1764078A"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Окремої уваги потребує питання </w:t>
      </w:r>
      <w:r w:rsidRPr="0084717A">
        <w:rPr>
          <w:rFonts w:ascii="Times New Roman" w:hAnsi="Times New Roman" w:cs="Times New Roman"/>
          <w:b/>
          <w:bCs/>
          <w:sz w:val="28"/>
          <w:szCs w:val="28"/>
        </w:rPr>
        <w:t>інституційної фрагментації</w:t>
      </w:r>
      <w:r w:rsidRPr="0084717A">
        <w:rPr>
          <w:rFonts w:ascii="Times New Roman" w:hAnsi="Times New Roman" w:cs="Times New Roman"/>
          <w:sz w:val="28"/>
          <w:szCs w:val="28"/>
        </w:rPr>
        <w:t xml:space="preserve">. У багатьох країнах, зокрема й в Україні, різні аспекти стійкості історично розвивалися в межах окремих політик: національна безпека, цивільний захист, критична інфраструктура, </w:t>
      </w:r>
      <w:proofErr w:type="spellStart"/>
      <w:r w:rsidRPr="0084717A">
        <w:rPr>
          <w:rFonts w:ascii="Times New Roman" w:hAnsi="Times New Roman" w:cs="Times New Roman"/>
          <w:sz w:val="28"/>
          <w:szCs w:val="28"/>
        </w:rPr>
        <w:t>кібербезпека</w:t>
      </w:r>
      <w:proofErr w:type="spellEnd"/>
      <w:r w:rsidRPr="0084717A">
        <w:rPr>
          <w:rFonts w:ascii="Times New Roman" w:hAnsi="Times New Roman" w:cs="Times New Roman"/>
          <w:sz w:val="28"/>
          <w:szCs w:val="28"/>
        </w:rPr>
        <w:t xml:space="preserve">, охорона здоров’я, регіональна політика, енергетика, інформаційна безпека, соціальний захист. Кожна сфера має власні інституції, нормативну базу, професійну культуру та логіку управління. Проблема полягає в тому, що сучасні загрози не поважають адміністративних меж між секторами. Саме тому головним завданням інституційної архітектури стійкості є не лише створення нових органів, а насамперед </w:t>
      </w:r>
      <w:r w:rsidRPr="0084717A">
        <w:rPr>
          <w:rFonts w:ascii="Times New Roman" w:hAnsi="Times New Roman" w:cs="Times New Roman"/>
          <w:b/>
          <w:bCs/>
          <w:sz w:val="28"/>
          <w:szCs w:val="28"/>
        </w:rPr>
        <w:t>зв’язування вже існуючих інституцій у дієву систему</w:t>
      </w:r>
      <w:r w:rsidRPr="0084717A">
        <w:rPr>
          <w:rFonts w:ascii="Times New Roman" w:hAnsi="Times New Roman" w:cs="Times New Roman"/>
          <w:sz w:val="28"/>
          <w:szCs w:val="28"/>
        </w:rPr>
        <w:t>.</w:t>
      </w:r>
    </w:p>
    <w:p w14:paraId="738209FA"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Для аспірантів доцільно сформулювати таку тезу: </w:t>
      </w:r>
      <w:r w:rsidRPr="0084717A">
        <w:rPr>
          <w:rFonts w:ascii="Times New Roman" w:hAnsi="Times New Roman" w:cs="Times New Roman"/>
          <w:b/>
          <w:bCs/>
          <w:sz w:val="28"/>
          <w:szCs w:val="28"/>
        </w:rPr>
        <w:t>слабкість інституційної архітектури проявляється не лише у відсутності певного органу, а й у відсутності узгоджених процедур між органами, недостатньому обміні інформацією, дублюванні повноважень, конкуренції за ресурси, неготовності до спільного планування та низькому рівні довіри між суб’єктами</w:t>
      </w:r>
      <w:r w:rsidRPr="0084717A">
        <w:rPr>
          <w:rFonts w:ascii="Times New Roman" w:hAnsi="Times New Roman" w:cs="Times New Roman"/>
          <w:sz w:val="28"/>
          <w:szCs w:val="28"/>
        </w:rPr>
        <w:t>.</w:t>
      </w:r>
    </w:p>
    <w:p w14:paraId="5EC5BBA5"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Звідси випливає важлива методологічна позиція: оцінюючи інституційну архітектуру національної стійкості, потрібно аналізувати не тільки формальну структуру органів влади, а й </w:t>
      </w:r>
      <w:r w:rsidRPr="0084717A">
        <w:rPr>
          <w:rFonts w:ascii="Times New Roman" w:hAnsi="Times New Roman" w:cs="Times New Roman"/>
          <w:b/>
          <w:bCs/>
          <w:sz w:val="28"/>
          <w:szCs w:val="28"/>
        </w:rPr>
        <w:t>якість взаємодії</w:t>
      </w:r>
      <w:r w:rsidRPr="0084717A">
        <w:rPr>
          <w:rFonts w:ascii="Times New Roman" w:hAnsi="Times New Roman" w:cs="Times New Roman"/>
          <w:sz w:val="28"/>
          <w:szCs w:val="28"/>
        </w:rPr>
        <w:t xml:space="preserve"> між ними. Наприклад, на папері можуть існувати плани реагування, відповідальні органи й координаційні комісії, але фактична стійкість </w:t>
      </w:r>
      <w:proofErr w:type="spellStart"/>
      <w:r w:rsidRPr="0084717A">
        <w:rPr>
          <w:rFonts w:ascii="Times New Roman" w:hAnsi="Times New Roman" w:cs="Times New Roman"/>
          <w:sz w:val="28"/>
          <w:szCs w:val="28"/>
        </w:rPr>
        <w:t>залежатиме</w:t>
      </w:r>
      <w:proofErr w:type="spellEnd"/>
      <w:r w:rsidRPr="0084717A">
        <w:rPr>
          <w:rFonts w:ascii="Times New Roman" w:hAnsi="Times New Roman" w:cs="Times New Roman"/>
          <w:sz w:val="28"/>
          <w:szCs w:val="28"/>
        </w:rPr>
        <w:t xml:space="preserve"> від того, чи проводяться спільні навчання, чи оновлюються контакти, чи є сумісні інформаційні системи, чи відпрацьовані сценарії, чи знають посадові особи свої ролі, чи є резервні ресурси, чи здійснюється </w:t>
      </w:r>
      <w:proofErr w:type="spellStart"/>
      <w:r w:rsidRPr="0084717A">
        <w:rPr>
          <w:rFonts w:ascii="Times New Roman" w:hAnsi="Times New Roman" w:cs="Times New Roman"/>
          <w:sz w:val="28"/>
          <w:szCs w:val="28"/>
        </w:rPr>
        <w:t>післякризовий</w:t>
      </w:r>
      <w:proofErr w:type="spellEnd"/>
      <w:r w:rsidRPr="0084717A">
        <w:rPr>
          <w:rFonts w:ascii="Times New Roman" w:hAnsi="Times New Roman" w:cs="Times New Roman"/>
          <w:sz w:val="28"/>
          <w:szCs w:val="28"/>
        </w:rPr>
        <w:t xml:space="preserve"> аналіз помилок.</w:t>
      </w:r>
    </w:p>
    <w:p w14:paraId="62BCA4A5"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підсумку інституційна архітектура забезпечення національної стійкості виконує кілька базових функцій.</w:t>
      </w:r>
    </w:p>
    <w:p w14:paraId="7A0549DF"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По-перше, </w:t>
      </w:r>
      <w:r w:rsidRPr="0084717A">
        <w:rPr>
          <w:rFonts w:ascii="Times New Roman" w:hAnsi="Times New Roman" w:cs="Times New Roman"/>
          <w:b/>
          <w:bCs/>
          <w:sz w:val="28"/>
          <w:szCs w:val="28"/>
        </w:rPr>
        <w:t>нормативно-рамкову функцію</w:t>
      </w:r>
      <w:r w:rsidRPr="0084717A">
        <w:rPr>
          <w:rFonts w:ascii="Times New Roman" w:hAnsi="Times New Roman" w:cs="Times New Roman"/>
          <w:sz w:val="28"/>
          <w:szCs w:val="28"/>
        </w:rPr>
        <w:t>, оскільки визначає правові підстави дій суб’єктів управління.</w:t>
      </w:r>
    </w:p>
    <w:p w14:paraId="37EFDA7C"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По-друге, </w:t>
      </w:r>
      <w:r w:rsidRPr="0084717A">
        <w:rPr>
          <w:rFonts w:ascii="Times New Roman" w:hAnsi="Times New Roman" w:cs="Times New Roman"/>
          <w:b/>
          <w:bCs/>
          <w:sz w:val="28"/>
          <w:szCs w:val="28"/>
        </w:rPr>
        <w:t>координаційну функцію</w:t>
      </w:r>
      <w:r w:rsidRPr="0084717A">
        <w:rPr>
          <w:rFonts w:ascii="Times New Roman" w:hAnsi="Times New Roman" w:cs="Times New Roman"/>
          <w:sz w:val="28"/>
          <w:szCs w:val="28"/>
        </w:rPr>
        <w:t>, оскільки поєднує різні органи, рівні влади, сектори й недержавних учасників.</w:t>
      </w:r>
    </w:p>
    <w:p w14:paraId="079DA53C"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По-третє, </w:t>
      </w:r>
      <w:r w:rsidRPr="0084717A">
        <w:rPr>
          <w:rFonts w:ascii="Times New Roman" w:hAnsi="Times New Roman" w:cs="Times New Roman"/>
          <w:b/>
          <w:bCs/>
          <w:sz w:val="28"/>
          <w:szCs w:val="28"/>
        </w:rPr>
        <w:t>розподільчу функцію</w:t>
      </w:r>
      <w:r w:rsidRPr="0084717A">
        <w:rPr>
          <w:rFonts w:ascii="Times New Roman" w:hAnsi="Times New Roman" w:cs="Times New Roman"/>
          <w:sz w:val="28"/>
          <w:szCs w:val="28"/>
        </w:rPr>
        <w:t>, оскільки визначає, хто відповідає за ресурси, інформацію, рішення, послуги й відновлення.</w:t>
      </w:r>
    </w:p>
    <w:p w14:paraId="45D8AEA3"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По-четверте, </w:t>
      </w:r>
      <w:r w:rsidRPr="0084717A">
        <w:rPr>
          <w:rFonts w:ascii="Times New Roman" w:hAnsi="Times New Roman" w:cs="Times New Roman"/>
          <w:b/>
          <w:bCs/>
          <w:sz w:val="28"/>
          <w:szCs w:val="28"/>
        </w:rPr>
        <w:t>інтеграційну функцію</w:t>
      </w:r>
      <w:r w:rsidRPr="0084717A">
        <w:rPr>
          <w:rFonts w:ascii="Times New Roman" w:hAnsi="Times New Roman" w:cs="Times New Roman"/>
          <w:sz w:val="28"/>
          <w:szCs w:val="28"/>
        </w:rPr>
        <w:t>, оскільки забезпечує зв’язок між безпековою, соціальною, економічною, інфраструктурною та гуманітарною політиками.</w:t>
      </w:r>
    </w:p>
    <w:p w14:paraId="24B073C4"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По-п’яте, </w:t>
      </w:r>
      <w:r w:rsidRPr="0084717A">
        <w:rPr>
          <w:rFonts w:ascii="Times New Roman" w:hAnsi="Times New Roman" w:cs="Times New Roman"/>
          <w:b/>
          <w:bCs/>
          <w:sz w:val="28"/>
          <w:szCs w:val="28"/>
        </w:rPr>
        <w:t>адаптаційну функцію</w:t>
      </w:r>
      <w:r w:rsidRPr="0084717A">
        <w:rPr>
          <w:rFonts w:ascii="Times New Roman" w:hAnsi="Times New Roman" w:cs="Times New Roman"/>
          <w:sz w:val="28"/>
          <w:szCs w:val="28"/>
        </w:rPr>
        <w:t>, оскільки дозволяє системі управління змінювати режим роботи залежно від характеру загроз.</w:t>
      </w:r>
    </w:p>
    <w:p w14:paraId="2055E3CC" w14:textId="77777777" w:rsidR="007B2B44" w:rsidRPr="0084717A" w:rsidRDefault="007B2B44" w:rsidP="007B2B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Отже, інституційна архітектура національної стійкості — це не лише сукупність органів влади. Це </w:t>
      </w:r>
      <w:r w:rsidRPr="0084717A">
        <w:rPr>
          <w:rFonts w:ascii="Times New Roman" w:hAnsi="Times New Roman" w:cs="Times New Roman"/>
          <w:b/>
          <w:bCs/>
          <w:sz w:val="28"/>
          <w:szCs w:val="28"/>
        </w:rPr>
        <w:t>управлінська конструкція</w:t>
      </w:r>
      <w:r w:rsidRPr="0084717A">
        <w:rPr>
          <w:rFonts w:ascii="Times New Roman" w:hAnsi="Times New Roman" w:cs="Times New Roman"/>
          <w:sz w:val="28"/>
          <w:szCs w:val="28"/>
        </w:rPr>
        <w:t>, яка має забезпечити чіткий розподіл повноважень, ефективну координацію, вертикальну й горизонтальну взаємодію, залучення недержавних суб’єктів, безперервність критичних функцій і здатність до відновлення. Її ефективність визначається не кількістю інституцій, а тим, наскільки вони здатні діяти узгоджено в умовах тиску, невизначеності та дефіциту часу. Саме тому для сучасного публічного управління питання інституційної архітектури стійкості є питанням не лише адміністративної організації, а й виживання, легітимності та стратегічної спроможності держави.</w:t>
      </w:r>
    </w:p>
    <w:p w14:paraId="7EB62DF1" w14:textId="77777777" w:rsidR="002C3688" w:rsidRPr="0084717A" w:rsidRDefault="002C3688" w:rsidP="00835403">
      <w:pPr>
        <w:spacing w:after="0" w:line="240" w:lineRule="auto"/>
        <w:ind w:firstLine="720"/>
        <w:jc w:val="both"/>
        <w:rPr>
          <w:rFonts w:ascii="Times New Roman" w:hAnsi="Times New Roman" w:cs="Times New Roman"/>
          <w:sz w:val="28"/>
          <w:szCs w:val="28"/>
        </w:rPr>
      </w:pPr>
    </w:p>
    <w:p w14:paraId="468FA96E" w14:textId="77777777" w:rsidR="00120F44" w:rsidRPr="0084717A" w:rsidRDefault="00120F44" w:rsidP="00120F44">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3.3. Багаторівневе врядування у сфері протидії гібридним загрозам та механізми координації</w:t>
      </w:r>
    </w:p>
    <w:p w14:paraId="1063AE97"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Багаторівневе врядування у сфері протидії гібридним загрозам є одним із центральних елементів архітектури національної стійкості, оскільки сучасні загрози дедалі рідше мають суто військовий, суто економічний або суто інформаційний характер. Вони виникають на перетині різних сфер суспільного життя, охоплюють одночасно державні інституції, місцеві громади, критичну інфраструктуру, інформаційний простір, цифрові сервіси, економічні ланцюги, соціальну довіру та </w:t>
      </w:r>
      <w:r w:rsidRPr="0084717A">
        <w:rPr>
          <w:rFonts w:ascii="Times New Roman" w:hAnsi="Times New Roman" w:cs="Times New Roman"/>
          <w:sz w:val="28"/>
          <w:szCs w:val="28"/>
        </w:rPr>
        <w:lastRenderedPageBreak/>
        <w:t xml:space="preserve">міжнародне середовище. Саме тому протидія таким загрозам не може бути ефективною в межах </w:t>
      </w:r>
      <w:proofErr w:type="spellStart"/>
      <w:r w:rsidRPr="0084717A">
        <w:rPr>
          <w:rFonts w:ascii="Times New Roman" w:hAnsi="Times New Roman" w:cs="Times New Roman"/>
          <w:sz w:val="28"/>
          <w:szCs w:val="28"/>
        </w:rPr>
        <w:t>однорівневої</w:t>
      </w:r>
      <w:proofErr w:type="spellEnd"/>
      <w:r w:rsidRPr="0084717A">
        <w:rPr>
          <w:rFonts w:ascii="Times New Roman" w:hAnsi="Times New Roman" w:cs="Times New Roman"/>
          <w:sz w:val="28"/>
          <w:szCs w:val="28"/>
        </w:rPr>
        <w:t xml:space="preserve"> або суто ієрархічної моделі управління.</w:t>
      </w:r>
    </w:p>
    <w:p w14:paraId="5B2D9139"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Гібридні загрози</w:t>
      </w:r>
      <w:r w:rsidRPr="0084717A">
        <w:rPr>
          <w:rFonts w:ascii="Times New Roman" w:hAnsi="Times New Roman" w:cs="Times New Roman"/>
          <w:sz w:val="28"/>
          <w:szCs w:val="28"/>
        </w:rPr>
        <w:t xml:space="preserve"> можна визначити як комплекс скоординованих або взаємопов’язаних дій, що поєднують військові й невійськові інструменти впливу, спрямовані на послаблення держави, дезорганізацію суспільства, підрив довіри до інституцій, порушення функціонування критичних систем і нав’язування політичної волі противника без обов’язкового переходу до відкритої класичної війни. До таких інструментів належать інформаційні операції, кібератаки, економічний тиск, енергетичний шантаж, політичне втручання, підтримка внутрішньої дестабілізації, використання міграційних криз, правових маніпуляцій, корупційних мереж, диверсій, терористичних актів, дипломатичного тиску та воєнної сили.</w:t>
      </w:r>
    </w:p>
    <w:p w14:paraId="7E2924A6"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важливо підкреслити: гібридна загроза є небезпечною не лише через силу окремого інструменту, а через </w:t>
      </w:r>
      <w:r w:rsidRPr="0084717A">
        <w:rPr>
          <w:rFonts w:ascii="Times New Roman" w:hAnsi="Times New Roman" w:cs="Times New Roman"/>
          <w:b/>
          <w:bCs/>
          <w:sz w:val="28"/>
          <w:szCs w:val="28"/>
        </w:rPr>
        <w:t>синхронізацію різних впливів</w:t>
      </w:r>
      <w:r w:rsidRPr="0084717A">
        <w:rPr>
          <w:rFonts w:ascii="Times New Roman" w:hAnsi="Times New Roman" w:cs="Times New Roman"/>
          <w:sz w:val="28"/>
          <w:szCs w:val="28"/>
        </w:rPr>
        <w:t xml:space="preserve">. Наприклад, кібератака на органи влади може супроводжуватися інформаційною кампанією про “нездатність держави управляти”, економічним тиском на окремий сектор, поширенням панічних повідомлень у соціальних мережах і спробами спровокувати недовіру до рішень центральної або місцевої влади. У такій ситуації технічне усунення наслідків кібератаки є лише частиною відповіді. Потрібна одночасна робота </w:t>
      </w:r>
      <w:proofErr w:type="spellStart"/>
      <w:r w:rsidRPr="0084717A">
        <w:rPr>
          <w:rFonts w:ascii="Times New Roman" w:hAnsi="Times New Roman" w:cs="Times New Roman"/>
          <w:sz w:val="28"/>
          <w:szCs w:val="28"/>
        </w:rPr>
        <w:t>кіберфахівців</w:t>
      </w:r>
      <w:proofErr w:type="spellEnd"/>
      <w:r w:rsidRPr="0084717A">
        <w:rPr>
          <w:rFonts w:ascii="Times New Roman" w:hAnsi="Times New Roman" w:cs="Times New Roman"/>
          <w:sz w:val="28"/>
          <w:szCs w:val="28"/>
        </w:rPr>
        <w:t>, комунікаційних підрозділів, органів безпеки, місцевої влади, адміністраторів цифрових систем, медіа та громадянського суспільства.</w:t>
      </w:r>
    </w:p>
    <w:p w14:paraId="0B6FF88F"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Саме тут з’являється потреба у </w:t>
      </w:r>
      <w:r w:rsidRPr="0084717A">
        <w:rPr>
          <w:rFonts w:ascii="Times New Roman" w:hAnsi="Times New Roman" w:cs="Times New Roman"/>
          <w:b/>
          <w:bCs/>
          <w:sz w:val="28"/>
          <w:szCs w:val="28"/>
        </w:rPr>
        <w:t>багаторівневому врядуванні</w:t>
      </w:r>
      <w:r w:rsidRPr="0084717A">
        <w:rPr>
          <w:rFonts w:ascii="Times New Roman" w:hAnsi="Times New Roman" w:cs="Times New Roman"/>
          <w:sz w:val="28"/>
          <w:szCs w:val="28"/>
        </w:rPr>
        <w:t xml:space="preserve">. Це поняття означає систему взаємодії між різними рівнями публічної влади, секторами управління та недержавними суб’єктами, у межах якої рішення не лише спускаються згори вниз, а й формуються, </w:t>
      </w:r>
      <w:proofErr w:type="spellStart"/>
      <w:r w:rsidRPr="0084717A">
        <w:rPr>
          <w:rFonts w:ascii="Times New Roman" w:hAnsi="Times New Roman" w:cs="Times New Roman"/>
          <w:sz w:val="28"/>
          <w:szCs w:val="28"/>
        </w:rPr>
        <w:t>уточнюються</w:t>
      </w:r>
      <w:proofErr w:type="spellEnd"/>
      <w:r w:rsidRPr="0084717A">
        <w:rPr>
          <w:rFonts w:ascii="Times New Roman" w:hAnsi="Times New Roman" w:cs="Times New Roman"/>
          <w:sz w:val="28"/>
          <w:szCs w:val="28"/>
        </w:rPr>
        <w:t>, адаптуються та реалізуються через взаємодію центрального, регіонального, місцевого, секторального, міжнародного й суспільного рівнів.</w:t>
      </w:r>
    </w:p>
    <w:p w14:paraId="619F29FD"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сфері протидії гібридним загрозам багаторівневе врядування виконує декілька важливих функцій. По-перше, воно дозволяє швидше виявляти загрози, оскільки сигнали про небезпеку часто з’являються не в центрі, а на місцях: у громадах, на підприємствах, у цифрових системах, у медійному середовищі або серед професійних спільнот. По-друге, воно забезпечує адаптацію державної політики до конкретного територіального й секторального контексту. По-третє, багаторівневе врядування зменшує ризик управлінської ізоляції, коли окремі органи влади діють самостійно, не розуміючи ширшої картини загроз. По-четверте, воно дозволяє мобілізувати ресурси не лише держави, а й бізнесу, громадянського суспільства, наукової спільноти, міжнародних партнерів і громадян.</w:t>
      </w:r>
    </w:p>
    <w:p w14:paraId="321AB6E9"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науковому вимірі багаторівневе врядування у сфері гібридних загроз слід розглядати як поєднання </w:t>
      </w:r>
      <w:r w:rsidRPr="0084717A">
        <w:rPr>
          <w:rFonts w:ascii="Times New Roman" w:hAnsi="Times New Roman" w:cs="Times New Roman"/>
          <w:b/>
          <w:bCs/>
          <w:sz w:val="28"/>
          <w:szCs w:val="28"/>
        </w:rPr>
        <w:t>вертикальної, горизонтальної та мережевої координації</w:t>
      </w:r>
      <w:r w:rsidRPr="0084717A">
        <w:rPr>
          <w:rFonts w:ascii="Times New Roman" w:hAnsi="Times New Roman" w:cs="Times New Roman"/>
          <w:sz w:val="28"/>
          <w:szCs w:val="28"/>
        </w:rPr>
        <w:t>.</w:t>
      </w:r>
    </w:p>
    <w:p w14:paraId="45E7E6FB"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Вертикальна координація</w:t>
      </w:r>
      <w:r w:rsidRPr="0084717A">
        <w:rPr>
          <w:rFonts w:ascii="Times New Roman" w:hAnsi="Times New Roman" w:cs="Times New Roman"/>
          <w:sz w:val="28"/>
          <w:szCs w:val="28"/>
        </w:rPr>
        <w:t xml:space="preserve"> охоплює взаємодію між центральним, регіональним і місцевим рівнями влади. Її завдання полягає в тому, щоб стратегічні рішення держави були доведені до рівня практичного виконання, а інформація з місць своєчасно надходила до центральних органів для коригування політики. Наприклад, центральний рівень може визначити загальні правила реагування на </w:t>
      </w:r>
      <w:r w:rsidRPr="0084717A">
        <w:rPr>
          <w:rFonts w:ascii="Times New Roman" w:hAnsi="Times New Roman" w:cs="Times New Roman"/>
          <w:sz w:val="28"/>
          <w:szCs w:val="28"/>
        </w:rPr>
        <w:lastRenderedPageBreak/>
        <w:t>інформаційні операції або загрози критичній інфраструктурі, але саме регіональний і місцевий рівні бачать конкретні наслідки таких загроз для населення, комунальних служб, місцевої економіки та громадського порядку.</w:t>
      </w:r>
    </w:p>
    <w:p w14:paraId="6C94F8F5"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Вертикальна координація особливо важлива в умовах воєнного стану, коли рішення мають ухвалюватися швидко, а відповідальність між органами влади повинна бути максимально чіткою. Однак надмірна централізація також може створювати ризики: місцеві органи влади можуть втрачати гнучкість, а центральні органи — перевантажуватися оперативними питаннями. Тому ефективна вертикальна координація має ґрунтуватися не лише на підпорядкуванні, а й на зворотному зв’язку, делегуванні, обміні даними та довірі між рівнями управління.</w:t>
      </w:r>
    </w:p>
    <w:p w14:paraId="2A1FBDAD"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Горизонтальна координація</w:t>
      </w:r>
      <w:r w:rsidRPr="0084717A">
        <w:rPr>
          <w:rFonts w:ascii="Times New Roman" w:hAnsi="Times New Roman" w:cs="Times New Roman"/>
          <w:sz w:val="28"/>
          <w:szCs w:val="28"/>
        </w:rPr>
        <w:t xml:space="preserve"> означає взаємодію між органами й структурами одного рівня, але різних секторів. Наприклад, на центральному рівні це взаємодія між міністерствами, службами, агентствами, правоохоронними органами, органами сектору безпеки і оборони, регуляторами та урядовими координаційними структурами. На місцевому рівні — взаємодія між органами місцевого самоврядування, комунальними підприємствами, територіальними підрозділами центральних органів влади, поліцією, ДСНС, медичними закладами, освітніми установами та соціальними службами.</w:t>
      </w:r>
    </w:p>
    <w:p w14:paraId="1EBC5444"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Горизонтальна координація є критично важливою, оскільки гібридні загрози зазвичай не вкладаються в межі компетенції одного органу. Наприклад, кампанія з дезінформації щодо якості питної води у громаді може створити паніку серед населення, підірвати довіру до місцевої влади, перевантажити медичну систему, спричинити соціальну напругу і водночас вимагати технічної перевірки водоканалу. Отже, відповідь має включати комунікацію, лабораторний контроль, роботу з медіа, залучення поліції у разі встановлення умисного поширення фейків, а також роботу з громадськістю.</w:t>
      </w:r>
    </w:p>
    <w:p w14:paraId="39F973F1"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Мережева координація</w:t>
      </w:r>
      <w:r w:rsidRPr="0084717A">
        <w:rPr>
          <w:rFonts w:ascii="Times New Roman" w:hAnsi="Times New Roman" w:cs="Times New Roman"/>
          <w:sz w:val="28"/>
          <w:szCs w:val="28"/>
        </w:rPr>
        <w:t xml:space="preserve"> виходить за межі державного апарату і передбачає залучення недержавних суб’єктів: бізнесу, операторів критичної інфраструктури, громадських організацій, волонтерських мереж, експертних центрів, університетів, медіа, професійних асоціацій і громадян. У сучасному середовищі безпеки значна частина ресурсів, знань, технологій і каналів впливу перебуває поза державними структурами. Саме тому держава не може ефективно протидіяти гібридним загрозам без партнерства.</w:t>
      </w:r>
    </w:p>
    <w:p w14:paraId="31E1CA14"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Наприклад, у випадку кібератак на публічні сервіси держава потребує не лише можливостей спеціалізованих органів </w:t>
      </w:r>
      <w:proofErr w:type="spellStart"/>
      <w:r w:rsidRPr="0084717A">
        <w:rPr>
          <w:rFonts w:ascii="Times New Roman" w:hAnsi="Times New Roman" w:cs="Times New Roman"/>
          <w:sz w:val="28"/>
          <w:szCs w:val="28"/>
        </w:rPr>
        <w:t>кібербезпеки</w:t>
      </w:r>
      <w:proofErr w:type="spellEnd"/>
      <w:r w:rsidRPr="0084717A">
        <w:rPr>
          <w:rFonts w:ascii="Times New Roman" w:hAnsi="Times New Roman" w:cs="Times New Roman"/>
          <w:sz w:val="28"/>
          <w:szCs w:val="28"/>
        </w:rPr>
        <w:t xml:space="preserve">, а й співпраці з ІТ-компаніями, адміністраторами систем, хмарними провайдерами, банківським сектором, телекомунікаційними операторами та міжнародними партнерами. У випадку інформаційних операцій важливими стають </w:t>
      </w:r>
      <w:proofErr w:type="spellStart"/>
      <w:r w:rsidRPr="0084717A">
        <w:rPr>
          <w:rFonts w:ascii="Times New Roman" w:hAnsi="Times New Roman" w:cs="Times New Roman"/>
          <w:sz w:val="28"/>
          <w:szCs w:val="28"/>
        </w:rPr>
        <w:t>медіаграмотність</w:t>
      </w:r>
      <w:proofErr w:type="spellEnd"/>
      <w:r w:rsidRPr="0084717A">
        <w:rPr>
          <w:rFonts w:ascii="Times New Roman" w:hAnsi="Times New Roman" w:cs="Times New Roman"/>
          <w:sz w:val="28"/>
          <w:szCs w:val="28"/>
        </w:rPr>
        <w:t xml:space="preserve"> населення, відповідальна журналістика, </w:t>
      </w:r>
      <w:proofErr w:type="spellStart"/>
      <w:r w:rsidRPr="0084717A">
        <w:rPr>
          <w:rFonts w:ascii="Times New Roman" w:hAnsi="Times New Roman" w:cs="Times New Roman"/>
          <w:sz w:val="28"/>
          <w:szCs w:val="28"/>
        </w:rPr>
        <w:t>фактчекінгові</w:t>
      </w:r>
      <w:proofErr w:type="spellEnd"/>
      <w:r w:rsidRPr="0084717A">
        <w:rPr>
          <w:rFonts w:ascii="Times New Roman" w:hAnsi="Times New Roman" w:cs="Times New Roman"/>
          <w:sz w:val="28"/>
          <w:szCs w:val="28"/>
        </w:rPr>
        <w:t xml:space="preserve"> організації, освітні інституції та цифрові платформи. У випадку енергетичного тиску або руйнування інфраструктури — оператори ринку, місцева влада, комунальні підприємства, виробники обладнання, донори та волонтерські структури.</w:t>
      </w:r>
    </w:p>
    <w:p w14:paraId="3E123FD3"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Багаторівневе врядування у сфері гібридних загроз можна описати через кілька взаємопов’язаних рівнів.</w:t>
      </w:r>
    </w:p>
    <w:p w14:paraId="5D276455"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lastRenderedPageBreak/>
        <w:t>Міжнародний рівень</w:t>
      </w:r>
      <w:r w:rsidRPr="0084717A">
        <w:rPr>
          <w:rFonts w:ascii="Times New Roman" w:hAnsi="Times New Roman" w:cs="Times New Roman"/>
          <w:sz w:val="28"/>
          <w:szCs w:val="28"/>
        </w:rPr>
        <w:t xml:space="preserve"> охоплює взаємодію з міжнародними організаціями, союзниками, партнерами, донорами, безпековими ініціативами, механізмами обміну інформацією та спільними програмами зміцнення стійкості. Для України цей рівень має особливе значення через воєнну агресію Російської Федерації, європейську інтеграцію, співпрацю з НАТО, ЄС, державами-партнерами та міжнародними фінансовими інституціями. На цьому рівні формуються стандарти, практики, спільні навчання, фінансування, технічна допомога, </w:t>
      </w:r>
      <w:proofErr w:type="spellStart"/>
      <w:r w:rsidRPr="0084717A">
        <w:rPr>
          <w:rFonts w:ascii="Times New Roman" w:hAnsi="Times New Roman" w:cs="Times New Roman"/>
          <w:sz w:val="28"/>
          <w:szCs w:val="28"/>
        </w:rPr>
        <w:t>санкційна</w:t>
      </w:r>
      <w:proofErr w:type="spellEnd"/>
      <w:r w:rsidRPr="0084717A">
        <w:rPr>
          <w:rFonts w:ascii="Times New Roman" w:hAnsi="Times New Roman" w:cs="Times New Roman"/>
          <w:sz w:val="28"/>
          <w:szCs w:val="28"/>
        </w:rPr>
        <w:t xml:space="preserve"> політика, </w:t>
      </w:r>
      <w:proofErr w:type="spellStart"/>
      <w:r w:rsidRPr="0084717A">
        <w:rPr>
          <w:rFonts w:ascii="Times New Roman" w:hAnsi="Times New Roman" w:cs="Times New Roman"/>
          <w:sz w:val="28"/>
          <w:szCs w:val="28"/>
        </w:rPr>
        <w:t>кіберспівпраця</w:t>
      </w:r>
      <w:proofErr w:type="spellEnd"/>
      <w:r w:rsidRPr="0084717A">
        <w:rPr>
          <w:rFonts w:ascii="Times New Roman" w:hAnsi="Times New Roman" w:cs="Times New Roman"/>
          <w:sz w:val="28"/>
          <w:szCs w:val="28"/>
        </w:rPr>
        <w:t xml:space="preserve"> та політична підтримка.</w:t>
      </w:r>
    </w:p>
    <w:p w14:paraId="4B40F32F"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Національний рівень</w:t>
      </w:r>
      <w:r w:rsidRPr="0084717A">
        <w:rPr>
          <w:rFonts w:ascii="Times New Roman" w:hAnsi="Times New Roman" w:cs="Times New Roman"/>
          <w:sz w:val="28"/>
          <w:szCs w:val="28"/>
        </w:rPr>
        <w:t xml:space="preserve"> забезпечує стратегічне управління, законодавче регулювання, визначення пріоритетів, координацію секторів, розподіл ресурсів, формування державних політик і загальну відповідальність за захист суверенітету, територіальної цілісності, конституційного ладу, критичної інфраструктури та основних функцій держави. Саме на цьому рівні ухвалюються ключові політичні та управлінські рішення щодо реагування на гібридні впливи.</w:t>
      </w:r>
    </w:p>
    <w:p w14:paraId="15BE37E8"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Секторальний рівень</w:t>
      </w:r>
      <w:r w:rsidRPr="0084717A">
        <w:rPr>
          <w:rFonts w:ascii="Times New Roman" w:hAnsi="Times New Roman" w:cs="Times New Roman"/>
          <w:sz w:val="28"/>
          <w:szCs w:val="28"/>
        </w:rPr>
        <w:t xml:space="preserve"> охоплює окремі сфери, найбільш уразливі до гібридних загроз: енергетику, </w:t>
      </w:r>
      <w:proofErr w:type="spellStart"/>
      <w:r w:rsidRPr="0084717A">
        <w:rPr>
          <w:rFonts w:ascii="Times New Roman" w:hAnsi="Times New Roman" w:cs="Times New Roman"/>
          <w:sz w:val="28"/>
          <w:szCs w:val="28"/>
        </w:rPr>
        <w:t>кібербезпеку</w:t>
      </w:r>
      <w:proofErr w:type="spellEnd"/>
      <w:r w:rsidRPr="0084717A">
        <w:rPr>
          <w:rFonts w:ascii="Times New Roman" w:hAnsi="Times New Roman" w:cs="Times New Roman"/>
          <w:sz w:val="28"/>
          <w:szCs w:val="28"/>
        </w:rPr>
        <w:t>, транспорт, фінанси, охорону здоров’я, інформаційну політику, освіту, оборону, продовольчу безпеку, критичну інфраструктуру, телекомунікації. Кожен сектор має власні інституції, стандарти ризику, механізми моніторингу і реагування. Проблема полягає в тому, що гібридні загрози часто одночасно зачіпають кілька секторів, тому секторальне управління має бути з’єднане в єдину координаційну рамку.</w:t>
      </w:r>
    </w:p>
    <w:p w14:paraId="3D736CFD"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Регіональний рівень</w:t>
      </w:r>
      <w:r w:rsidRPr="0084717A">
        <w:rPr>
          <w:rFonts w:ascii="Times New Roman" w:hAnsi="Times New Roman" w:cs="Times New Roman"/>
          <w:sz w:val="28"/>
          <w:szCs w:val="28"/>
        </w:rPr>
        <w:t xml:space="preserve"> забезпечує адаптацію національних рішень до особливостей області або регіону. Різні регіони можуть мати різну структуру ризиків: прикордонні території, прифронтові області, великі промислові центри, портові міста, енергетичні вузли або громади з великою кількістю внутрішньо переміщених осіб потребують різних моделей реагування. Регіональний рівень дозволяє поєднати загальнодержавні пріоритети з реальною територіальною специфікою.</w:t>
      </w:r>
    </w:p>
    <w:p w14:paraId="1028F81C"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Місцевий рівень</w:t>
      </w:r>
      <w:r w:rsidRPr="0084717A">
        <w:rPr>
          <w:rFonts w:ascii="Times New Roman" w:hAnsi="Times New Roman" w:cs="Times New Roman"/>
          <w:sz w:val="28"/>
          <w:szCs w:val="28"/>
        </w:rPr>
        <w:t xml:space="preserve"> є рівнем безпосереднього контакту з населенням. Саме громади першими відчувають наслідки гібридних впливів: порушення електропостачання, інформаційну паніку, соціальне напруження, диверсійні ризики, кібератаки на місцеві сервіси, проблеми з логістикою, наплив переселенців, дефіцит ресурсів. Тому місцеве самоврядування і місцеві адміністративні структури мають не лише виконувати рішення центру, а й бути активними суб’єктами стійкості.</w:t>
      </w:r>
    </w:p>
    <w:p w14:paraId="0EC3079E"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Суспільний рівень</w:t>
      </w:r>
      <w:r w:rsidRPr="0084717A">
        <w:rPr>
          <w:rFonts w:ascii="Times New Roman" w:hAnsi="Times New Roman" w:cs="Times New Roman"/>
          <w:sz w:val="28"/>
          <w:szCs w:val="28"/>
        </w:rPr>
        <w:t xml:space="preserve"> охоплює громадян, волонтерів, громадські організації, експертів, освітян, підприємців, медіа та локальні мережі взаємодопомоги. Він має особливе значення, оскільки гібридні загрози часто спрямовані саме на суспільну довіру, ідентичність, солідарність, психологічну стійкість і здатність громадян діяти раціонально в умовах кризи.</w:t>
      </w:r>
    </w:p>
    <w:p w14:paraId="6B07E9C6"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лекції аспірантам доцільно подати ключові </w:t>
      </w:r>
      <w:r w:rsidRPr="0084717A">
        <w:rPr>
          <w:rFonts w:ascii="Times New Roman" w:hAnsi="Times New Roman" w:cs="Times New Roman"/>
          <w:b/>
          <w:bCs/>
          <w:sz w:val="28"/>
          <w:szCs w:val="28"/>
        </w:rPr>
        <w:t>механізми координації</w:t>
      </w:r>
      <w:r w:rsidRPr="0084717A">
        <w:rPr>
          <w:rFonts w:ascii="Times New Roman" w:hAnsi="Times New Roman" w:cs="Times New Roman"/>
          <w:sz w:val="28"/>
          <w:szCs w:val="28"/>
        </w:rPr>
        <w:t>, через які багаторівневе врядування може бути реалізоване на практиці.</w:t>
      </w:r>
    </w:p>
    <w:p w14:paraId="29A045AB"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Перший механізм — </w:t>
      </w:r>
      <w:r w:rsidRPr="0084717A">
        <w:rPr>
          <w:rFonts w:ascii="Times New Roman" w:hAnsi="Times New Roman" w:cs="Times New Roman"/>
          <w:b/>
          <w:bCs/>
          <w:sz w:val="28"/>
          <w:szCs w:val="28"/>
        </w:rPr>
        <w:t>стратегічне планування та сценарне моделювання</w:t>
      </w:r>
      <w:r w:rsidRPr="0084717A">
        <w:rPr>
          <w:rFonts w:ascii="Times New Roman" w:hAnsi="Times New Roman" w:cs="Times New Roman"/>
          <w:sz w:val="28"/>
          <w:szCs w:val="28"/>
        </w:rPr>
        <w:t xml:space="preserve">. У сфері гібридних загроз планування не може бути лінійним і статичним. Необхідно працювати з різними сценаріями: кібератака на енергетичну систему; одночасна інформаційна операція і соціальна паніка; руйнування транспортного вузла; </w:t>
      </w:r>
      <w:r w:rsidRPr="0084717A">
        <w:rPr>
          <w:rFonts w:ascii="Times New Roman" w:hAnsi="Times New Roman" w:cs="Times New Roman"/>
          <w:sz w:val="28"/>
          <w:szCs w:val="28"/>
        </w:rPr>
        <w:lastRenderedPageBreak/>
        <w:t>міграційний тиск; локальна дестабілізація на тлі економічної кризи. Сценарне планування дозволяє органам влади не імпровізувати повністю під час кризи, а мати попередньо відпрацьовані алгоритми дій.</w:t>
      </w:r>
    </w:p>
    <w:p w14:paraId="049D8AF7"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Другий механізм — </w:t>
      </w:r>
      <w:r w:rsidRPr="0084717A">
        <w:rPr>
          <w:rFonts w:ascii="Times New Roman" w:hAnsi="Times New Roman" w:cs="Times New Roman"/>
          <w:b/>
          <w:bCs/>
          <w:sz w:val="28"/>
          <w:szCs w:val="28"/>
        </w:rPr>
        <w:t>міжвідомчі координаційні органи, штаби та робочі групи</w:t>
      </w:r>
      <w:r w:rsidRPr="0084717A">
        <w:rPr>
          <w:rFonts w:ascii="Times New Roman" w:hAnsi="Times New Roman" w:cs="Times New Roman"/>
          <w:sz w:val="28"/>
          <w:szCs w:val="28"/>
        </w:rPr>
        <w:t>. Їх призначення полягає в тому, щоб об’єднати представників різних органів і секторів для вироблення узгоджених рішень. Вони можуть діяти постійно або створюватися під конкретну кризу. Важливо, щоб такі структури не були лише формальними. Їхня ефективність залежить від наявності мандата, повноважень, доступу до інформації, регулярності роботи, персональної відповідальності й здатності швидко ухвалювати рішення.</w:t>
      </w:r>
    </w:p>
    <w:p w14:paraId="2AE8D10A"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Третій механізм — </w:t>
      </w:r>
      <w:r w:rsidRPr="0084717A">
        <w:rPr>
          <w:rFonts w:ascii="Times New Roman" w:hAnsi="Times New Roman" w:cs="Times New Roman"/>
          <w:b/>
          <w:bCs/>
          <w:sz w:val="28"/>
          <w:szCs w:val="28"/>
        </w:rPr>
        <w:t>єдині протоколи обміну інформацією</w:t>
      </w:r>
      <w:r w:rsidRPr="0084717A">
        <w:rPr>
          <w:rFonts w:ascii="Times New Roman" w:hAnsi="Times New Roman" w:cs="Times New Roman"/>
          <w:sz w:val="28"/>
          <w:szCs w:val="28"/>
        </w:rPr>
        <w:t xml:space="preserve">. У кризових умовах інформація часто є не менш важливим ресурсом, ніж фінанси чи техніка. Якщо органи влади, служби реагування, оператори інфраструктури й місцеве самоврядування не мають узгоджених каналів обміну даними, вони можуть діяти повільно або </w:t>
      </w:r>
      <w:proofErr w:type="spellStart"/>
      <w:r w:rsidRPr="0084717A">
        <w:rPr>
          <w:rFonts w:ascii="Times New Roman" w:hAnsi="Times New Roman" w:cs="Times New Roman"/>
          <w:sz w:val="28"/>
          <w:szCs w:val="28"/>
        </w:rPr>
        <w:t>суперечливо</w:t>
      </w:r>
      <w:proofErr w:type="spellEnd"/>
      <w:r w:rsidRPr="0084717A">
        <w:rPr>
          <w:rFonts w:ascii="Times New Roman" w:hAnsi="Times New Roman" w:cs="Times New Roman"/>
          <w:sz w:val="28"/>
          <w:szCs w:val="28"/>
        </w:rPr>
        <w:t>. Протоколи мають визначати, яка інформація збирається, хто її передає, кому, у які строки, у якому форматі, з яким рівнем доступу і як перевіряється її достовірність.</w:t>
      </w:r>
    </w:p>
    <w:p w14:paraId="40A84606"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Четвертий механізм — </w:t>
      </w:r>
      <w:r w:rsidRPr="0084717A">
        <w:rPr>
          <w:rFonts w:ascii="Times New Roman" w:hAnsi="Times New Roman" w:cs="Times New Roman"/>
          <w:b/>
          <w:bCs/>
          <w:sz w:val="28"/>
          <w:szCs w:val="28"/>
        </w:rPr>
        <w:t>ситуаційні центри та системи моніторингу ризиків</w:t>
      </w:r>
      <w:r w:rsidRPr="0084717A">
        <w:rPr>
          <w:rFonts w:ascii="Times New Roman" w:hAnsi="Times New Roman" w:cs="Times New Roman"/>
          <w:sz w:val="28"/>
          <w:szCs w:val="28"/>
        </w:rPr>
        <w:t xml:space="preserve">. Вони дозволяють поєднувати дані з різних джерел: повідомлення громадян, дані операторів інфраструктури, </w:t>
      </w:r>
      <w:proofErr w:type="spellStart"/>
      <w:r w:rsidRPr="0084717A">
        <w:rPr>
          <w:rFonts w:ascii="Times New Roman" w:hAnsi="Times New Roman" w:cs="Times New Roman"/>
          <w:sz w:val="28"/>
          <w:szCs w:val="28"/>
        </w:rPr>
        <w:t>кіберіндикатори</w:t>
      </w:r>
      <w:proofErr w:type="spellEnd"/>
      <w:r w:rsidRPr="0084717A">
        <w:rPr>
          <w:rFonts w:ascii="Times New Roman" w:hAnsi="Times New Roman" w:cs="Times New Roman"/>
          <w:sz w:val="28"/>
          <w:szCs w:val="28"/>
        </w:rPr>
        <w:t xml:space="preserve">, </w:t>
      </w:r>
      <w:proofErr w:type="spellStart"/>
      <w:r w:rsidRPr="0084717A">
        <w:rPr>
          <w:rFonts w:ascii="Times New Roman" w:hAnsi="Times New Roman" w:cs="Times New Roman"/>
          <w:sz w:val="28"/>
          <w:szCs w:val="28"/>
        </w:rPr>
        <w:t>медіамоніторинг</w:t>
      </w:r>
      <w:proofErr w:type="spellEnd"/>
      <w:r w:rsidRPr="0084717A">
        <w:rPr>
          <w:rFonts w:ascii="Times New Roman" w:hAnsi="Times New Roman" w:cs="Times New Roman"/>
          <w:sz w:val="28"/>
          <w:szCs w:val="28"/>
        </w:rPr>
        <w:t>, інформацію служб безпеки, соціально-економічні показники, дані місцевої влади. У разі належної організації такі центри не просто накопичують інформацію, а допомагають виявляти слабкі сигнали, прогнозувати розвиток подій і підтримувати прийняття рішень.</w:t>
      </w:r>
    </w:p>
    <w:p w14:paraId="12932268"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П’ятий механізм — </w:t>
      </w:r>
      <w:r w:rsidRPr="0084717A">
        <w:rPr>
          <w:rFonts w:ascii="Times New Roman" w:hAnsi="Times New Roman" w:cs="Times New Roman"/>
          <w:b/>
          <w:bCs/>
          <w:sz w:val="28"/>
          <w:szCs w:val="28"/>
        </w:rPr>
        <w:t>спільні навчання і тренування</w:t>
      </w:r>
      <w:r w:rsidRPr="0084717A">
        <w:rPr>
          <w:rFonts w:ascii="Times New Roman" w:hAnsi="Times New Roman" w:cs="Times New Roman"/>
          <w:sz w:val="28"/>
          <w:szCs w:val="28"/>
        </w:rPr>
        <w:t>. Формально прописані повноваження не гарантують ефективної взаємодії. Суб’єкти управління мають періодично відпрацьовувати сценарії кризового реагування: кібератаки, інформаційні операції, евакуацію, перебої енергопостачання, масове переміщення населення, загрозу об’єктам критичної інфраструктури. Навчання дозволяють перевірити не лише готовність окремого органу, а й сумісність дій між органами.</w:t>
      </w:r>
    </w:p>
    <w:p w14:paraId="319BBB89"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Шостий механізм — </w:t>
      </w:r>
      <w:r w:rsidRPr="0084717A">
        <w:rPr>
          <w:rFonts w:ascii="Times New Roman" w:hAnsi="Times New Roman" w:cs="Times New Roman"/>
          <w:b/>
          <w:bCs/>
          <w:sz w:val="28"/>
          <w:szCs w:val="28"/>
        </w:rPr>
        <w:t>комунікаційна координація</w:t>
      </w:r>
      <w:r w:rsidRPr="0084717A">
        <w:rPr>
          <w:rFonts w:ascii="Times New Roman" w:hAnsi="Times New Roman" w:cs="Times New Roman"/>
          <w:sz w:val="28"/>
          <w:szCs w:val="28"/>
        </w:rPr>
        <w:t>. У гібридних загрозах комунікація є не допоміжною, а стратегічною функцією. Якщо органи влади говорять різними повідомленнями, використовують різну термінологію, запізнюються з поясненнями або уникають відповідей, це створює простір для дезінформації. Комунікаційна координація передбачає єдину логіку повідомлень, розподіл речників, швидке спростування фейків, регулярність інформування, адаптацію повідомлень до різних аудиторій і використання надійних каналів.</w:t>
      </w:r>
    </w:p>
    <w:p w14:paraId="3E7642BF"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Сьомий механізм — </w:t>
      </w:r>
      <w:r w:rsidRPr="0084717A">
        <w:rPr>
          <w:rFonts w:ascii="Times New Roman" w:hAnsi="Times New Roman" w:cs="Times New Roman"/>
          <w:b/>
          <w:bCs/>
          <w:sz w:val="28"/>
          <w:szCs w:val="28"/>
        </w:rPr>
        <w:t>партнерські платформи з бізнесом і громадянським суспільством</w:t>
      </w:r>
      <w:r w:rsidRPr="0084717A">
        <w:rPr>
          <w:rFonts w:ascii="Times New Roman" w:hAnsi="Times New Roman" w:cs="Times New Roman"/>
          <w:sz w:val="28"/>
          <w:szCs w:val="28"/>
        </w:rPr>
        <w:t>. Гібридні загрози часто зачіпають ті сфери, де держава не є єдиним власником або оператором ресурсів. Телекомунікації, енергетика, логістика, цифрові сервіси, медіа, фінансові послуги, експертна аналітика значною мірою залежать від приватних і громадських суб’єктів. Тому потрібно не чекати кризи, а заздалегідь створювати формати взаємодії: меморандуми, координаційні ради, спільні плани, канали швидкого зв’язку, механізми обміну інформацією.</w:t>
      </w:r>
    </w:p>
    <w:p w14:paraId="59EB7A45"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Восьмий механізм — </w:t>
      </w:r>
      <w:proofErr w:type="spellStart"/>
      <w:r w:rsidRPr="0084717A">
        <w:rPr>
          <w:rFonts w:ascii="Times New Roman" w:hAnsi="Times New Roman" w:cs="Times New Roman"/>
          <w:b/>
          <w:bCs/>
          <w:sz w:val="28"/>
          <w:szCs w:val="28"/>
        </w:rPr>
        <w:t>післякризовий</w:t>
      </w:r>
      <w:proofErr w:type="spellEnd"/>
      <w:r w:rsidRPr="0084717A">
        <w:rPr>
          <w:rFonts w:ascii="Times New Roman" w:hAnsi="Times New Roman" w:cs="Times New Roman"/>
          <w:b/>
          <w:bCs/>
          <w:sz w:val="28"/>
          <w:szCs w:val="28"/>
        </w:rPr>
        <w:t xml:space="preserve"> аналіз і навчання на помилках</w:t>
      </w:r>
      <w:r w:rsidRPr="0084717A">
        <w:rPr>
          <w:rFonts w:ascii="Times New Roman" w:hAnsi="Times New Roman" w:cs="Times New Roman"/>
          <w:sz w:val="28"/>
          <w:szCs w:val="28"/>
        </w:rPr>
        <w:t xml:space="preserve">. Стійкість формується не лише через реагування, а й через здатність системи робити </w:t>
      </w:r>
      <w:r w:rsidRPr="0084717A">
        <w:rPr>
          <w:rFonts w:ascii="Times New Roman" w:hAnsi="Times New Roman" w:cs="Times New Roman"/>
          <w:sz w:val="28"/>
          <w:szCs w:val="28"/>
        </w:rPr>
        <w:lastRenderedPageBreak/>
        <w:t>висновки. Після кожної кризи має здійснюватися аналіз: що спрацювало, що не спрацювало, де були затримки, які повноваження дублювалися, які ресурси були недоступні, які комунікаційні помилки виникли, які нормативні зміни потрібні. Без такого аналізу система повторює ті самі помилки.</w:t>
      </w:r>
    </w:p>
    <w:p w14:paraId="39BE7D96"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Для пояснення теми аспірантам корисно використати кілька практичних прикладів.</w:t>
      </w:r>
    </w:p>
    <w:p w14:paraId="5BE4B922"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Приклад перший — інформаційна операція під час енергетичної кризи.</w:t>
      </w:r>
      <w:r w:rsidRPr="0084717A">
        <w:rPr>
          <w:rFonts w:ascii="Times New Roman" w:hAnsi="Times New Roman" w:cs="Times New Roman"/>
          <w:sz w:val="28"/>
          <w:szCs w:val="28"/>
        </w:rPr>
        <w:t xml:space="preserve"> Уявімо ситуацію, коли після масованої атаки на енергетичну інфраструктуру в соціальних мережах поширюються повідомлення про нібито повний і тривалий колапс енергосистеми, “приховування правди” владою та заклики до </w:t>
      </w:r>
      <w:proofErr w:type="spellStart"/>
      <w:r w:rsidRPr="0084717A">
        <w:rPr>
          <w:rFonts w:ascii="Times New Roman" w:hAnsi="Times New Roman" w:cs="Times New Roman"/>
          <w:sz w:val="28"/>
          <w:szCs w:val="28"/>
        </w:rPr>
        <w:t>протестних</w:t>
      </w:r>
      <w:proofErr w:type="spellEnd"/>
      <w:r w:rsidRPr="0084717A">
        <w:rPr>
          <w:rFonts w:ascii="Times New Roman" w:hAnsi="Times New Roman" w:cs="Times New Roman"/>
          <w:sz w:val="28"/>
          <w:szCs w:val="28"/>
        </w:rPr>
        <w:t xml:space="preserve"> дій. Це не лише інформаційна проблема. Вона зачіпає енергетичний сектор, місцеве самоврядування, правоохоронні органи, служби цивільного захисту, операторів зв’язку, медіа, громадські організації та населення. Ефективна відповідь передбачає технічну стабілізацію системи, регулярні офіційні пояснення, локальне інформування громадян, роботу з вразливими групами, спростування фейків, підтримку пунктів допомоги та координацію з медіа.</w:t>
      </w:r>
    </w:p>
    <w:p w14:paraId="709F3ECA"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Приклад другий — кібератака на реєстри або цифрові послуги.</w:t>
      </w:r>
      <w:r w:rsidRPr="0084717A">
        <w:rPr>
          <w:rFonts w:ascii="Times New Roman" w:hAnsi="Times New Roman" w:cs="Times New Roman"/>
          <w:sz w:val="28"/>
          <w:szCs w:val="28"/>
        </w:rPr>
        <w:t xml:space="preserve"> Якщо тимчасово порушується робота окремих державних цифрових систем, це може створити не лише технічні труднощі, а й кризу довіри до цифрової держави. Відповідь має бути багаторівневою: технічне відновлення, резервні процедури, повідомлення користувачів, правова оцінка інциденту, взаємодія з правоохоронними органами, координація з місцевими центрами надання адміністративних послуг, якщо громадяни потребують альтернативного доступу до послуг.</w:t>
      </w:r>
    </w:p>
    <w:p w14:paraId="2838CBBD"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Приклад третій — дестабілізація на місцевому рівні через соціально чутливе питання.</w:t>
      </w:r>
      <w:r w:rsidRPr="0084717A">
        <w:rPr>
          <w:rFonts w:ascii="Times New Roman" w:hAnsi="Times New Roman" w:cs="Times New Roman"/>
          <w:sz w:val="28"/>
          <w:szCs w:val="28"/>
        </w:rPr>
        <w:t xml:space="preserve"> Гібридний вплив може використовувати реальні проблеми громади: нестачу житла для внутрішньо переміщених осіб, тарифи, мобілізаційні питання, </w:t>
      </w:r>
      <w:proofErr w:type="spellStart"/>
      <w:r w:rsidRPr="0084717A">
        <w:rPr>
          <w:rFonts w:ascii="Times New Roman" w:hAnsi="Times New Roman" w:cs="Times New Roman"/>
          <w:sz w:val="28"/>
          <w:szCs w:val="28"/>
        </w:rPr>
        <w:t>мовні</w:t>
      </w:r>
      <w:proofErr w:type="spellEnd"/>
      <w:r w:rsidRPr="0084717A">
        <w:rPr>
          <w:rFonts w:ascii="Times New Roman" w:hAnsi="Times New Roman" w:cs="Times New Roman"/>
          <w:sz w:val="28"/>
          <w:szCs w:val="28"/>
        </w:rPr>
        <w:t xml:space="preserve"> або історичні конфлікти, корупційні підозри. У таких випадках протидія не може зводитися лише до “спростування фейків”. Потрібно одночасно працювати з першопричиною проблеми, забезпечувати прозорі рішення, залучати лідерів думок, підтримувати діалог із громадою, пояснювати обмеження ресурсів і не допускати маніпулятивного використання соціального невдоволення.</w:t>
      </w:r>
    </w:p>
    <w:p w14:paraId="25ECCAFB"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Приклад четвертий — гібридний тиск на критичну інфраструктуру.</w:t>
      </w:r>
      <w:r w:rsidRPr="0084717A">
        <w:rPr>
          <w:rFonts w:ascii="Times New Roman" w:hAnsi="Times New Roman" w:cs="Times New Roman"/>
          <w:sz w:val="28"/>
          <w:szCs w:val="28"/>
        </w:rPr>
        <w:t xml:space="preserve"> Якщо атаки на інфраструктуру поєднуються з поширенням паніки, спекуляціями на ринку, спробами дискредитувати органи влади та тиском на бізнес, потрібна координація між секторальними органами, операторами інфраструктури, безпековими структурами, місцевою владою, економічними регуляторами й комунікаційними командами.</w:t>
      </w:r>
    </w:p>
    <w:p w14:paraId="0833D74E"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межах наукового аналізу важливо звернути увагу і на ризики багаторівневого врядування. Воно не є автоматично ефективним. Навпаки, збільшення кількості суб’єктів може ускладнити прийняття рішень, якщо немає чітких правил координації. Основними ризиками є дублювання повноважень, конфлікт між центральним і місцевим рівнями, конкуренція за ресурси, інформаційні бар’єри, надмірна бюрократизація координаційних структур, формалізм у роботі міжвідомчих органів, низька довіра між інституціями та недостатня участь недержавних суб’єктів.</w:t>
      </w:r>
    </w:p>
    <w:p w14:paraId="47D76FD3"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Тому ефективне багаторівневе врядування потребує певних умов. По-перше, має бути чітко визначена </w:t>
      </w:r>
      <w:r w:rsidRPr="0084717A">
        <w:rPr>
          <w:rFonts w:ascii="Times New Roman" w:hAnsi="Times New Roman" w:cs="Times New Roman"/>
          <w:b/>
          <w:bCs/>
          <w:sz w:val="28"/>
          <w:szCs w:val="28"/>
        </w:rPr>
        <w:t>провідна інституція або координаційний центр</w:t>
      </w:r>
      <w:r w:rsidRPr="0084717A">
        <w:rPr>
          <w:rFonts w:ascii="Times New Roman" w:hAnsi="Times New Roman" w:cs="Times New Roman"/>
          <w:sz w:val="28"/>
          <w:szCs w:val="28"/>
        </w:rPr>
        <w:t xml:space="preserve"> для конкретного типу загрози. По-друге, необхідний розподіл ролей між суб’єктами. По-третє, потрібні узгоджені процедури обміну інформацією. По-четверте, мають бути канали швидкого ухвалення рішень. По-п’яте, слід забезпечити регулярні навчання та оцінювання готовності. По-шосте, потрібна культура співпраці, а не лише формального підпорядкування.</w:t>
      </w:r>
    </w:p>
    <w:p w14:paraId="729D4BC2" w14:textId="573154FA" w:rsidR="009C1B22" w:rsidRPr="0084717A" w:rsidRDefault="009C1B22"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drawing>
          <wp:inline distT="0" distB="0" distL="0" distR="0" wp14:anchorId="1A95DA6E" wp14:editId="46679E38">
            <wp:extent cx="6082935" cy="4424363"/>
            <wp:effectExtent l="0" t="0" r="0" b="0"/>
            <wp:docPr id="2949488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48827" name=""/>
                    <pic:cNvPicPr/>
                  </pic:nvPicPr>
                  <pic:blipFill>
                    <a:blip r:embed="rId5"/>
                    <a:stretch>
                      <a:fillRect/>
                    </a:stretch>
                  </pic:blipFill>
                  <pic:spPr>
                    <a:xfrm>
                      <a:off x="0" y="0"/>
                      <a:ext cx="6149572" cy="4472830"/>
                    </a:xfrm>
                    <a:prstGeom prst="rect">
                      <a:avLst/>
                    </a:prstGeom>
                  </pic:spPr>
                </pic:pic>
              </a:graphicData>
            </a:graphic>
          </wp:inline>
        </w:drawing>
      </w:r>
    </w:p>
    <w:p w14:paraId="49034884" w14:textId="77777777" w:rsidR="009C1B22" w:rsidRPr="0084717A" w:rsidRDefault="009C1B22" w:rsidP="00120F44">
      <w:pPr>
        <w:spacing w:after="0" w:line="240" w:lineRule="auto"/>
        <w:ind w:firstLine="720"/>
        <w:jc w:val="both"/>
        <w:rPr>
          <w:rFonts w:ascii="Times New Roman" w:hAnsi="Times New Roman" w:cs="Times New Roman"/>
          <w:sz w:val="28"/>
          <w:szCs w:val="28"/>
        </w:rPr>
      </w:pPr>
    </w:p>
    <w:p w14:paraId="446DF084" w14:textId="77777777" w:rsidR="009C1B22" w:rsidRPr="0084717A" w:rsidRDefault="009C1B22" w:rsidP="00120F44">
      <w:pPr>
        <w:spacing w:after="0" w:line="240" w:lineRule="auto"/>
        <w:ind w:firstLine="720"/>
        <w:jc w:val="both"/>
        <w:rPr>
          <w:rFonts w:ascii="Times New Roman" w:hAnsi="Times New Roman" w:cs="Times New Roman"/>
          <w:sz w:val="28"/>
          <w:szCs w:val="28"/>
        </w:rPr>
      </w:pPr>
    </w:p>
    <w:p w14:paraId="2EE9DD1A"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доцільно сформулювати таку методологічну тезу: </w:t>
      </w:r>
      <w:r w:rsidRPr="0084717A">
        <w:rPr>
          <w:rFonts w:ascii="Times New Roman" w:hAnsi="Times New Roman" w:cs="Times New Roman"/>
          <w:b/>
          <w:bCs/>
          <w:sz w:val="28"/>
          <w:szCs w:val="28"/>
        </w:rPr>
        <w:t>у сфері протидії гібридним загрозам ефективність публічного управління визначається не лише наявністю повноважень у конкретного органу, а й здатністю різних рівнів і секторів діяти синхронно, обмінюватися інформацією, узгоджувати рішення та підтримувати довіру суспільства</w:t>
      </w:r>
      <w:r w:rsidRPr="0084717A">
        <w:rPr>
          <w:rFonts w:ascii="Times New Roman" w:hAnsi="Times New Roman" w:cs="Times New Roman"/>
          <w:sz w:val="28"/>
          <w:szCs w:val="28"/>
        </w:rPr>
        <w:t>.</w:t>
      </w:r>
    </w:p>
    <w:p w14:paraId="5CD3F40D"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Звідси випливає ще один важливий висновок: багаторівневе врядування є не просто адміністративною технологією, а </w:t>
      </w:r>
      <w:r w:rsidRPr="0084717A">
        <w:rPr>
          <w:rFonts w:ascii="Times New Roman" w:hAnsi="Times New Roman" w:cs="Times New Roman"/>
          <w:b/>
          <w:bCs/>
          <w:sz w:val="28"/>
          <w:szCs w:val="28"/>
        </w:rPr>
        <w:t xml:space="preserve">механізмом перетворення розпорошених </w:t>
      </w:r>
      <w:proofErr w:type="spellStart"/>
      <w:r w:rsidRPr="0084717A">
        <w:rPr>
          <w:rFonts w:ascii="Times New Roman" w:hAnsi="Times New Roman" w:cs="Times New Roman"/>
          <w:b/>
          <w:bCs/>
          <w:sz w:val="28"/>
          <w:szCs w:val="28"/>
        </w:rPr>
        <w:t>спроможностей</w:t>
      </w:r>
      <w:proofErr w:type="spellEnd"/>
      <w:r w:rsidRPr="0084717A">
        <w:rPr>
          <w:rFonts w:ascii="Times New Roman" w:hAnsi="Times New Roman" w:cs="Times New Roman"/>
          <w:b/>
          <w:bCs/>
          <w:sz w:val="28"/>
          <w:szCs w:val="28"/>
        </w:rPr>
        <w:t xml:space="preserve"> на спільну національну стійкість</w:t>
      </w:r>
      <w:r w:rsidRPr="0084717A">
        <w:rPr>
          <w:rFonts w:ascii="Times New Roman" w:hAnsi="Times New Roman" w:cs="Times New Roman"/>
          <w:sz w:val="28"/>
          <w:szCs w:val="28"/>
        </w:rPr>
        <w:t>. Центральна влада має стратегічне бачення і ресурси; регіональний рівень — розуміння територіальної специфіки; місцевий рівень — безпосередній контакт із громадянами; сектори — професійні компетенції; бізнес — технології, логістику й інфраструктуру; громадянське суспільство — довіру, мобілізацію і гнучкість; міжнародні партнери — підтримку, стандарти й ресурси. Стійкість виникає тоді, коли ці елементи не існують окремо, а поєднані в координовану систему.</w:t>
      </w:r>
    </w:p>
    <w:p w14:paraId="4A468D1C"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Отже, багаторівневе врядування у сфері протидії гібридним загрозам можна визначити як </w:t>
      </w:r>
      <w:r w:rsidRPr="0084717A">
        <w:rPr>
          <w:rFonts w:ascii="Times New Roman" w:hAnsi="Times New Roman" w:cs="Times New Roman"/>
          <w:b/>
          <w:bCs/>
          <w:sz w:val="28"/>
          <w:szCs w:val="28"/>
        </w:rPr>
        <w:t>систему вертикальної, горизонтальної та мережевої взаємодії між державними, місцевими, секторальними, суспільними й міжнародними суб’єктами, спрямовану на раннє виявлення, попередження, нейтралізацію та подолання комплексних загроз, що поєднують військові, інформаційні, кібернетичні, економічні, політичні та соціальні інструменти впливу</w:t>
      </w:r>
      <w:r w:rsidRPr="0084717A">
        <w:rPr>
          <w:rFonts w:ascii="Times New Roman" w:hAnsi="Times New Roman" w:cs="Times New Roman"/>
          <w:sz w:val="28"/>
          <w:szCs w:val="28"/>
        </w:rPr>
        <w:t>.</w:t>
      </w:r>
    </w:p>
    <w:p w14:paraId="0FA044B7" w14:textId="77777777" w:rsidR="00120F44" w:rsidRPr="0084717A" w:rsidRDefault="00120F44" w:rsidP="00120F44">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підсумку слід наголосити: у сучасних умовах протидія гібридним загрозам не може бути справою лише сектору безпеки і оборони. Вона є завданням усієї системи публічного управління і всього суспільства. Саме тому багаторівневе врядування стає необхідною умовою національної стійкості, оскільки дозволяє поєднати стратегічне керівництво, секторальну експертизу, місцеву спроможність, громадянську участь і міжнародну підтримку в єдину систему реагування та відновлення.</w:t>
      </w:r>
    </w:p>
    <w:p w14:paraId="2392AAE6" w14:textId="77777777" w:rsidR="00072F83" w:rsidRPr="0084717A" w:rsidRDefault="00072F83" w:rsidP="00835403">
      <w:pPr>
        <w:spacing w:after="0" w:line="240" w:lineRule="auto"/>
        <w:ind w:firstLine="720"/>
        <w:jc w:val="both"/>
        <w:rPr>
          <w:rFonts w:ascii="Times New Roman" w:hAnsi="Times New Roman" w:cs="Times New Roman"/>
          <w:sz w:val="28"/>
          <w:szCs w:val="28"/>
        </w:rPr>
      </w:pPr>
    </w:p>
    <w:p w14:paraId="61D05725"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3.4. Міжвідомча взаємодія, інтегроване планування та управління ресурсами в умовах гібридних ризиків</w:t>
      </w:r>
    </w:p>
    <w:p w14:paraId="19E68830"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p>
    <w:p w14:paraId="10AC239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Міжвідомча взаємодія, інтегроване планування та управління ресурсами в умовах гібридних ризиків належать до базових складових сучасної системи національної стійкості, оскільки саме через них забезпечується перехід від формального розподілу повноважень до реальної узгодженості дій органів публічної влади, сил безпеки, місцевого самоврядування, операторів критичної інфраструктури та недержавних суб’єктів. У науковому вимірі ця проблематика є особливо важливою, адже гібридні загрози руйнують звичні галузеві й відомчі межі управління: одна й та сама подія може одночасно мати безпековий, інформаційний, економічний, кібернетичний, гуманітарний та соціально-психологічний виміри. Саме тому </w:t>
      </w:r>
      <w:proofErr w:type="spellStart"/>
      <w:r w:rsidRPr="0084717A">
        <w:rPr>
          <w:rFonts w:ascii="Times New Roman" w:hAnsi="Times New Roman" w:cs="Times New Roman"/>
          <w:sz w:val="28"/>
          <w:szCs w:val="28"/>
        </w:rPr>
        <w:t>секторно</w:t>
      </w:r>
      <w:proofErr w:type="spellEnd"/>
      <w:r w:rsidRPr="0084717A">
        <w:rPr>
          <w:rFonts w:ascii="Times New Roman" w:hAnsi="Times New Roman" w:cs="Times New Roman"/>
          <w:sz w:val="28"/>
          <w:szCs w:val="28"/>
        </w:rPr>
        <w:t xml:space="preserve"> ізольовані управлінські рішення в умовах гібридних ризиків виявляються недостатніми.</w:t>
      </w:r>
    </w:p>
    <w:p w14:paraId="36DD7EE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Під </w:t>
      </w:r>
      <w:r w:rsidRPr="0084717A">
        <w:rPr>
          <w:rFonts w:ascii="Times New Roman" w:hAnsi="Times New Roman" w:cs="Times New Roman"/>
          <w:b/>
          <w:bCs/>
          <w:sz w:val="28"/>
          <w:szCs w:val="28"/>
        </w:rPr>
        <w:t>міжвідомчою взаємодією</w:t>
      </w:r>
      <w:r w:rsidRPr="0084717A">
        <w:rPr>
          <w:rFonts w:ascii="Times New Roman" w:hAnsi="Times New Roman" w:cs="Times New Roman"/>
          <w:sz w:val="28"/>
          <w:szCs w:val="28"/>
        </w:rPr>
        <w:t xml:space="preserve"> доцільно розуміти організований процес координації, погодження та спільного виконання завдань різними органами публічної влади, установами, службами та іншими суб’єктами, які мають окремі, але взаємопов’язані повноваження у сфері запобігання, реагування та відновлення. У традиційній адміністративній моделі відомства часто діють у межах власних компетенцій, керуючись галузевими процедурами та нормативами. Проте в умовах гібридних ризиків цього недостатньо, оскільки жоден орган не володіє повним набором інструментів, інформації та ресурсів для самостійного подолання комплексної кризи.</w:t>
      </w:r>
    </w:p>
    <w:p w14:paraId="6A5ABFE8"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Наприклад, масована атака на енергетичну інфраструктуру не є лише проблемою енергетичного сектору. Вона безпосередньо зачіпає роботу органів місцевого самоврядування, систем водопостачання, медичних закладів, зв’язку, транспорту, освіти, соціального захисту, правоохоронних органів, ДСНС, військових адміністрацій і системи комунікації з населенням. У такій ситуації ефективність реагування залежить не стільки від окремої “сили” кожного органу, скільки від здатності різних відомств швидко погодити рішення, обмінятися інформацією, </w:t>
      </w:r>
      <w:r w:rsidRPr="0084717A">
        <w:rPr>
          <w:rFonts w:ascii="Times New Roman" w:hAnsi="Times New Roman" w:cs="Times New Roman"/>
          <w:sz w:val="28"/>
          <w:szCs w:val="28"/>
        </w:rPr>
        <w:lastRenderedPageBreak/>
        <w:t>розподілити ресурси, уникнути дублювання дій і підтримати безперервність критичних функцій.</w:t>
      </w:r>
    </w:p>
    <w:p w14:paraId="36810C8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важливо наголосити, що міжвідомча взаємодія в умовах гібридних ризиків є не просто адміністративною процедурою, а </w:t>
      </w:r>
      <w:r w:rsidRPr="0084717A">
        <w:rPr>
          <w:rFonts w:ascii="Times New Roman" w:hAnsi="Times New Roman" w:cs="Times New Roman"/>
          <w:b/>
          <w:bCs/>
          <w:sz w:val="28"/>
          <w:szCs w:val="28"/>
        </w:rPr>
        <w:t xml:space="preserve">механізмом інтеграції розподілених </w:t>
      </w:r>
      <w:proofErr w:type="spellStart"/>
      <w:r w:rsidRPr="0084717A">
        <w:rPr>
          <w:rFonts w:ascii="Times New Roman" w:hAnsi="Times New Roman" w:cs="Times New Roman"/>
          <w:b/>
          <w:bCs/>
          <w:sz w:val="28"/>
          <w:szCs w:val="28"/>
        </w:rPr>
        <w:t>спроможностей</w:t>
      </w:r>
      <w:proofErr w:type="spellEnd"/>
      <w:r w:rsidRPr="0084717A">
        <w:rPr>
          <w:rFonts w:ascii="Times New Roman" w:hAnsi="Times New Roman" w:cs="Times New Roman"/>
          <w:sz w:val="28"/>
          <w:szCs w:val="28"/>
        </w:rPr>
        <w:t>. Її сутність полягає у тому, щоб перетворити множинність компетенцій, інституцій і ресурсів на єдину спроможність системи діяти узгоджено. Якщо така інтеграція не відбувається, виникає так званий ефект управлінської фрагментації: кожен суб’єкт виконує власну функцію, але загальний результат залишається слабким або суперечливим.</w:t>
      </w:r>
    </w:p>
    <w:p w14:paraId="0FC9C047"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цьому контексті особливого значення набуває </w:t>
      </w:r>
      <w:r w:rsidRPr="0084717A">
        <w:rPr>
          <w:rFonts w:ascii="Times New Roman" w:hAnsi="Times New Roman" w:cs="Times New Roman"/>
          <w:b/>
          <w:bCs/>
          <w:sz w:val="28"/>
          <w:szCs w:val="28"/>
        </w:rPr>
        <w:t>інтегроване планування</w:t>
      </w:r>
      <w:r w:rsidRPr="0084717A">
        <w:rPr>
          <w:rFonts w:ascii="Times New Roman" w:hAnsi="Times New Roman" w:cs="Times New Roman"/>
          <w:sz w:val="28"/>
          <w:szCs w:val="28"/>
        </w:rPr>
        <w:t xml:space="preserve">. Його можна визначити як процес спільного формування цілей, сценаріїв, рішень, резервних алгоритмів і ресурсних пріоритетів між різними суб’єктами управління з урахуванням </w:t>
      </w:r>
      <w:proofErr w:type="spellStart"/>
      <w:r w:rsidRPr="0084717A">
        <w:rPr>
          <w:rFonts w:ascii="Times New Roman" w:hAnsi="Times New Roman" w:cs="Times New Roman"/>
          <w:sz w:val="28"/>
          <w:szCs w:val="28"/>
        </w:rPr>
        <w:t>міжсекторального</w:t>
      </w:r>
      <w:proofErr w:type="spellEnd"/>
      <w:r w:rsidRPr="0084717A">
        <w:rPr>
          <w:rFonts w:ascii="Times New Roman" w:hAnsi="Times New Roman" w:cs="Times New Roman"/>
          <w:sz w:val="28"/>
          <w:szCs w:val="28"/>
        </w:rPr>
        <w:t xml:space="preserve"> характеру загроз. На відміну від звичайного галузевого планування, інтегроване планування виходить із того, що ризики мають перехресний характер, а отже і плани мають бути взаємоузгодженими. Інакше кажучи, план реагування в одному секторі не може розроблятися ізольовано від планів інших секторів, якщо наслідки кризи зачіпають їх одночасно.</w:t>
      </w:r>
    </w:p>
    <w:p w14:paraId="49E23098"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Інтегроване планування в умовах гібридних ризиків спирається на кілька основних засад. Насамперед це </w:t>
      </w:r>
      <w:r w:rsidRPr="0084717A">
        <w:rPr>
          <w:rFonts w:ascii="Times New Roman" w:hAnsi="Times New Roman" w:cs="Times New Roman"/>
          <w:b/>
          <w:bCs/>
          <w:sz w:val="28"/>
          <w:szCs w:val="28"/>
        </w:rPr>
        <w:t>спільна оцінка ризиків і вразливостей</w:t>
      </w:r>
      <w:r w:rsidRPr="0084717A">
        <w:rPr>
          <w:rFonts w:ascii="Times New Roman" w:hAnsi="Times New Roman" w:cs="Times New Roman"/>
          <w:sz w:val="28"/>
          <w:szCs w:val="28"/>
        </w:rPr>
        <w:t>. Органи влади повинні мати не лише галузеве бачення небезпек, а й інтегровану картину того, як одна загроза поширюється на суміжні сфери. Наприклад, кібератака на систему управління транспортною інфраструктурою може спричинити не лише технічний збій, а й гуманітарні наслідки, проблеми з евакуацією, логістикою медичних вантажів, забезпеченням паливом і громадським порядком. Отже, оцінка ризику має враховувати каскадний характер наслідків.</w:t>
      </w:r>
    </w:p>
    <w:p w14:paraId="056F1808"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Друга засада інтегрованого планування полягає у </w:t>
      </w:r>
      <w:r w:rsidRPr="0084717A">
        <w:rPr>
          <w:rFonts w:ascii="Times New Roman" w:hAnsi="Times New Roman" w:cs="Times New Roman"/>
          <w:b/>
          <w:bCs/>
          <w:sz w:val="28"/>
          <w:szCs w:val="28"/>
        </w:rPr>
        <w:t>визначенні критичних функцій</w:t>
      </w:r>
      <w:r w:rsidRPr="0084717A">
        <w:rPr>
          <w:rFonts w:ascii="Times New Roman" w:hAnsi="Times New Roman" w:cs="Times New Roman"/>
          <w:sz w:val="28"/>
          <w:szCs w:val="28"/>
        </w:rPr>
        <w:t xml:space="preserve">, які мають бути забезпечені навіть у разі значного порушення звичного режиму управління. Йдеться не лише про збереження роботи центральних органів влади, а й про безперервність базових послуг: </w:t>
      </w:r>
      <w:proofErr w:type="spellStart"/>
      <w:r w:rsidRPr="0084717A">
        <w:rPr>
          <w:rFonts w:ascii="Times New Roman" w:hAnsi="Times New Roman" w:cs="Times New Roman"/>
          <w:sz w:val="28"/>
          <w:szCs w:val="28"/>
        </w:rPr>
        <w:t>електро</w:t>
      </w:r>
      <w:proofErr w:type="spellEnd"/>
      <w:r w:rsidRPr="0084717A">
        <w:rPr>
          <w:rFonts w:ascii="Times New Roman" w:hAnsi="Times New Roman" w:cs="Times New Roman"/>
          <w:sz w:val="28"/>
          <w:szCs w:val="28"/>
        </w:rPr>
        <w:t>- і водопостачання, охорони здоров’я, зв’язку, управління транспортом, реагування на надзвичайні ситуації, виплати соціальної допомоги, функціонування місцевого врядування, інформування населення. Саме орієнтація на критичні функції дозволяє під час кризи правильно визначати пріоритети й не розпорошувати ресурси.</w:t>
      </w:r>
    </w:p>
    <w:p w14:paraId="11F9921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Третя засада — </w:t>
      </w:r>
      <w:r w:rsidRPr="0084717A">
        <w:rPr>
          <w:rFonts w:ascii="Times New Roman" w:hAnsi="Times New Roman" w:cs="Times New Roman"/>
          <w:b/>
          <w:bCs/>
          <w:sz w:val="28"/>
          <w:szCs w:val="28"/>
        </w:rPr>
        <w:t>сценарний підхід</w:t>
      </w:r>
      <w:r w:rsidRPr="0084717A">
        <w:rPr>
          <w:rFonts w:ascii="Times New Roman" w:hAnsi="Times New Roman" w:cs="Times New Roman"/>
          <w:sz w:val="28"/>
          <w:szCs w:val="28"/>
        </w:rPr>
        <w:t>. У сфері гібридних ризиків планування не може спиратися лише на один “базовий” сценарій. Необхідно моделювати різні варіанти розвитку подій: кібератака без фізичного руйнування; одночасний інформаційний тиск і технічний збій; багатоденне порушення енергопостачання; атака на об’єкти критичної інфраструктури під час екстремальних погодних умов; масове переміщення населення на тлі руйнування транспортних вузлів. Сценарне планування не означає прагнення передбачити все, але дозволяє підготувати набір попередньо узгоджених рішень і ролей.</w:t>
      </w:r>
    </w:p>
    <w:p w14:paraId="2E667C7C"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Четверта засада полягає у </w:t>
      </w:r>
      <w:proofErr w:type="spellStart"/>
      <w:r w:rsidRPr="0084717A">
        <w:rPr>
          <w:rFonts w:ascii="Times New Roman" w:hAnsi="Times New Roman" w:cs="Times New Roman"/>
          <w:b/>
          <w:bCs/>
          <w:sz w:val="28"/>
          <w:szCs w:val="28"/>
        </w:rPr>
        <w:t>взаємоузгодженості</w:t>
      </w:r>
      <w:proofErr w:type="spellEnd"/>
      <w:r w:rsidRPr="0084717A">
        <w:rPr>
          <w:rFonts w:ascii="Times New Roman" w:hAnsi="Times New Roman" w:cs="Times New Roman"/>
          <w:b/>
          <w:bCs/>
          <w:sz w:val="28"/>
          <w:szCs w:val="28"/>
        </w:rPr>
        <w:t xml:space="preserve"> планів різних рівнів і відомств</w:t>
      </w:r>
      <w:r w:rsidRPr="0084717A">
        <w:rPr>
          <w:rFonts w:ascii="Times New Roman" w:hAnsi="Times New Roman" w:cs="Times New Roman"/>
          <w:sz w:val="28"/>
          <w:szCs w:val="28"/>
        </w:rPr>
        <w:t xml:space="preserve">. Якщо центральний орган формує одну логіку реагування, область — іншу, а громада — третю, система втрачає керованість. Тому інтегроване планування вимагає вертикальної та горизонтальної сумісності: стратегічні документи мають </w:t>
      </w:r>
      <w:r w:rsidRPr="0084717A">
        <w:rPr>
          <w:rFonts w:ascii="Times New Roman" w:hAnsi="Times New Roman" w:cs="Times New Roman"/>
          <w:sz w:val="28"/>
          <w:szCs w:val="28"/>
        </w:rPr>
        <w:lastRenderedPageBreak/>
        <w:t>бути конкретизовані на регіональному й місцевому рівнях, а секторальні плани повинні враховувати дії суміжних секторів. Наприклад, план реагування громади на тривале знеструмлення має бути поєднаний із планами енергетичного оператора, медичної системи, водоканалу, закладів освіти, служб цивільного захисту та місцевих комунікаційних підрозділів.</w:t>
      </w:r>
    </w:p>
    <w:p w14:paraId="2CC26BC0"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П’ята засада — </w:t>
      </w:r>
      <w:r w:rsidRPr="0084717A">
        <w:rPr>
          <w:rFonts w:ascii="Times New Roman" w:hAnsi="Times New Roman" w:cs="Times New Roman"/>
          <w:b/>
          <w:bCs/>
          <w:sz w:val="28"/>
          <w:szCs w:val="28"/>
        </w:rPr>
        <w:t>зв’язок між плануванням і ресурсами</w:t>
      </w:r>
      <w:r w:rsidRPr="0084717A">
        <w:rPr>
          <w:rFonts w:ascii="Times New Roman" w:hAnsi="Times New Roman" w:cs="Times New Roman"/>
          <w:sz w:val="28"/>
          <w:szCs w:val="28"/>
        </w:rPr>
        <w:t>. Будь-який план втрачає практичну цінність, якщо для його реалізації не передбачено ресурсного забезпечення. Тому інтегроване планування має містити відповіді на запитання: які ресурси потрібні, хто ними володіє, у які строки вони можуть бути мобілізовані, якими є резерви, хто ухвалює рішення про перерозподіл, які існують альтернативні джерела забезпечення, які ресурси є критично дефіцитними. Без цього навіть добре написаний план залишається декларативним документом.</w:t>
      </w:r>
    </w:p>
    <w:p w14:paraId="39AC824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Умови гібридних ризиків особливо загострюють проблему </w:t>
      </w:r>
      <w:r w:rsidRPr="0084717A">
        <w:rPr>
          <w:rFonts w:ascii="Times New Roman" w:hAnsi="Times New Roman" w:cs="Times New Roman"/>
          <w:b/>
          <w:bCs/>
          <w:sz w:val="28"/>
          <w:szCs w:val="28"/>
        </w:rPr>
        <w:t>управління ресурсами</w:t>
      </w:r>
      <w:r w:rsidRPr="0084717A">
        <w:rPr>
          <w:rFonts w:ascii="Times New Roman" w:hAnsi="Times New Roman" w:cs="Times New Roman"/>
          <w:sz w:val="28"/>
          <w:szCs w:val="28"/>
        </w:rPr>
        <w:t xml:space="preserve">. У широкому розумінні ресурси охоплюють не лише фінанси, а й персонал, техніку, матеріальні запаси, логістику, паливо, засоби зв’язку, дані, цифрові системи, резервні джерела енергії, час, організаційну спроможність і довіру суспільства. Наукова проблема тут полягає в тому, що ресурсне управління зазвичай вибудовується в </w:t>
      </w:r>
      <w:proofErr w:type="spellStart"/>
      <w:r w:rsidRPr="0084717A">
        <w:rPr>
          <w:rFonts w:ascii="Times New Roman" w:hAnsi="Times New Roman" w:cs="Times New Roman"/>
          <w:sz w:val="28"/>
          <w:szCs w:val="28"/>
        </w:rPr>
        <w:t>логіці</w:t>
      </w:r>
      <w:proofErr w:type="spellEnd"/>
      <w:r w:rsidRPr="0084717A">
        <w:rPr>
          <w:rFonts w:ascii="Times New Roman" w:hAnsi="Times New Roman" w:cs="Times New Roman"/>
          <w:sz w:val="28"/>
          <w:szCs w:val="28"/>
        </w:rPr>
        <w:t xml:space="preserve"> галузевої автономії, тоді як гібридні ризики потребують </w:t>
      </w:r>
      <w:proofErr w:type="spellStart"/>
      <w:r w:rsidRPr="0084717A">
        <w:rPr>
          <w:rFonts w:ascii="Times New Roman" w:hAnsi="Times New Roman" w:cs="Times New Roman"/>
          <w:sz w:val="28"/>
          <w:szCs w:val="28"/>
        </w:rPr>
        <w:t>міжсекторального</w:t>
      </w:r>
      <w:proofErr w:type="spellEnd"/>
      <w:r w:rsidRPr="0084717A">
        <w:rPr>
          <w:rFonts w:ascii="Times New Roman" w:hAnsi="Times New Roman" w:cs="Times New Roman"/>
          <w:sz w:val="28"/>
          <w:szCs w:val="28"/>
        </w:rPr>
        <w:t xml:space="preserve"> і </w:t>
      </w:r>
      <w:proofErr w:type="spellStart"/>
      <w:r w:rsidRPr="0084717A">
        <w:rPr>
          <w:rFonts w:ascii="Times New Roman" w:hAnsi="Times New Roman" w:cs="Times New Roman"/>
          <w:sz w:val="28"/>
          <w:szCs w:val="28"/>
        </w:rPr>
        <w:t>міжрівневого</w:t>
      </w:r>
      <w:proofErr w:type="spellEnd"/>
      <w:r w:rsidRPr="0084717A">
        <w:rPr>
          <w:rFonts w:ascii="Times New Roman" w:hAnsi="Times New Roman" w:cs="Times New Roman"/>
          <w:sz w:val="28"/>
          <w:szCs w:val="28"/>
        </w:rPr>
        <w:t xml:space="preserve"> перерозподілу ресурсів.</w:t>
      </w:r>
    </w:p>
    <w:p w14:paraId="2A0E1231"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Наприклад, під час масштабної кризи генератори, паливо, супутниковий зв’язок, транспорт, медичне обладнання або евакуаційні автобуси не можуть розглядатися як “власність” окремого відомства у вузькому сенсі. Вони стають ресурсами загальної стійкості, а отже рішення щодо їх використання мають ухвалюватися з урахуванням загальносистемних пріоритетів. Якщо цього не відбувається, виникає конкуренція між відомствами, дублювання </w:t>
      </w:r>
      <w:proofErr w:type="spellStart"/>
      <w:r w:rsidRPr="0084717A">
        <w:rPr>
          <w:rFonts w:ascii="Times New Roman" w:hAnsi="Times New Roman" w:cs="Times New Roman"/>
          <w:sz w:val="28"/>
          <w:szCs w:val="28"/>
        </w:rPr>
        <w:t>закупівель</w:t>
      </w:r>
      <w:proofErr w:type="spellEnd"/>
      <w:r w:rsidRPr="0084717A">
        <w:rPr>
          <w:rFonts w:ascii="Times New Roman" w:hAnsi="Times New Roman" w:cs="Times New Roman"/>
          <w:sz w:val="28"/>
          <w:szCs w:val="28"/>
        </w:rPr>
        <w:t>, непрозорий розподіл, локальний надлишок одних ресурсів і дефіцит інших.</w:t>
      </w:r>
    </w:p>
    <w:p w14:paraId="78DCB112"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Управління ресурсами в умовах гібридних ризиків ґрунтується на низці принципів. Першим є </w:t>
      </w:r>
      <w:r w:rsidRPr="0084717A">
        <w:rPr>
          <w:rFonts w:ascii="Times New Roman" w:hAnsi="Times New Roman" w:cs="Times New Roman"/>
          <w:b/>
          <w:bCs/>
          <w:sz w:val="28"/>
          <w:szCs w:val="28"/>
        </w:rPr>
        <w:t>принцип пріоритетності критичних функцій</w:t>
      </w:r>
      <w:r w:rsidRPr="0084717A">
        <w:rPr>
          <w:rFonts w:ascii="Times New Roman" w:hAnsi="Times New Roman" w:cs="Times New Roman"/>
          <w:sz w:val="28"/>
          <w:szCs w:val="28"/>
        </w:rPr>
        <w:t>. Ресурси мають спрямовуватися насамперед туди, де від них залежить збереження життя, базових послуг і безперервність управління. Наприклад, у разі дефіциту електроенергії пріоритет надається лікарням, системам водопостачання, об’єктам зв’язку, пунктам управління, аварійним службам та іншим критично важливим елементам.</w:t>
      </w:r>
    </w:p>
    <w:p w14:paraId="4582067C"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Другий принцип — </w:t>
      </w:r>
      <w:r w:rsidRPr="0084717A">
        <w:rPr>
          <w:rFonts w:ascii="Times New Roman" w:hAnsi="Times New Roman" w:cs="Times New Roman"/>
          <w:b/>
          <w:bCs/>
          <w:sz w:val="28"/>
          <w:szCs w:val="28"/>
        </w:rPr>
        <w:t>гнучкість і мобільність</w:t>
      </w:r>
      <w:r w:rsidRPr="0084717A">
        <w:rPr>
          <w:rFonts w:ascii="Times New Roman" w:hAnsi="Times New Roman" w:cs="Times New Roman"/>
          <w:sz w:val="28"/>
          <w:szCs w:val="28"/>
        </w:rPr>
        <w:t>. Гібридні кризи швидко змінюють конфігурацію потреб, тому ресурси мають бути не лише наявними, а й такими, що можуть швидко переміщуватися між територіями, секторами та органами. Наприклад, резерви пального, мобільні бригади ремонту, запасне обладнання, пересувні пункти управління або польові центри надання послуг повинні бути включені в систему не як виняток, а як елемент заздалегідь продуманого управління.</w:t>
      </w:r>
    </w:p>
    <w:p w14:paraId="283FA222"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Третій принцип — </w:t>
      </w:r>
      <w:r w:rsidRPr="0084717A">
        <w:rPr>
          <w:rFonts w:ascii="Times New Roman" w:hAnsi="Times New Roman" w:cs="Times New Roman"/>
          <w:b/>
          <w:bCs/>
          <w:sz w:val="28"/>
          <w:szCs w:val="28"/>
        </w:rPr>
        <w:t xml:space="preserve">сумісність та </w:t>
      </w:r>
      <w:proofErr w:type="spellStart"/>
      <w:r w:rsidRPr="0084717A">
        <w:rPr>
          <w:rFonts w:ascii="Times New Roman" w:hAnsi="Times New Roman" w:cs="Times New Roman"/>
          <w:b/>
          <w:bCs/>
          <w:sz w:val="28"/>
          <w:szCs w:val="28"/>
        </w:rPr>
        <w:t>інтероперабельність</w:t>
      </w:r>
      <w:proofErr w:type="spellEnd"/>
      <w:r w:rsidRPr="0084717A">
        <w:rPr>
          <w:rFonts w:ascii="Times New Roman" w:hAnsi="Times New Roman" w:cs="Times New Roman"/>
          <w:sz w:val="28"/>
          <w:szCs w:val="28"/>
        </w:rPr>
        <w:t>. Ресурси різних відомств і рівнів влади мають бути сумісними з точки зору процедур, технічних стандартів і правил використання. Якщо різні суб’єкти мають несумісні системи зв’язку, бази даних, формати обміну інформацією або логістичні протоколи, то навіть за наявності достатніх ресурсів спільне реагування буде неефективним.</w:t>
      </w:r>
    </w:p>
    <w:p w14:paraId="2C3BB916"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Четвертий принцип — </w:t>
      </w:r>
      <w:r w:rsidRPr="0084717A">
        <w:rPr>
          <w:rFonts w:ascii="Times New Roman" w:hAnsi="Times New Roman" w:cs="Times New Roman"/>
          <w:b/>
          <w:bCs/>
          <w:sz w:val="28"/>
          <w:szCs w:val="28"/>
        </w:rPr>
        <w:t>резервування і надлишкова надійність</w:t>
      </w:r>
      <w:r w:rsidRPr="0084717A">
        <w:rPr>
          <w:rFonts w:ascii="Times New Roman" w:hAnsi="Times New Roman" w:cs="Times New Roman"/>
          <w:sz w:val="28"/>
          <w:szCs w:val="28"/>
        </w:rPr>
        <w:t>. У нормальних умовах адміністративні системи тяжіють до оптимізації витрат і мінімізації запасів. Проте в умовах гібридних ризиків надмірна “економність” може призвести до вразливості. Система стійкості потребує резервів: резервного енергоживлення, резервного зв’язку, дублюючих інформаційних систем, запасів матеріалів, кадрового резерву, альтернативних маршрутів логістики. У науковій літературі це часто описується як співвідношення між ефективністю та стійкістю: те, що в мирний і стабільний час видається надлишковим, у кризовий період стає умовою виживання системи.</w:t>
      </w:r>
    </w:p>
    <w:p w14:paraId="0A384674"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П’ятий принцип — </w:t>
      </w:r>
      <w:r w:rsidRPr="0084717A">
        <w:rPr>
          <w:rFonts w:ascii="Times New Roman" w:hAnsi="Times New Roman" w:cs="Times New Roman"/>
          <w:b/>
          <w:bCs/>
          <w:sz w:val="28"/>
          <w:szCs w:val="28"/>
        </w:rPr>
        <w:t>прозорість і підзвітність</w:t>
      </w:r>
      <w:r w:rsidRPr="0084717A">
        <w:rPr>
          <w:rFonts w:ascii="Times New Roman" w:hAnsi="Times New Roman" w:cs="Times New Roman"/>
          <w:sz w:val="28"/>
          <w:szCs w:val="28"/>
        </w:rPr>
        <w:t>. У кризових умовах допускається прискорене ухвалення рішень та спрощення процедур, однак це не скасовує потреби в контролі, обліку і прозорій фіксації рішень. Інакше виникають корупційні ризики, хаотичний розподіл ресурсів і втрата довіри суспільства. Особливо важливо це у сфері гуманітарної допомоги, відбудови інфраструктури, використання резервних фондів і закупівлі обладнання.</w:t>
      </w:r>
    </w:p>
    <w:p w14:paraId="2BF3923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доцільно розмежувати кілька типів ресурсів, якими потрібно управляти в інтегрованій </w:t>
      </w:r>
      <w:proofErr w:type="spellStart"/>
      <w:r w:rsidRPr="0084717A">
        <w:rPr>
          <w:rFonts w:ascii="Times New Roman" w:hAnsi="Times New Roman" w:cs="Times New Roman"/>
          <w:sz w:val="28"/>
          <w:szCs w:val="28"/>
        </w:rPr>
        <w:t>логіці</w:t>
      </w:r>
      <w:proofErr w:type="spellEnd"/>
      <w:r w:rsidRPr="0084717A">
        <w:rPr>
          <w:rFonts w:ascii="Times New Roman" w:hAnsi="Times New Roman" w:cs="Times New Roman"/>
          <w:sz w:val="28"/>
          <w:szCs w:val="28"/>
        </w:rPr>
        <w:t xml:space="preserve">. Першу групу становлять </w:t>
      </w:r>
      <w:r w:rsidRPr="0084717A">
        <w:rPr>
          <w:rFonts w:ascii="Times New Roman" w:hAnsi="Times New Roman" w:cs="Times New Roman"/>
          <w:b/>
          <w:bCs/>
          <w:sz w:val="28"/>
          <w:szCs w:val="28"/>
        </w:rPr>
        <w:t>матеріально-технічні ресурси</w:t>
      </w:r>
      <w:r w:rsidRPr="0084717A">
        <w:rPr>
          <w:rFonts w:ascii="Times New Roman" w:hAnsi="Times New Roman" w:cs="Times New Roman"/>
          <w:sz w:val="28"/>
          <w:szCs w:val="28"/>
        </w:rPr>
        <w:t xml:space="preserve">: обладнання, транспорт, паливо, генератори, будівельні матеріали, техніка для аварійних робіт, засоби індивідуального захисту, медичні засоби. Другу групу становлять </w:t>
      </w:r>
      <w:r w:rsidRPr="0084717A">
        <w:rPr>
          <w:rFonts w:ascii="Times New Roman" w:hAnsi="Times New Roman" w:cs="Times New Roman"/>
          <w:b/>
          <w:bCs/>
          <w:sz w:val="28"/>
          <w:szCs w:val="28"/>
        </w:rPr>
        <w:t>фінансові ресурси</w:t>
      </w:r>
      <w:r w:rsidRPr="0084717A">
        <w:rPr>
          <w:rFonts w:ascii="Times New Roman" w:hAnsi="Times New Roman" w:cs="Times New Roman"/>
          <w:sz w:val="28"/>
          <w:szCs w:val="28"/>
        </w:rPr>
        <w:t xml:space="preserve">, включаючи бюджетні резерви, спеціальні фонди, донорські кошти, механізми оперативного фінансування. Третю групу складають </w:t>
      </w:r>
      <w:r w:rsidRPr="0084717A">
        <w:rPr>
          <w:rFonts w:ascii="Times New Roman" w:hAnsi="Times New Roman" w:cs="Times New Roman"/>
          <w:b/>
          <w:bCs/>
          <w:sz w:val="28"/>
          <w:szCs w:val="28"/>
        </w:rPr>
        <w:t>людські ресурси</w:t>
      </w:r>
      <w:r w:rsidRPr="0084717A">
        <w:rPr>
          <w:rFonts w:ascii="Times New Roman" w:hAnsi="Times New Roman" w:cs="Times New Roman"/>
          <w:sz w:val="28"/>
          <w:szCs w:val="28"/>
        </w:rPr>
        <w:t xml:space="preserve">: персонал органів влади, аварійні бригади, медичні працівники, фахівці з </w:t>
      </w:r>
      <w:proofErr w:type="spellStart"/>
      <w:r w:rsidRPr="0084717A">
        <w:rPr>
          <w:rFonts w:ascii="Times New Roman" w:hAnsi="Times New Roman" w:cs="Times New Roman"/>
          <w:sz w:val="28"/>
          <w:szCs w:val="28"/>
        </w:rPr>
        <w:t>кіберзахисту</w:t>
      </w:r>
      <w:proofErr w:type="spellEnd"/>
      <w:r w:rsidRPr="0084717A">
        <w:rPr>
          <w:rFonts w:ascii="Times New Roman" w:hAnsi="Times New Roman" w:cs="Times New Roman"/>
          <w:sz w:val="28"/>
          <w:szCs w:val="28"/>
        </w:rPr>
        <w:t xml:space="preserve">, комунікаційні команди, волонтери, експерти. Четверта група — </w:t>
      </w:r>
      <w:r w:rsidRPr="0084717A">
        <w:rPr>
          <w:rFonts w:ascii="Times New Roman" w:hAnsi="Times New Roman" w:cs="Times New Roman"/>
          <w:b/>
          <w:bCs/>
          <w:sz w:val="28"/>
          <w:szCs w:val="28"/>
        </w:rPr>
        <w:t>інформаційні ресурси</w:t>
      </w:r>
      <w:r w:rsidRPr="0084717A">
        <w:rPr>
          <w:rFonts w:ascii="Times New Roman" w:hAnsi="Times New Roman" w:cs="Times New Roman"/>
          <w:sz w:val="28"/>
          <w:szCs w:val="28"/>
        </w:rPr>
        <w:t xml:space="preserve">, тобто дані, аналітичні системи, картографія, ситуаційна інформація, протоколи звітності. П’ята група — </w:t>
      </w:r>
      <w:r w:rsidRPr="0084717A">
        <w:rPr>
          <w:rFonts w:ascii="Times New Roman" w:hAnsi="Times New Roman" w:cs="Times New Roman"/>
          <w:b/>
          <w:bCs/>
          <w:sz w:val="28"/>
          <w:szCs w:val="28"/>
        </w:rPr>
        <w:t>організаційні ресурси</w:t>
      </w:r>
      <w:r w:rsidRPr="0084717A">
        <w:rPr>
          <w:rFonts w:ascii="Times New Roman" w:hAnsi="Times New Roman" w:cs="Times New Roman"/>
          <w:sz w:val="28"/>
          <w:szCs w:val="28"/>
        </w:rPr>
        <w:t>, зокрема налагоджені процедури, командні структури, канали комунікації, юридичні механізми координації. Усе це має управлятися не фрагментарно, а як єдиний ресурсний контур стійкості.</w:t>
      </w:r>
    </w:p>
    <w:p w14:paraId="3A3D9CDA"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Особливе значення в системі міжвідомчої взаємодії має </w:t>
      </w:r>
      <w:r w:rsidRPr="0084717A">
        <w:rPr>
          <w:rFonts w:ascii="Times New Roman" w:hAnsi="Times New Roman" w:cs="Times New Roman"/>
          <w:b/>
          <w:bCs/>
          <w:sz w:val="28"/>
          <w:szCs w:val="28"/>
        </w:rPr>
        <w:t>управлінська інформація</w:t>
      </w:r>
      <w:r w:rsidRPr="0084717A">
        <w:rPr>
          <w:rFonts w:ascii="Times New Roman" w:hAnsi="Times New Roman" w:cs="Times New Roman"/>
          <w:sz w:val="28"/>
          <w:szCs w:val="28"/>
        </w:rPr>
        <w:t xml:space="preserve">. В умовах гібридних ризиків ресурси можуть бути наявними, але недоступними для ефективного використання через брак актуальних даних. Якщо органи влади не мають достовірної інформації про стан мереж, кількість вразливого населення, наявні запаси пального, пропускну спроможність доріг, стан </w:t>
      </w:r>
      <w:proofErr w:type="spellStart"/>
      <w:r w:rsidRPr="0084717A">
        <w:rPr>
          <w:rFonts w:ascii="Times New Roman" w:hAnsi="Times New Roman" w:cs="Times New Roman"/>
          <w:sz w:val="28"/>
          <w:szCs w:val="28"/>
        </w:rPr>
        <w:t>укриттів</w:t>
      </w:r>
      <w:proofErr w:type="spellEnd"/>
      <w:r w:rsidRPr="0084717A">
        <w:rPr>
          <w:rFonts w:ascii="Times New Roman" w:hAnsi="Times New Roman" w:cs="Times New Roman"/>
          <w:sz w:val="28"/>
          <w:szCs w:val="28"/>
        </w:rPr>
        <w:t xml:space="preserve"> або кадрову готовність служб, вони не можуть приймати обґрунтовані рішення. Саме тому інтегроване планування потребує ситуаційних центрів, спільних інформаційних платформ, регулярної звітності та чітких протоколів передавання даних.</w:t>
      </w:r>
    </w:p>
    <w:p w14:paraId="68B7329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практичному вимірі міжвідомча взаємодія реалізується через низку механізмів. Одним із найважливіших є </w:t>
      </w:r>
      <w:r w:rsidRPr="0084717A">
        <w:rPr>
          <w:rFonts w:ascii="Times New Roman" w:hAnsi="Times New Roman" w:cs="Times New Roman"/>
          <w:b/>
          <w:bCs/>
          <w:sz w:val="28"/>
          <w:szCs w:val="28"/>
        </w:rPr>
        <w:t>міжвідомчі координаційні штаби</w:t>
      </w:r>
      <w:r w:rsidRPr="0084717A">
        <w:rPr>
          <w:rFonts w:ascii="Times New Roman" w:hAnsi="Times New Roman" w:cs="Times New Roman"/>
          <w:sz w:val="28"/>
          <w:szCs w:val="28"/>
        </w:rPr>
        <w:t>. Їх завдання полягає не лише в обміні інформацією, а й у виробленні спільних рішень, визначенні пріоритетів, погодженні ресурсних потреб та усуненні суперечностей між відомствами. Водночас ефективність таких штабів залежить від кількох умов: чіткого мандата, визначеного лідерства, доступу до актуальної інформації, участі уповноважених осіб, процедур швидкого ухвалення рішень і механізмів контролю виконання.</w:t>
      </w:r>
    </w:p>
    <w:p w14:paraId="571D553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Іншим важливим механізмом є </w:t>
      </w:r>
      <w:r w:rsidRPr="0084717A">
        <w:rPr>
          <w:rFonts w:ascii="Times New Roman" w:hAnsi="Times New Roman" w:cs="Times New Roman"/>
          <w:b/>
          <w:bCs/>
          <w:sz w:val="28"/>
          <w:szCs w:val="28"/>
        </w:rPr>
        <w:t>спільні протоколи дій і стандартні операційні процедури</w:t>
      </w:r>
      <w:r w:rsidRPr="0084717A">
        <w:rPr>
          <w:rFonts w:ascii="Times New Roman" w:hAnsi="Times New Roman" w:cs="Times New Roman"/>
          <w:sz w:val="28"/>
          <w:szCs w:val="28"/>
        </w:rPr>
        <w:t>. Під час кризи час на узгодження “з нуля” часто відсутній, тому відомства мають мати наперед погоджені алгоритми взаємодії. Наприклад, при руйнуванні об’єкта критичної інфраструктури має бути зрозуміло, хто першим інформує про інцидент, хто забезпечує оцінку пошкоджень, хто відповідає за безпеку периметра, хто організовує логістику ремонтних матеріалів, хто інформує населення, хто приймає рішення про евакуацію або зміну режиму послуг.</w:t>
      </w:r>
    </w:p>
    <w:p w14:paraId="1B5B61A6"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Ще одним ключовим елементом є </w:t>
      </w:r>
      <w:r w:rsidRPr="0084717A">
        <w:rPr>
          <w:rFonts w:ascii="Times New Roman" w:hAnsi="Times New Roman" w:cs="Times New Roman"/>
          <w:b/>
          <w:bCs/>
          <w:sz w:val="28"/>
          <w:szCs w:val="28"/>
        </w:rPr>
        <w:t>спільні навчання</w:t>
      </w:r>
      <w:r w:rsidRPr="0084717A">
        <w:rPr>
          <w:rFonts w:ascii="Times New Roman" w:hAnsi="Times New Roman" w:cs="Times New Roman"/>
          <w:sz w:val="28"/>
          <w:szCs w:val="28"/>
        </w:rPr>
        <w:t xml:space="preserve">. У науковому аналізі часто недооцінюється той факт, що координація є не лише нормативною, а й поведінковою категорією. Організації можуть формально знати свої повноваження, але фактично не бути готовими до взаємодії під тиском часу, стресу та дефіциту інформації. Саме тому міжвідомчі тренування, командно-штабні навчання, симуляції кризових сценаріїв і </w:t>
      </w:r>
      <w:proofErr w:type="spellStart"/>
      <w:r w:rsidRPr="0084717A">
        <w:rPr>
          <w:rFonts w:ascii="Times New Roman" w:hAnsi="Times New Roman" w:cs="Times New Roman"/>
          <w:sz w:val="28"/>
          <w:szCs w:val="28"/>
        </w:rPr>
        <w:t>післядієвий</w:t>
      </w:r>
      <w:proofErr w:type="spellEnd"/>
      <w:r w:rsidRPr="0084717A">
        <w:rPr>
          <w:rFonts w:ascii="Times New Roman" w:hAnsi="Times New Roman" w:cs="Times New Roman"/>
          <w:sz w:val="28"/>
          <w:szCs w:val="28"/>
        </w:rPr>
        <w:t xml:space="preserve"> аналіз є критично важливими для формування управлінської сумісності.</w:t>
      </w:r>
    </w:p>
    <w:p w14:paraId="1BBDCD0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ілюстрації можна розглянути </w:t>
      </w:r>
      <w:r w:rsidRPr="0084717A">
        <w:rPr>
          <w:rFonts w:ascii="Times New Roman" w:hAnsi="Times New Roman" w:cs="Times New Roman"/>
          <w:b/>
          <w:bCs/>
          <w:sz w:val="28"/>
          <w:szCs w:val="28"/>
        </w:rPr>
        <w:t xml:space="preserve">приклад </w:t>
      </w:r>
      <w:proofErr w:type="spellStart"/>
      <w:r w:rsidRPr="0084717A">
        <w:rPr>
          <w:rFonts w:ascii="Times New Roman" w:hAnsi="Times New Roman" w:cs="Times New Roman"/>
          <w:b/>
          <w:bCs/>
          <w:sz w:val="28"/>
          <w:szCs w:val="28"/>
        </w:rPr>
        <w:t>кіберінциденту</w:t>
      </w:r>
      <w:proofErr w:type="spellEnd"/>
      <w:r w:rsidRPr="0084717A">
        <w:rPr>
          <w:rFonts w:ascii="Times New Roman" w:hAnsi="Times New Roman" w:cs="Times New Roman"/>
          <w:sz w:val="28"/>
          <w:szCs w:val="28"/>
        </w:rPr>
        <w:t xml:space="preserve">, який вражає інформаційні системи органів влади. У такій ситуації один орган може відповідати за </w:t>
      </w:r>
      <w:proofErr w:type="spellStart"/>
      <w:r w:rsidRPr="0084717A">
        <w:rPr>
          <w:rFonts w:ascii="Times New Roman" w:hAnsi="Times New Roman" w:cs="Times New Roman"/>
          <w:sz w:val="28"/>
          <w:szCs w:val="28"/>
        </w:rPr>
        <w:t>кіберзахист</w:t>
      </w:r>
      <w:proofErr w:type="spellEnd"/>
      <w:r w:rsidRPr="0084717A">
        <w:rPr>
          <w:rFonts w:ascii="Times New Roman" w:hAnsi="Times New Roman" w:cs="Times New Roman"/>
          <w:sz w:val="28"/>
          <w:szCs w:val="28"/>
        </w:rPr>
        <w:t>, інший — за адміністрування реєстру, третій — за надання послуг громадянам, четвертий — за правову кваліфікацію інциденту, п’ятий — за комунікацію з громадськістю. Якщо ці суб’єкти не мають спільного плану, відбувається затримка у відновленні, суперечливі повідомлення для громадян, неузгоджені дії з резервними системами і, як наслідок, криза довіри до державної цифрової інфраструктури. Якщо ж інтегроване планування було проведене заздалегідь, система має резервні канали, протоколи переключення на альтернативні процедури, розподіл ролей та механізми інформування користувачів.</w:t>
      </w:r>
    </w:p>
    <w:p w14:paraId="5B6FA0C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Не менш показовим є </w:t>
      </w:r>
      <w:r w:rsidRPr="0084717A">
        <w:rPr>
          <w:rFonts w:ascii="Times New Roman" w:hAnsi="Times New Roman" w:cs="Times New Roman"/>
          <w:b/>
          <w:bCs/>
          <w:sz w:val="28"/>
          <w:szCs w:val="28"/>
        </w:rPr>
        <w:t>приклад масового переміщення населення</w:t>
      </w:r>
      <w:r w:rsidRPr="0084717A">
        <w:rPr>
          <w:rFonts w:ascii="Times New Roman" w:hAnsi="Times New Roman" w:cs="Times New Roman"/>
          <w:sz w:val="28"/>
          <w:szCs w:val="28"/>
        </w:rPr>
        <w:t xml:space="preserve"> внаслідок безпекової ескалації. Така ситуація виходить далеко за межі компетенції одного міністерства чи місцевої громади. Потрібно координувати транспорт, тимчасове розміщення, соціальну допомогу, медичний супровід, освітні послуги для дітей, комунікацію з населенням, безпеку громадського порядку, облік потреб і взаємодію з гуманітарними організаціями. Інтегроване планування в цьому випадку має охоплювати не лише прийом людей, а й управління навантаженням на місцеву інфраструктуру, бюджетні ресурси, кадрову спроможність соціальних служб і взаємодію з громадським сектором.</w:t>
      </w:r>
    </w:p>
    <w:p w14:paraId="6478735F"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 умовах гібридних ризиків важливим є також </w:t>
      </w:r>
      <w:r w:rsidRPr="0084717A">
        <w:rPr>
          <w:rFonts w:ascii="Times New Roman" w:hAnsi="Times New Roman" w:cs="Times New Roman"/>
          <w:b/>
          <w:bCs/>
          <w:sz w:val="28"/>
          <w:szCs w:val="28"/>
        </w:rPr>
        <w:t>інтегроване планування відновлення</w:t>
      </w:r>
      <w:r w:rsidRPr="0084717A">
        <w:rPr>
          <w:rFonts w:ascii="Times New Roman" w:hAnsi="Times New Roman" w:cs="Times New Roman"/>
          <w:sz w:val="28"/>
          <w:szCs w:val="28"/>
        </w:rPr>
        <w:t xml:space="preserve">. Тривалий час управлінська логіка будувалася за схемою “запобігання — реагування — ліквідація наслідків”. Проте сучасні кризи показують, що відновлення має плануватися фактично одночасно з реагуванням. Наприклад, після руйнування енергетичного об’єкта необхідно не лише забезпечити аварійне відновлення, а й одразу враховувати питання модернізації, розосередження ризиків, захисту від повторних атак, резервування </w:t>
      </w:r>
      <w:proofErr w:type="spellStart"/>
      <w:r w:rsidRPr="0084717A">
        <w:rPr>
          <w:rFonts w:ascii="Times New Roman" w:hAnsi="Times New Roman" w:cs="Times New Roman"/>
          <w:sz w:val="28"/>
          <w:szCs w:val="28"/>
        </w:rPr>
        <w:t>потужностей</w:t>
      </w:r>
      <w:proofErr w:type="spellEnd"/>
      <w:r w:rsidRPr="0084717A">
        <w:rPr>
          <w:rFonts w:ascii="Times New Roman" w:hAnsi="Times New Roman" w:cs="Times New Roman"/>
          <w:sz w:val="28"/>
          <w:szCs w:val="28"/>
        </w:rPr>
        <w:t xml:space="preserve"> і зміни технічних рішень. Отже, управління ресурсами в умовах гібридних ризиків не обмежується “закриттям дефіциту”, а має бути орієнтоване на стратегічне зміцнення стійкості.</w:t>
      </w:r>
    </w:p>
    <w:p w14:paraId="7BEEE55D"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корисно звернути увагу і на </w:t>
      </w:r>
      <w:r w:rsidRPr="0084717A">
        <w:rPr>
          <w:rFonts w:ascii="Times New Roman" w:hAnsi="Times New Roman" w:cs="Times New Roman"/>
          <w:b/>
          <w:bCs/>
          <w:sz w:val="28"/>
          <w:szCs w:val="28"/>
        </w:rPr>
        <w:t>типові проблеми міжвідомчої взаємодії</w:t>
      </w:r>
      <w:r w:rsidRPr="0084717A">
        <w:rPr>
          <w:rFonts w:ascii="Times New Roman" w:hAnsi="Times New Roman" w:cs="Times New Roman"/>
          <w:sz w:val="28"/>
          <w:szCs w:val="28"/>
        </w:rPr>
        <w:t xml:space="preserve">. До них належать відомчий егоїзм, дублювання повноважень, конкуренція за фінансування, відмінності у професійній культурі, замкненість інформаційних </w:t>
      </w:r>
      <w:r w:rsidRPr="0084717A">
        <w:rPr>
          <w:rFonts w:ascii="Times New Roman" w:hAnsi="Times New Roman" w:cs="Times New Roman"/>
          <w:sz w:val="28"/>
          <w:szCs w:val="28"/>
        </w:rPr>
        <w:lastRenderedPageBreak/>
        <w:t xml:space="preserve">систем, правові колізії, нестача довіри між інституціями, а також розрив між центральним плануванням і локальною реальністю. Часто проблема полягає не у відсутності органів чи документів, а в тому, що між ними не сформовано робочих </w:t>
      </w:r>
      <w:proofErr w:type="spellStart"/>
      <w:r w:rsidRPr="0084717A">
        <w:rPr>
          <w:rFonts w:ascii="Times New Roman" w:hAnsi="Times New Roman" w:cs="Times New Roman"/>
          <w:sz w:val="28"/>
          <w:szCs w:val="28"/>
        </w:rPr>
        <w:t>зв’язків</w:t>
      </w:r>
      <w:proofErr w:type="spellEnd"/>
      <w:r w:rsidRPr="0084717A">
        <w:rPr>
          <w:rFonts w:ascii="Times New Roman" w:hAnsi="Times New Roman" w:cs="Times New Roman"/>
          <w:sz w:val="28"/>
          <w:szCs w:val="28"/>
        </w:rPr>
        <w:t>. Саме тому ефективність міжвідомчої взаємодії слід оцінювати не лише за формальною наявністю координаційних структур, а й за здатністю системи швидко генерувати узгоджені рішення в реальному часі.</w:t>
      </w:r>
    </w:p>
    <w:p w14:paraId="16E22988"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науковому плані важливо також підкреслити, що міжвідомча взаємодія не повинна зводитися до суто реактивного виміру. Її слід розглядати як </w:t>
      </w:r>
      <w:r w:rsidRPr="0084717A">
        <w:rPr>
          <w:rFonts w:ascii="Times New Roman" w:hAnsi="Times New Roman" w:cs="Times New Roman"/>
          <w:b/>
          <w:bCs/>
          <w:sz w:val="28"/>
          <w:szCs w:val="28"/>
        </w:rPr>
        <w:t>сталу управлінську спроможність</w:t>
      </w:r>
      <w:r w:rsidRPr="0084717A">
        <w:rPr>
          <w:rFonts w:ascii="Times New Roman" w:hAnsi="Times New Roman" w:cs="Times New Roman"/>
          <w:sz w:val="28"/>
          <w:szCs w:val="28"/>
        </w:rPr>
        <w:t xml:space="preserve">, що формується у повсякденній діяльності: через спільне планування, узгодження баз даних, розроблення спільних </w:t>
      </w:r>
      <w:proofErr w:type="spellStart"/>
      <w:r w:rsidRPr="0084717A">
        <w:rPr>
          <w:rFonts w:ascii="Times New Roman" w:hAnsi="Times New Roman" w:cs="Times New Roman"/>
          <w:sz w:val="28"/>
          <w:szCs w:val="28"/>
        </w:rPr>
        <w:t>методик</w:t>
      </w:r>
      <w:proofErr w:type="spellEnd"/>
      <w:r w:rsidRPr="0084717A">
        <w:rPr>
          <w:rFonts w:ascii="Times New Roman" w:hAnsi="Times New Roman" w:cs="Times New Roman"/>
          <w:sz w:val="28"/>
          <w:szCs w:val="28"/>
        </w:rPr>
        <w:t xml:space="preserve">, взаємне навчання, стандартизацію звітності, створення довірчих комунікаційних каналів та </w:t>
      </w:r>
      <w:proofErr w:type="spellStart"/>
      <w:r w:rsidRPr="0084717A">
        <w:rPr>
          <w:rFonts w:ascii="Times New Roman" w:hAnsi="Times New Roman" w:cs="Times New Roman"/>
          <w:sz w:val="28"/>
          <w:szCs w:val="28"/>
        </w:rPr>
        <w:t>інституціоналізацію</w:t>
      </w:r>
      <w:proofErr w:type="spellEnd"/>
      <w:r w:rsidRPr="0084717A">
        <w:rPr>
          <w:rFonts w:ascii="Times New Roman" w:hAnsi="Times New Roman" w:cs="Times New Roman"/>
          <w:sz w:val="28"/>
          <w:szCs w:val="28"/>
        </w:rPr>
        <w:t xml:space="preserve"> партнерства. Кризова координація не виникає автоматично в момент загрози; вона є результатом попередньо створеної організаційної культури співпраці.</w:t>
      </w:r>
    </w:p>
    <w:p w14:paraId="7D600CE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З огляду на це, міжвідомчу взаємодію, інтегроване планування та управління ресурсами в умовах гібридних ризиків можна розглядати як </w:t>
      </w:r>
      <w:r w:rsidRPr="0084717A">
        <w:rPr>
          <w:rFonts w:ascii="Times New Roman" w:hAnsi="Times New Roman" w:cs="Times New Roman"/>
          <w:b/>
          <w:bCs/>
          <w:sz w:val="28"/>
          <w:szCs w:val="28"/>
        </w:rPr>
        <w:t>єдину функціональну підсистему національної стійкості</w:t>
      </w:r>
      <w:r w:rsidRPr="0084717A">
        <w:rPr>
          <w:rFonts w:ascii="Times New Roman" w:hAnsi="Times New Roman" w:cs="Times New Roman"/>
          <w:sz w:val="28"/>
          <w:szCs w:val="28"/>
        </w:rPr>
        <w:t>. Міжвідомча взаємодія забезпечує комунікацію і узгодженість суб’єктів; інтегроване планування — спільну логіку дій і визначення пріоритетів; управління ресурсами — практичну можливість реалізувати прийняті рішення. Відсутність хоча б одного з цих елементів робить інші неповними: координація без ресурсів є декларативною, ресурси без плану використовуються хаотично, а план без взаємодії залишається несумісним із реальною структурою управління.</w:t>
      </w:r>
    </w:p>
    <w:p w14:paraId="68DC43EC"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підсумку доцільно сформулювати таке узагальнене положення: </w:t>
      </w:r>
      <w:r w:rsidRPr="0084717A">
        <w:rPr>
          <w:rFonts w:ascii="Times New Roman" w:hAnsi="Times New Roman" w:cs="Times New Roman"/>
          <w:b/>
          <w:bCs/>
          <w:sz w:val="28"/>
          <w:szCs w:val="28"/>
        </w:rPr>
        <w:t xml:space="preserve">міжвідомча взаємодія, інтегроване планування та управління ресурсами в умовах гібридних ризиків — це системно організований процес поєднання повноважень, інформації, сценаріїв дій і ресурсних </w:t>
      </w:r>
      <w:proofErr w:type="spellStart"/>
      <w:r w:rsidRPr="0084717A">
        <w:rPr>
          <w:rFonts w:ascii="Times New Roman" w:hAnsi="Times New Roman" w:cs="Times New Roman"/>
          <w:b/>
          <w:bCs/>
          <w:sz w:val="28"/>
          <w:szCs w:val="28"/>
        </w:rPr>
        <w:t>спроможностей</w:t>
      </w:r>
      <w:proofErr w:type="spellEnd"/>
      <w:r w:rsidRPr="0084717A">
        <w:rPr>
          <w:rFonts w:ascii="Times New Roman" w:hAnsi="Times New Roman" w:cs="Times New Roman"/>
          <w:b/>
          <w:bCs/>
          <w:sz w:val="28"/>
          <w:szCs w:val="28"/>
        </w:rPr>
        <w:t xml:space="preserve"> різних суб’єктів публічного управління з метою забезпечення безперервності критичних функцій, узгодженого реагування, мінімізації втрат і формування довгострокової стійкості держави та суспільства</w:t>
      </w:r>
      <w:r w:rsidRPr="0084717A">
        <w:rPr>
          <w:rFonts w:ascii="Times New Roman" w:hAnsi="Times New Roman" w:cs="Times New Roman"/>
          <w:sz w:val="28"/>
          <w:szCs w:val="28"/>
        </w:rPr>
        <w:t>.</w:t>
      </w:r>
    </w:p>
    <w:p w14:paraId="7895DA11"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Конкретно взаємодія органів влади в умовах гібридних ризиків відбувається не як абстрактна “співпраця”, а як </w:t>
      </w:r>
      <w:r w:rsidRPr="0084717A">
        <w:rPr>
          <w:rFonts w:ascii="Times New Roman" w:hAnsi="Times New Roman" w:cs="Times New Roman"/>
          <w:b/>
          <w:bCs/>
          <w:sz w:val="28"/>
          <w:szCs w:val="28"/>
        </w:rPr>
        <w:t>послідовний управлінський цикл</w:t>
      </w:r>
      <w:r w:rsidRPr="0084717A">
        <w:rPr>
          <w:rFonts w:ascii="Times New Roman" w:hAnsi="Times New Roman" w:cs="Times New Roman"/>
          <w:sz w:val="28"/>
          <w:szCs w:val="28"/>
        </w:rPr>
        <w:t>: виявлення загрози, передавання інформації, оцінка ситуації, ухвалення рішення, розподіл завдань, ресурсне забезпечення, виконання, комунікація з населенням і подальший аналіз результатів.</w:t>
      </w:r>
    </w:p>
    <w:p w14:paraId="27DBA488"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Як саме взаємодіють органи влади</w:t>
      </w:r>
    </w:p>
    <w:p w14:paraId="3043ADAE"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разі виникнення гібридної загрози першим етапом є </w:t>
      </w:r>
      <w:r w:rsidRPr="0084717A">
        <w:rPr>
          <w:rFonts w:ascii="Times New Roman" w:hAnsi="Times New Roman" w:cs="Times New Roman"/>
          <w:b/>
          <w:bCs/>
          <w:sz w:val="28"/>
          <w:szCs w:val="28"/>
        </w:rPr>
        <w:t>виявлення проблеми</w:t>
      </w:r>
      <w:r w:rsidRPr="0084717A">
        <w:rPr>
          <w:rFonts w:ascii="Times New Roman" w:hAnsi="Times New Roman" w:cs="Times New Roman"/>
          <w:sz w:val="28"/>
          <w:szCs w:val="28"/>
        </w:rPr>
        <w:t xml:space="preserve">. Джерелом інформації може бути місцева влада, військова адміністрація, поліція, СБУ, ДСНС, оператор критичної інфраструктури, міністерство, орган </w:t>
      </w:r>
      <w:proofErr w:type="spellStart"/>
      <w:r w:rsidRPr="0084717A">
        <w:rPr>
          <w:rFonts w:ascii="Times New Roman" w:hAnsi="Times New Roman" w:cs="Times New Roman"/>
          <w:sz w:val="28"/>
          <w:szCs w:val="28"/>
        </w:rPr>
        <w:t>кіберзахисту</w:t>
      </w:r>
      <w:proofErr w:type="spellEnd"/>
      <w:r w:rsidRPr="0084717A">
        <w:rPr>
          <w:rFonts w:ascii="Times New Roman" w:hAnsi="Times New Roman" w:cs="Times New Roman"/>
          <w:sz w:val="28"/>
          <w:szCs w:val="28"/>
        </w:rPr>
        <w:t>, медичний заклад, комунальне підприємство або навіть звернення громадян. Наприклад, громада фіксує масове поширення дезінформації про нібито небезпечну якість води, або оператор енергомережі повідомляє про пошкодження об’єкта після атаки.</w:t>
      </w:r>
    </w:p>
    <w:p w14:paraId="2F6AAF7F" w14:textId="77777777" w:rsidR="00EB12D6"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Далі інформація передається до </w:t>
      </w:r>
      <w:r w:rsidRPr="0084717A">
        <w:rPr>
          <w:rFonts w:ascii="Times New Roman" w:hAnsi="Times New Roman" w:cs="Times New Roman"/>
          <w:b/>
          <w:bCs/>
          <w:sz w:val="28"/>
          <w:szCs w:val="28"/>
        </w:rPr>
        <w:t>відповідального координаційного центру</w:t>
      </w:r>
      <w:r w:rsidRPr="0084717A">
        <w:rPr>
          <w:rFonts w:ascii="Times New Roman" w:hAnsi="Times New Roman" w:cs="Times New Roman"/>
          <w:sz w:val="28"/>
          <w:szCs w:val="28"/>
        </w:rPr>
        <w:t xml:space="preserve">. Якщо загроза має локальний характер, первинна координація здійснюється на рівні </w:t>
      </w:r>
      <w:r w:rsidRPr="0084717A">
        <w:rPr>
          <w:rFonts w:ascii="Times New Roman" w:hAnsi="Times New Roman" w:cs="Times New Roman"/>
          <w:sz w:val="28"/>
          <w:szCs w:val="28"/>
        </w:rPr>
        <w:lastRenderedPageBreak/>
        <w:t>громади, районної чи обласної військової адміністрації. Якщо загроза має міжрегіональний або загальнодержавний масштаб, до процесу залучаються Кабінет Міністрів України, профільні міністерства, РНБО, центральні органи виконавчої влади, силові й безпекові структури.</w:t>
      </w:r>
    </w:p>
    <w:p w14:paraId="10448FE5" w14:textId="77777777" w:rsidR="008F28FE" w:rsidRDefault="008F28FE" w:rsidP="00EB12D6">
      <w:pPr>
        <w:spacing w:after="0" w:line="240" w:lineRule="auto"/>
        <w:ind w:firstLine="720"/>
        <w:jc w:val="both"/>
        <w:rPr>
          <w:rFonts w:ascii="Times New Roman" w:hAnsi="Times New Roman" w:cs="Times New Roman"/>
          <w:sz w:val="28"/>
          <w:szCs w:val="28"/>
        </w:rPr>
      </w:pPr>
    </w:p>
    <w:p w14:paraId="0A9916E5" w14:textId="77777777" w:rsidR="008F28FE" w:rsidRDefault="008F28FE" w:rsidP="00EB12D6">
      <w:pPr>
        <w:spacing w:after="0" w:line="240" w:lineRule="auto"/>
        <w:ind w:firstLine="720"/>
        <w:jc w:val="both"/>
        <w:rPr>
          <w:rFonts w:ascii="Times New Roman" w:hAnsi="Times New Roman" w:cs="Times New Roman"/>
          <w:sz w:val="28"/>
          <w:szCs w:val="28"/>
        </w:rPr>
      </w:pPr>
    </w:p>
    <w:p w14:paraId="323DA72D" w14:textId="66647D31" w:rsidR="008F28FE" w:rsidRDefault="008F28FE" w:rsidP="00EB12D6">
      <w:pPr>
        <w:spacing w:after="0" w:line="240" w:lineRule="auto"/>
        <w:ind w:firstLine="720"/>
        <w:jc w:val="both"/>
        <w:rPr>
          <w:rFonts w:ascii="Times New Roman" w:hAnsi="Times New Roman" w:cs="Times New Roman"/>
          <w:sz w:val="28"/>
          <w:szCs w:val="28"/>
        </w:rPr>
      </w:pPr>
      <w:r w:rsidRPr="008F28FE">
        <w:rPr>
          <w:rFonts w:ascii="Times New Roman" w:hAnsi="Times New Roman" w:cs="Times New Roman"/>
          <w:sz w:val="28"/>
          <w:szCs w:val="28"/>
        </w:rPr>
        <w:drawing>
          <wp:inline distT="0" distB="0" distL="0" distR="0" wp14:anchorId="3823B47E" wp14:editId="353CFFB8">
            <wp:extent cx="6038215" cy="4128644"/>
            <wp:effectExtent l="0" t="0" r="635" b="5715"/>
            <wp:docPr id="40800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0900" name=""/>
                    <pic:cNvPicPr/>
                  </pic:nvPicPr>
                  <pic:blipFill>
                    <a:blip r:embed="rId6"/>
                    <a:stretch>
                      <a:fillRect/>
                    </a:stretch>
                  </pic:blipFill>
                  <pic:spPr>
                    <a:xfrm>
                      <a:off x="0" y="0"/>
                      <a:ext cx="6053709" cy="4139238"/>
                    </a:xfrm>
                    <a:prstGeom prst="rect">
                      <a:avLst/>
                    </a:prstGeom>
                  </pic:spPr>
                </pic:pic>
              </a:graphicData>
            </a:graphic>
          </wp:inline>
        </w:drawing>
      </w:r>
    </w:p>
    <w:p w14:paraId="69AED785" w14:textId="77777777" w:rsidR="008F28FE" w:rsidRPr="0084717A" w:rsidRDefault="008F28FE" w:rsidP="00EB12D6">
      <w:pPr>
        <w:spacing w:after="0" w:line="240" w:lineRule="auto"/>
        <w:ind w:firstLine="720"/>
        <w:jc w:val="both"/>
        <w:rPr>
          <w:rFonts w:ascii="Times New Roman" w:hAnsi="Times New Roman" w:cs="Times New Roman"/>
          <w:sz w:val="28"/>
          <w:szCs w:val="28"/>
        </w:rPr>
      </w:pPr>
    </w:p>
    <w:p w14:paraId="2ADB795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якщо йдеться про атаку на енергетичну інфраструктуру, до взаємодії залучаються Міністерство енергетики, оператори енергосистеми, обласні військові адміністрації, органи місцевого самоврядування, ДСНС, Національна поліція, медичні установи, комунальні підприємства, Міністерство розвитку громад та територій, а також комунікаційні підрозділи органів влади.</w:t>
      </w:r>
    </w:p>
    <w:p w14:paraId="40CA24FE"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Після цього формується </w:t>
      </w:r>
      <w:r w:rsidRPr="0084717A">
        <w:rPr>
          <w:rFonts w:ascii="Times New Roman" w:hAnsi="Times New Roman" w:cs="Times New Roman"/>
          <w:b/>
          <w:bCs/>
          <w:sz w:val="28"/>
          <w:szCs w:val="28"/>
        </w:rPr>
        <w:t>спільна оцінка ситуації</w:t>
      </w:r>
      <w:r w:rsidRPr="0084717A">
        <w:rPr>
          <w:rFonts w:ascii="Times New Roman" w:hAnsi="Times New Roman" w:cs="Times New Roman"/>
          <w:sz w:val="28"/>
          <w:szCs w:val="28"/>
        </w:rPr>
        <w:t xml:space="preserve">. Кожен орган надає інформацію у межах своєї компетенції: енергетики повідомляють про стан мереж і строки відновлення, місцева влада — про потреби населення, ДСНС — про безпекову ситуацію та рятувальні роботи, поліція — про громадський порядок, медична система — про готовність лікарень, органи </w:t>
      </w:r>
      <w:proofErr w:type="spellStart"/>
      <w:r w:rsidRPr="0084717A">
        <w:rPr>
          <w:rFonts w:ascii="Times New Roman" w:hAnsi="Times New Roman" w:cs="Times New Roman"/>
          <w:sz w:val="28"/>
          <w:szCs w:val="28"/>
        </w:rPr>
        <w:t>соцзахисту</w:t>
      </w:r>
      <w:proofErr w:type="spellEnd"/>
      <w:r w:rsidRPr="0084717A">
        <w:rPr>
          <w:rFonts w:ascii="Times New Roman" w:hAnsi="Times New Roman" w:cs="Times New Roman"/>
          <w:sz w:val="28"/>
          <w:szCs w:val="28"/>
        </w:rPr>
        <w:t xml:space="preserve"> — про вразливі групи населення, комунальні служби — про воду, тепло, транспорт і життєзабезпечення.</w:t>
      </w:r>
    </w:p>
    <w:p w14:paraId="25F9F4D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 основі цієї інформації визначаються </w:t>
      </w:r>
      <w:r w:rsidRPr="0084717A">
        <w:rPr>
          <w:rFonts w:ascii="Times New Roman" w:hAnsi="Times New Roman" w:cs="Times New Roman"/>
          <w:b/>
          <w:bCs/>
          <w:sz w:val="28"/>
          <w:szCs w:val="28"/>
        </w:rPr>
        <w:t>пріоритети реагування</w:t>
      </w:r>
      <w:r w:rsidRPr="0084717A">
        <w:rPr>
          <w:rFonts w:ascii="Times New Roman" w:hAnsi="Times New Roman" w:cs="Times New Roman"/>
          <w:sz w:val="28"/>
          <w:szCs w:val="28"/>
        </w:rPr>
        <w:t>. Наприклад: спочатку забезпечити електроживлення лікарень, водоканалів і пунктів управління; потім організувати пункти обігріву; далі відновити електропостачання житлових масивів; паралельно забезпечити інформування населення і контроль за поширенням неправдивої інформації.</w:t>
      </w:r>
    </w:p>
    <w:p w14:paraId="0132003F"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Після визначення пріоритетів здійснюється </w:t>
      </w:r>
      <w:r w:rsidRPr="0084717A">
        <w:rPr>
          <w:rFonts w:ascii="Times New Roman" w:hAnsi="Times New Roman" w:cs="Times New Roman"/>
          <w:b/>
          <w:bCs/>
          <w:sz w:val="28"/>
          <w:szCs w:val="28"/>
        </w:rPr>
        <w:t>розподіл завдань між органами влади</w:t>
      </w:r>
      <w:r w:rsidRPr="0084717A">
        <w:rPr>
          <w:rFonts w:ascii="Times New Roman" w:hAnsi="Times New Roman" w:cs="Times New Roman"/>
          <w:sz w:val="28"/>
          <w:szCs w:val="28"/>
        </w:rPr>
        <w:t>. Це ключовий момент, оскільки кожен суб’єкт має виконувати свою функцію, але в межах єдиного плану. Наприклад:</w:t>
      </w:r>
    </w:p>
    <w:p w14:paraId="76403033"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Кабінет Міністрів України</w:t>
      </w:r>
      <w:r w:rsidRPr="0084717A">
        <w:rPr>
          <w:rFonts w:ascii="Times New Roman" w:hAnsi="Times New Roman" w:cs="Times New Roman"/>
          <w:sz w:val="28"/>
          <w:szCs w:val="28"/>
        </w:rPr>
        <w:t xml:space="preserve"> забезпечує загальну урядову координацію, ухвалює рішення щодо ресурсів, фінансування, резервів, міжвідомчої взаємодії та залучення міжнародної допомоги.</w:t>
      </w:r>
    </w:p>
    <w:p w14:paraId="17860107"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Профільне міністерство</w:t>
      </w:r>
      <w:r w:rsidRPr="0084717A">
        <w:rPr>
          <w:rFonts w:ascii="Times New Roman" w:hAnsi="Times New Roman" w:cs="Times New Roman"/>
          <w:sz w:val="28"/>
          <w:szCs w:val="28"/>
        </w:rPr>
        <w:t xml:space="preserve"> відповідає за секторальну політику. Наприклад, Міністерство енергетики — за енергетичний сектор, Міністерство охорони здоров’я — за медичну систему, Міністерство цифрової трансформації — за цифрові сервіси, </w:t>
      </w:r>
      <w:proofErr w:type="spellStart"/>
      <w:r w:rsidRPr="0084717A">
        <w:rPr>
          <w:rFonts w:ascii="Times New Roman" w:hAnsi="Times New Roman" w:cs="Times New Roman"/>
          <w:sz w:val="28"/>
          <w:szCs w:val="28"/>
        </w:rPr>
        <w:t>кіберстійкість</w:t>
      </w:r>
      <w:proofErr w:type="spellEnd"/>
      <w:r w:rsidRPr="0084717A">
        <w:rPr>
          <w:rFonts w:ascii="Times New Roman" w:hAnsi="Times New Roman" w:cs="Times New Roman"/>
          <w:sz w:val="28"/>
          <w:szCs w:val="28"/>
        </w:rPr>
        <w:t xml:space="preserve"> і комунікацію щодо цифрових послуг.</w:t>
      </w:r>
    </w:p>
    <w:p w14:paraId="0AE2292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Обласна військова адміністрація</w:t>
      </w:r>
      <w:r w:rsidRPr="0084717A">
        <w:rPr>
          <w:rFonts w:ascii="Times New Roman" w:hAnsi="Times New Roman" w:cs="Times New Roman"/>
          <w:sz w:val="28"/>
          <w:szCs w:val="28"/>
        </w:rPr>
        <w:t xml:space="preserve"> координує дії на території області: збирає інформацію від громад, узгоджує потреби, розподіляє ресурси, організовує взаємодію між районами, громадами, службами цивільного захисту, правоохоронними органами та комунальними структурами.</w:t>
      </w:r>
    </w:p>
    <w:p w14:paraId="2151C58A"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Органи місцевого самоврядування</w:t>
      </w:r>
      <w:r w:rsidRPr="0084717A">
        <w:rPr>
          <w:rFonts w:ascii="Times New Roman" w:hAnsi="Times New Roman" w:cs="Times New Roman"/>
          <w:sz w:val="28"/>
          <w:szCs w:val="28"/>
        </w:rPr>
        <w:t xml:space="preserve"> забезпечують безпосередню роботу з населенням: відкривають пункти незламності, організовують підвіз води, інформують мешканців, підтримують роботу комунальних служб, допомагають вразливим категоріям населення, координують волонтерів і місцевий бізнес.</w:t>
      </w:r>
    </w:p>
    <w:p w14:paraId="59140916"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ДСНС</w:t>
      </w:r>
      <w:r w:rsidRPr="0084717A">
        <w:rPr>
          <w:rFonts w:ascii="Times New Roman" w:hAnsi="Times New Roman" w:cs="Times New Roman"/>
          <w:sz w:val="28"/>
          <w:szCs w:val="28"/>
        </w:rPr>
        <w:t xml:space="preserve"> відповідає за рятувальні роботи, ліквідацію наслідків надзвичайних ситуацій, евакуацію, пожежну безпеку, розгортання пунктів допомоги, участь у відновленні </w:t>
      </w:r>
      <w:proofErr w:type="spellStart"/>
      <w:r w:rsidRPr="0084717A">
        <w:rPr>
          <w:rFonts w:ascii="Times New Roman" w:hAnsi="Times New Roman" w:cs="Times New Roman"/>
          <w:sz w:val="28"/>
          <w:szCs w:val="28"/>
        </w:rPr>
        <w:t>життєво</w:t>
      </w:r>
      <w:proofErr w:type="spellEnd"/>
      <w:r w:rsidRPr="0084717A">
        <w:rPr>
          <w:rFonts w:ascii="Times New Roman" w:hAnsi="Times New Roman" w:cs="Times New Roman"/>
          <w:sz w:val="28"/>
          <w:szCs w:val="28"/>
        </w:rPr>
        <w:t xml:space="preserve"> важливих умов.</w:t>
      </w:r>
    </w:p>
    <w:p w14:paraId="70AD758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Національна поліція</w:t>
      </w:r>
      <w:r w:rsidRPr="0084717A">
        <w:rPr>
          <w:rFonts w:ascii="Times New Roman" w:hAnsi="Times New Roman" w:cs="Times New Roman"/>
          <w:sz w:val="28"/>
          <w:szCs w:val="28"/>
        </w:rPr>
        <w:t xml:space="preserve"> забезпечує громадський порядок, охорону небезпечних зон, регулювання руху, протидію паніці, перевірку повідомлень про можливі диверсії або провокації.</w:t>
      </w:r>
    </w:p>
    <w:p w14:paraId="49834C8F"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СБУ та інші безпекові органи</w:t>
      </w:r>
      <w:r w:rsidRPr="0084717A">
        <w:rPr>
          <w:rFonts w:ascii="Times New Roman" w:hAnsi="Times New Roman" w:cs="Times New Roman"/>
          <w:sz w:val="28"/>
          <w:szCs w:val="28"/>
        </w:rPr>
        <w:t xml:space="preserve"> працюють із загрозами диверсій, шпигунства, інформаційних операцій, кібератак, координації ворожих впливів, підривної діяльності.</w:t>
      </w:r>
    </w:p>
    <w:p w14:paraId="4D1CD58D"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Оператори критичної інфраструктури</w:t>
      </w:r>
      <w:r w:rsidRPr="0084717A">
        <w:rPr>
          <w:rFonts w:ascii="Times New Roman" w:hAnsi="Times New Roman" w:cs="Times New Roman"/>
          <w:sz w:val="28"/>
          <w:szCs w:val="28"/>
        </w:rPr>
        <w:t xml:space="preserve"> відповідають за технічне відновлення об’єктів: енергомереж, водоканалів, тепломереж, зв’язку, транспорту, цифрових систем.</w:t>
      </w:r>
    </w:p>
    <w:p w14:paraId="663966A0"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Комунікаційні підрозділи органів влади</w:t>
      </w:r>
      <w:r w:rsidRPr="0084717A">
        <w:rPr>
          <w:rFonts w:ascii="Times New Roman" w:hAnsi="Times New Roman" w:cs="Times New Roman"/>
          <w:sz w:val="28"/>
          <w:szCs w:val="28"/>
        </w:rPr>
        <w:t xml:space="preserve"> забезпечують узгоджене інформування населення: що сталося, які дії здійснюються, де отримати допомогу, які обмеження діють, чого не варто робити, які повідомлення є фейковими.</w:t>
      </w:r>
    </w:p>
    <w:p w14:paraId="4322F140"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Приклад конкретної взаємодії</w:t>
      </w:r>
    </w:p>
    <w:p w14:paraId="2E8DF805"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Уявімо ситуацію: після ракетної атаки пошкоджено енергетичний об’єкт, частина міста залишилася без світла, водопостачання працює нестабільно, у соціальних мережах поширюються фейки про “повний колапс” і нібито евакуацію міста.</w:t>
      </w:r>
    </w:p>
    <w:p w14:paraId="1770B481"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такому випадку взаємодія органів влади виглядає так.</w:t>
      </w:r>
    </w:p>
    <w:p w14:paraId="59C986CA"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Спочатку оператор енергосистеми повідомляє про пошкодження об’єкта профільне міністерство, обласну військову адміністрацію та місцеву владу. ДСНС виїжджає на місце для ліквідації наслідків і оцінки безпеки. Поліція обмежує доступ до небезпечної зони. Місцева влада збирає інформацію від комунальних служб: чи працює вода, тепло, лікарні, транспорт, зв’язок.</w:t>
      </w:r>
    </w:p>
    <w:p w14:paraId="2344C9A1"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Обласна військова адміністрація проводить оперативну нараду з громадою, ДСНС, поліцією, енергетиками, медиками, комунальними підприємствами. На цій нараді визначаються першочергові рішення: підключити лікарні до генераторів, забезпечити водоканал пальним, відкрити пункти незламності, організувати підвіз води, підготувати повідомлення для населення, визначити очікувані строки відновлення.</w:t>
      </w:r>
    </w:p>
    <w:p w14:paraId="20F7DB97"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Кабінет Міністрів або профільне міністерство, якщо ситуація масштабна, координує додаткове обладнання, резерви, ремонтні бригади, міжнародну допомогу або перерозподіл ресурсів з інших регіонів. Паралельно державні й місцеві комунікаційні підрозділи узгоджують повідомлення, щоб громадяни отримували однакову, достовірну і несуперечливу інформацію.</w:t>
      </w:r>
    </w:p>
    <w:p w14:paraId="5FAFE8E0"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цьому прикладі жоден орган не може самостійно “закрити” всю кризу. Енергетики ремонтують мережі, але не можуть самі забезпечити громадський порядок. Поліція не може відновити електрику. Місцева влада не може самостійно мобілізувати всі державні резерви. Міністерство не бачить усіх локальних потреб без інформації з громади. Тому результат залежить саме від </w:t>
      </w:r>
      <w:r w:rsidRPr="0084717A">
        <w:rPr>
          <w:rFonts w:ascii="Times New Roman" w:hAnsi="Times New Roman" w:cs="Times New Roman"/>
          <w:b/>
          <w:bCs/>
          <w:sz w:val="28"/>
          <w:szCs w:val="28"/>
        </w:rPr>
        <w:t>узгодженої взаємодії</w:t>
      </w:r>
      <w:r w:rsidRPr="0084717A">
        <w:rPr>
          <w:rFonts w:ascii="Times New Roman" w:hAnsi="Times New Roman" w:cs="Times New Roman"/>
          <w:sz w:val="28"/>
          <w:szCs w:val="28"/>
        </w:rPr>
        <w:t>.</w:t>
      </w:r>
    </w:p>
    <w:p w14:paraId="7A85BBFA"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Основні форми взаємодії органів влади</w:t>
      </w:r>
    </w:p>
    <w:p w14:paraId="77896785"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Органи влади взаємодіють через </w:t>
      </w:r>
      <w:r w:rsidRPr="0084717A">
        <w:rPr>
          <w:rFonts w:ascii="Times New Roman" w:hAnsi="Times New Roman" w:cs="Times New Roman"/>
          <w:b/>
          <w:bCs/>
          <w:sz w:val="28"/>
          <w:szCs w:val="28"/>
        </w:rPr>
        <w:t>оперативні штаби</w:t>
      </w:r>
      <w:r w:rsidRPr="0084717A">
        <w:rPr>
          <w:rFonts w:ascii="Times New Roman" w:hAnsi="Times New Roman" w:cs="Times New Roman"/>
          <w:sz w:val="28"/>
          <w:szCs w:val="28"/>
        </w:rPr>
        <w:t>, де представники різних структур разом оцінюють ситуацію і погоджують рішення.</w:t>
      </w:r>
    </w:p>
    <w:p w14:paraId="6D554356"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Вони використовують </w:t>
      </w:r>
      <w:r w:rsidRPr="0084717A">
        <w:rPr>
          <w:rFonts w:ascii="Times New Roman" w:hAnsi="Times New Roman" w:cs="Times New Roman"/>
          <w:b/>
          <w:bCs/>
          <w:sz w:val="28"/>
          <w:szCs w:val="28"/>
        </w:rPr>
        <w:t>службові канали обміну інформацією</w:t>
      </w:r>
      <w:r w:rsidRPr="0084717A">
        <w:rPr>
          <w:rFonts w:ascii="Times New Roman" w:hAnsi="Times New Roman" w:cs="Times New Roman"/>
          <w:sz w:val="28"/>
          <w:szCs w:val="28"/>
        </w:rPr>
        <w:t xml:space="preserve">: офіційні повідомлення, ситуаційні звіти, закриті канали зв’язку, електронні системи, кризові платформи, телефонограми, </w:t>
      </w:r>
      <w:proofErr w:type="spellStart"/>
      <w:r w:rsidRPr="0084717A">
        <w:rPr>
          <w:rFonts w:ascii="Times New Roman" w:hAnsi="Times New Roman" w:cs="Times New Roman"/>
          <w:sz w:val="28"/>
          <w:szCs w:val="28"/>
        </w:rPr>
        <w:t>відеонаради</w:t>
      </w:r>
      <w:proofErr w:type="spellEnd"/>
      <w:r w:rsidRPr="0084717A">
        <w:rPr>
          <w:rFonts w:ascii="Times New Roman" w:hAnsi="Times New Roman" w:cs="Times New Roman"/>
          <w:sz w:val="28"/>
          <w:szCs w:val="28"/>
        </w:rPr>
        <w:t>.</w:t>
      </w:r>
    </w:p>
    <w:p w14:paraId="7B053B57"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Взаємодія також здійснюється через </w:t>
      </w:r>
      <w:r w:rsidRPr="0084717A">
        <w:rPr>
          <w:rFonts w:ascii="Times New Roman" w:hAnsi="Times New Roman" w:cs="Times New Roman"/>
          <w:b/>
          <w:bCs/>
          <w:sz w:val="28"/>
          <w:szCs w:val="28"/>
        </w:rPr>
        <w:t>спільні плани реагування</w:t>
      </w:r>
      <w:r w:rsidRPr="0084717A">
        <w:rPr>
          <w:rFonts w:ascii="Times New Roman" w:hAnsi="Times New Roman" w:cs="Times New Roman"/>
          <w:sz w:val="28"/>
          <w:szCs w:val="28"/>
        </w:rPr>
        <w:t>, де заздалегідь визначено, хто і що робить у разі конкретного типу загрози.</w:t>
      </w:r>
    </w:p>
    <w:p w14:paraId="12C2779D"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Важливим інструментом є </w:t>
      </w:r>
      <w:r w:rsidRPr="0084717A">
        <w:rPr>
          <w:rFonts w:ascii="Times New Roman" w:hAnsi="Times New Roman" w:cs="Times New Roman"/>
          <w:b/>
          <w:bCs/>
          <w:sz w:val="28"/>
          <w:szCs w:val="28"/>
        </w:rPr>
        <w:t>розподіл ресурсів</w:t>
      </w:r>
      <w:r w:rsidRPr="0084717A">
        <w:rPr>
          <w:rFonts w:ascii="Times New Roman" w:hAnsi="Times New Roman" w:cs="Times New Roman"/>
          <w:sz w:val="28"/>
          <w:szCs w:val="28"/>
        </w:rPr>
        <w:t>: генераторів, пального, транспорту, аварійних бригад, медичного обладнання, гуманітарної допомоги, резервних каналів зв’язку.</w:t>
      </w:r>
    </w:p>
    <w:p w14:paraId="49737104"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Ще одна форма — </w:t>
      </w:r>
      <w:r w:rsidRPr="0084717A">
        <w:rPr>
          <w:rFonts w:ascii="Times New Roman" w:hAnsi="Times New Roman" w:cs="Times New Roman"/>
          <w:b/>
          <w:bCs/>
          <w:sz w:val="28"/>
          <w:szCs w:val="28"/>
        </w:rPr>
        <w:t>спільна комунікація з населенням</w:t>
      </w:r>
      <w:r w:rsidRPr="0084717A">
        <w:rPr>
          <w:rFonts w:ascii="Times New Roman" w:hAnsi="Times New Roman" w:cs="Times New Roman"/>
          <w:sz w:val="28"/>
          <w:szCs w:val="28"/>
        </w:rPr>
        <w:t>. У кризі органи влади мають не дублювати або суперечити одне одному, а подавати узгоджені повідомлення: центральна влада пояснює загальнодержавний контекст, обласна адміністрація — ситуацію в регіоні, громада — конкретні адреси, графіки, пункти допомоги й локальні рішення.</w:t>
      </w:r>
    </w:p>
    <w:p w14:paraId="6CC37C05" w14:textId="77777777" w:rsidR="00EB12D6" w:rsidRPr="0084717A" w:rsidRDefault="00EB12D6" w:rsidP="00EB12D6">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Що є головним у такій взаємодії</w:t>
      </w:r>
    </w:p>
    <w:p w14:paraId="2279B64B"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Головний принцип полягає в тому, що </w:t>
      </w:r>
      <w:r w:rsidRPr="0084717A">
        <w:rPr>
          <w:rFonts w:ascii="Times New Roman" w:hAnsi="Times New Roman" w:cs="Times New Roman"/>
          <w:b/>
          <w:bCs/>
          <w:sz w:val="28"/>
          <w:szCs w:val="28"/>
        </w:rPr>
        <w:t>кожен орган діє в межах своєї компетенції, але не ізольовано, а як частина єдиної системи реагування</w:t>
      </w:r>
      <w:r w:rsidRPr="0084717A">
        <w:rPr>
          <w:rFonts w:ascii="Times New Roman" w:hAnsi="Times New Roman" w:cs="Times New Roman"/>
          <w:sz w:val="28"/>
          <w:szCs w:val="28"/>
        </w:rPr>
        <w:t>.</w:t>
      </w:r>
    </w:p>
    <w:p w14:paraId="32531312"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Для лекції аспірантам можна сформулювати так:</w:t>
      </w:r>
    </w:p>
    <w:p w14:paraId="380F5961"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Міжвідомча взаємодія органів влади в умовах гібридних ризиків — це організований процес обміну інформацією, погодження рішень, розподілу завдань і ресурсів між центральними, регіональними, місцевими, секторальними та безпековими суб’єктами публічного управління з метою забезпечення узгодженого реагування, безперервності критичних функцій і мінімізації наслідків комплексних загроз.</w:t>
      </w:r>
    </w:p>
    <w:p w14:paraId="3FE4AEC9"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Тобто на практиці органи влади взаємодіють не просто через “наради”, а через повний управлінський ланцюг: </w:t>
      </w:r>
      <w:r w:rsidRPr="0084717A">
        <w:rPr>
          <w:rFonts w:ascii="Times New Roman" w:hAnsi="Times New Roman" w:cs="Times New Roman"/>
          <w:b/>
          <w:bCs/>
          <w:sz w:val="28"/>
          <w:szCs w:val="28"/>
        </w:rPr>
        <w:t>інформація → аналіз → рішення → завдання → ресурси → виконання → комунікація → контроль → коригування дій</w:t>
      </w:r>
      <w:r w:rsidRPr="0084717A">
        <w:rPr>
          <w:rFonts w:ascii="Times New Roman" w:hAnsi="Times New Roman" w:cs="Times New Roman"/>
          <w:sz w:val="28"/>
          <w:szCs w:val="28"/>
        </w:rPr>
        <w:t>.</w:t>
      </w:r>
    </w:p>
    <w:p w14:paraId="6526A98C" w14:textId="77777777" w:rsidR="00EB12D6" w:rsidRPr="0084717A" w:rsidRDefault="00EB12D6" w:rsidP="00EB12D6">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Для лекції аспірантам можна завершити цей підрозділ такою аналітичною тезою: у сучасному безпековому середовищі вирішальним є не просто обсяг ресурсів, якими володіє держава, а її здатність </w:t>
      </w:r>
      <w:r w:rsidRPr="0084717A">
        <w:rPr>
          <w:rFonts w:ascii="Times New Roman" w:hAnsi="Times New Roman" w:cs="Times New Roman"/>
          <w:b/>
          <w:bCs/>
          <w:sz w:val="28"/>
          <w:szCs w:val="28"/>
        </w:rPr>
        <w:t>бачити систему як ціле</w:t>
      </w:r>
      <w:r w:rsidRPr="0084717A">
        <w:rPr>
          <w:rFonts w:ascii="Times New Roman" w:hAnsi="Times New Roman" w:cs="Times New Roman"/>
          <w:sz w:val="28"/>
          <w:szCs w:val="28"/>
        </w:rPr>
        <w:t xml:space="preserve">, спільно планувати, швидко переорієнтовувати ресурси, забезпечувати міжвідомчу узгодженість і діяти в </w:t>
      </w:r>
      <w:proofErr w:type="spellStart"/>
      <w:r w:rsidRPr="0084717A">
        <w:rPr>
          <w:rFonts w:ascii="Times New Roman" w:hAnsi="Times New Roman" w:cs="Times New Roman"/>
          <w:sz w:val="28"/>
          <w:szCs w:val="28"/>
        </w:rPr>
        <w:t>логіці</w:t>
      </w:r>
      <w:proofErr w:type="spellEnd"/>
      <w:r w:rsidRPr="0084717A">
        <w:rPr>
          <w:rFonts w:ascii="Times New Roman" w:hAnsi="Times New Roman" w:cs="Times New Roman"/>
          <w:sz w:val="28"/>
          <w:szCs w:val="28"/>
        </w:rPr>
        <w:t xml:space="preserve"> “єдиної стійкості”, а не розрізнених відомчих інтересів.</w:t>
      </w:r>
    </w:p>
    <w:p w14:paraId="5C2B2C1D" w14:textId="77777777" w:rsidR="00EB12D6" w:rsidRPr="0084717A" w:rsidRDefault="00EB12D6" w:rsidP="00EB12D6">
      <w:pPr>
        <w:spacing w:after="0" w:line="240" w:lineRule="auto"/>
        <w:ind w:firstLine="720"/>
        <w:jc w:val="both"/>
        <w:rPr>
          <w:rFonts w:ascii="Times New Roman" w:hAnsi="Times New Roman" w:cs="Times New Roman"/>
          <w:sz w:val="28"/>
          <w:szCs w:val="28"/>
        </w:rPr>
      </w:pPr>
    </w:p>
    <w:p w14:paraId="265F4127" w14:textId="77777777" w:rsidR="0084717A" w:rsidRDefault="0084717A" w:rsidP="0084717A">
      <w:pPr>
        <w:spacing w:after="0" w:line="240" w:lineRule="auto"/>
        <w:ind w:firstLine="720"/>
        <w:jc w:val="both"/>
        <w:rPr>
          <w:rFonts w:ascii="Times New Roman" w:hAnsi="Times New Roman" w:cs="Times New Roman"/>
          <w:b/>
          <w:bCs/>
          <w:sz w:val="28"/>
          <w:szCs w:val="28"/>
        </w:rPr>
      </w:pPr>
      <w:r w:rsidRPr="0084717A">
        <w:rPr>
          <w:rFonts w:ascii="Times New Roman" w:hAnsi="Times New Roman" w:cs="Times New Roman"/>
          <w:b/>
          <w:bCs/>
          <w:sz w:val="28"/>
          <w:szCs w:val="28"/>
        </w:rPr>
        <w:t>3.5. Механізми партнерства держави, місцевого самоврядування і громадянського суспільства у зміцненні національної стійкості</w:t>
      </w:r>
    </w:p>
    <w:p w14:paraId="44CC1E38" w14:textId="77777777" w:rsidR="008F28FE" w:rsidRPr="0084717A" w:rsidRDefault="008F28FE" w:rsidP="0084717A">
      <w:pPr>
        <w:spacing w:after="0" w:line="240" w:lineRule="auto"/>
        <w:ind w:firstLine="720"/>
        <w:jc w:val="both"/>
        <w:rPr>
          <w:rFonts w:ascii="Times New Roman" w:hAnsi="Times New Roman" w:cs="Times New Roman"/>
          <w:b/>
          <w:bCs/>
          <w:sz w:val="28"/>
          <w:szCs w:val="28"/>
        </w:rPr>
      </w:pPr>
    </w:p>
    <w:p w14:paraId="2F5343C5"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Механізми партнерства держави, місцевого самоврядування і громадянського суспільства є одним із ключових практичних вимірів національної стійкості, оскільки в умовах воєнних, гібридних, соціально-економічних та інформаційних ризиків держава не може самостійно забезпечити повний обсяг необхідних ресурсів, комунікацій, довіри, експертизи й оперативної підтримки. Стійкість сучасної держави формується не лише через вертикаль органів влади, а через здатність різних суспільних суб’єктів діяти спільно: органів державної влади, органів місцевого самоврядування, громадських організацій, волонтерських мереж, бізнесу, освітніх і наукових інституцій, медіа, професійних асоціацій та самих громадян.</w:t>
      </w:r>
    </w:p>
    <w:p w14:paraId="285BA4CD"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науковому сенсі партнерство у сфері національної стійкості можна визначити як </w:t>
      </w:r>
      <w:r w:rsidRPr="0084717A">
        <w:rPr>
          <w:rFonts w:ascii="Times New Roman" w:hAnsi="Times New Roman" w:cs="Times New Roman"/>
          <w:b/>
          <w:bCs/>
          <w:sz w:val="28"/>
          <w:szCs w:val="28"/>
        </w:rPr>
        <w:t>систему організованої, взаємно відповідальної та інституційно підтриманої взаємодії публічної влади, громадянського суспільства і недержавних суб’єктів, спрямовану на запобігання кризам, мобілізацію ресурсів, підтримку населення, забезпечення безперервності критичних функцій, відновлення після потрясінь і зміцнення довіри між державою та суспільством</w:t>
      </w:r>
      <w:r w:rsidRPr="0084717A">
        <w:rPr>
          <w:rFonts w:ascii="Times New Roman" w:hAnsi="Times New Roman" w:cs="Times New Roman"/>
          <w:sz w:val="28"/>
          <w:szCs w:val="28"/>
        </w:rPr>
        <w:t>.</w:t>
      </w:r>
    </w:p>
    <w:p w14:paraId="5ECE03D8"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Особливість такого партнерства полягає в тому, що воно не обмежується консультативною участю громадськості або формальним залученням громадських організацій до обговорення рішень. У сфері стійкості громадянське суспільство часто виконує реальні управлінські, гуманітарні, інформаційні, моніторингові, експертні та мобілізаційні функції. Саме тому його роль не можна зводити до допоміжної. Воно є складовою загальної архітектури національної стійкості.</w:t>
      </w:r>
    </w:p>
    <w:p w14:paraId="2076583A"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аспірантів важливо підкреслити, що партнерство держави і громадянського суспільства у зміцненні національної стійкості ґрунтується на зміні самої логіки публічного управління. Якщо класична адміністративна модель передбачала, що держава є головним і майже єдиним суб’єктом управління, то сучасна модель стійкості виходить із принципу </w:t>
      </w:r>
      <w:r w:rsidRPr="0084717A">
        <w:rPr>
          <w:rFonts w:ascii="Times New Roman" w:hAnsi="Times New Roman" w:cs="Times New Roman"/>
          <w:b/>
          <w:bCs/>
          <w:sz w:val="28"/>
          <w:szCs w:val="28"/>
        </w:rPr>
        <w:t>спільного врядування</w:t>
      </w:r>
      <w:r w:rsidRPr="0084717A">
        <w:rPr>
          <w:rFonts w:ascii="Times New Roman" w:hAnsi="Times New Roman" w:cs="Times New Roman"/>
          <w:sz w:val="28"/>
          <w:szCs w:val="28"/>
        </w:rPr>
        <w:t xml:space="preserve">. Це означає, що держава зберігає стратегічну відповідальність, правове регулювання і координаційну роль, але значна частина практичних </w:t>
      </w:r>
      <w:proofErr w:type="spellStart"/>
      <w:r w:rsidRPr="0084717A">
        <w:rPr>
          <w:rFonts w:ascii="Times New Roman" w:hAnsi="Times New Roman" w:cs="Times New Roman"/>
          <w:sz w:val="28"/>
          <w:szCs w:val="28"/>
        </w:rPr>
        <w:t>спроможностей</w:t>
      </w:r>
      <w:proofErr w:type="spellEnd"/>
      <w:r w:rsidRPr="0084717A">
        <w:rPr>
          <w:rFonts w:ascii="Times New Roman" w:hAnsi="Times New Roman" w:cs="Times New Roman"/>
          <w:sz w:val="28"/>
          <w:szCs w:val="28"/>
        </w:rPr>
        <w:t xml:space="preserve"> формується у взаємодії з місцевими громадами, громадськими організаціями, волонтерами, бізнесом і громадянами.</w:t>
      </w:r>
    </w:p>
    <w:p w14:paraId="77236BFA"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Особливо виразно це проявилося в Україні після 2014 року і ще більшою мірою після початку повномасштабної агресії Російської Федерації. Волонтерські мережі, благодійні фонди, місцеві ініціативи, громадські організації, бізнес-об’єднання, університети, експертні центри та цифрові спільноти стали важливими суб’єктами підтримки обороноздатності, гуманітарної допомоги, евакуації, </w:t>
      </w:r>
      <w:r w:rsidRPr="0084717A">
        <w:rPr>
          <w:rFonts w:ascii="Times New Roman" w:hAnsi="Times New Roman" w:cs="Times New Roman"/>
          <w:sz w:val="28"/>
          <w:szCs w:val="28"/>
        </w:rPr>
        <w:lastRenderedPageBreak/>
        <w:t xml:space="preserve">допомоги внутрішньо переміщеним особам, відновлення пошкодженої інфраструктури, інформаційної протидії, психологічної підтримки та міжнародної </w:t>
      </w:r>
      <w:proofErr w:type="spellStart"/>
      <w:r w:rsidRPr="0084717A">
        <w:rPr>
          <w:rFonts w:ascii="Times New Roman" w:hAnsi="Times New Roman" w:cs="Times New Roman"/>
          <w:sz w:val="28"/>
          <w:szCs w:val="28"/>
        </w:rPr>
        <w:t>адвокації</w:t>
      </w:r>
      <w:proofErr w:type="spellEnd"/>
      <w:r w:rsidRPr="0084717A">
        <w:rPr>
          <w:rFonts w:ascii="Times New Roman" w:hAnsi="Times New Roman" w:cs="Times New Roman"/>
          <w:sz w:val="28"/>
          <w:szCs w:val="28"/>
        </w:rPr>
        <w:t>. Це демонструє, що національна стійкість є не лише державною, а й суспільною характеристикою.</w:t>
      </w:r>
    </w:p>
    <w:p w14:paraId="24F25DE4"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Першим важливим механізмом партнерства є </w:t>
      </w:r>
      <w:proofErr w:type="spellStart"/>
      <w:r w:rsidRPr="0084717A">
        <w:rPr>
          <w:rFonts w:ascii="Times New Roman" w:hAnsi="Times New Roman" w:cs="Times New Roman"/>
          <w:b/>
          <w:bCs/>
          <w:sz w:val="28"/>
          <w:szCs w:val="28"/>
        </w:rPr>
        <w:t>консультаційно</w:t>
      </w:r>
      <w:proofErr w:type="spellEnd"/>
      <w:r w:rsidRPr="0084717A">
        <w:rPr>
          <w:rFonts w:ascii="Times New Roman" w:hAnsi="Times New Roman" w:cs="Times New Roman"/>
          <w:b/>
          <w:bCs/>
          <w:sz w:val="28"/>
          <w:szCs w:val="28"/>
        </w:rPr>
        <w:t>-дорадча взаємодія</w:t>
      </w:r>
      <w:r w:rsidRPr="0084717A">
        <w:rPr>
          <w:rFonts w:ascii="Times New Roman" w:hAnsi="Times New Roman" w:cs="Times New Roman"/>
          <w:sz w:val="28"/>
          <w:szCs w:val="28"/>
        </w:rPr>
        <w:t>. Вона передбачає залучення громадських організацій, експертів, професійних асоціацій, представників бізнесу, освітян і науковців до розроблення стратегій, планів реагування, програм відновлення, місцевих політик безпеки, планів евакуації, програм підтримки вразливих груп і заходів протидії дезінформації. Цей механізм дозволяє органам влади краще враховувати реальні потреби суспільства, локальні ризики, професійні знання та практичний досвід тих, хто безпосередньо працює з наслідками криз.</w:t>
      </w:r>
    </w:p>
    <w:p w14:paraId="0108C847"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Наприклад, під час планування підтримки внутрішньо переміщених осіб місцева влада може формально ухвалити програму допомоги. Однак без консультацій із громадськими організаціями, які щоденно працюють із переселенцями, така програма може не враховувати реальні потреби: доступ до житла, психологічну допомогу, працевлаштування, інтеграцію дітей у школи, </w:t>
      </w:r>
      <w:proofErr w:type="spellStart"/>
      <w:r w:rsidRPr="0084717A">
        <w:rPr>
          <w:rFonts w:ascii="Times New Roman" w:hAnsi="Times New Roman" w:cs="Times New Roman"/>
          <w:sz w:val="28"/>
          <w:szCs w:val="28"/>
        </w:rPr>
        <w:t>мовну</w:t>
      </w:r>
      <w:proofErr w:type="spellEnd"/>
      <w:r w:rsidRPr="0084717A">
        <w:rPr>
          <w:rFonts w:ascii="Times New Roman" w:hAnsi="Times New Roman" w:cs="Times New Roman"/>
          <w:sz w:val="28"/>
          <w:szCs w:val="28"/>
        </w:rPr>
        <w:t xml:space="preserve"> й соціальну адаптацію, підтримку людей з інвалідністю або літніх осіб. Отже, консультації не є другорядним етапом, а способом підвищення якості управлінських рішень.</w:t>
      </w:r>
    </w:p>
    <w:p w14:paraId="48F7F41B"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Другим механізмом є </w:t>
      </w:r>
      <w:r w:rsidRPr="0084717A">
        <w:rPr>
          <w:rFonts w:ascii="Times New Roman" w:hAnsi="Times New Roman" w:cs="Times New Roman"/>
          <w:b/>
          <w:bCs/>
          <w:sz w:val="28"/>
          <w:szCs w:val="28"/>
        </w:rPr>
        <w:t>спільне планування і спільне вироблення рішень</w:t>
      </w:r>
      <w:r w:rsidRPr="0084717A">
        <w:rPr>
          <w:rFonts w:ascii="Times New Roman" w:hAnsi="Times New Roman" w:cs="Times New Roman"/>
          <w:sz w:val="28"/>
          <w:szCs w:val="28"/>
        </w:rPr>
        <w:t>. На відміну від консультацій, де громадськість переважно надає пропозиції, спільне планування передбачає участь недержавних суб’єктів у формуванні конкретних дій, відповідальності, ресурсів і показників результативності. Це можуть бути місцеві плани стійкості громад, програми відновлення, антикризові плани, гуманітарні дорожні карти, плани підтримки критичних послуг, програми соціальної згуртованості.</w:t>
      </w:r>
    </w:p>
    <w:p w14:paraId="6B5C7F02"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громада, яка перебуває в зоні підвищеного ризику, може розробляти план реагування на тривале знеструмлення спільно з комунальними підприємствами, волонтерськими організаціями, місцевим бізнесом, медичними закладами, освітніми установами та поліцією. У такому плані визначається: де будуть пункти допомоги, хто забезпечує генератори, хто відповідає за підвіз води, хто працює з літніми людьми, які канали інформування використовуються, як залучаються волонтери, як підтримуються люди з інвалідністю, як організовується транспорт.</w:t>
      </w:r>
    </w:p>
    <w:p w14:paraId="568154CE"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Третім механізмом є </w:t>
      </w:r>
      <w:r w:rsidRPr="0084717A">
        <w:rPr>
          <w:rFonts w:ascii="Times New Roman" w:hAnsi="Times New Roman" w:cs="Times New Roman"/>
          <w:b/>
          <w:bCs/>
          <w:sz w:val="28"/>
          <w:szCs w:val="28"/>
        </w:rPr>
        <w:t>ресурсне партнерство</w:t>
      </w:r>
      <w:r w:rsidRPr="0084717A">
        <w:rPr>
          <w:rFonts w:ascii="Times New Roman" w:hAnsi="Times New Roman" w:cs="Times New Roman"/>
          <w:sz w:val="28"/>
          <w:szCs w:val="28"/>
        </w:rPr>
        <w:t>. Воно полягає у поєднанні ресурсів держави, громад, бізнесу, міжнародних партнерів, благодійних фондів і волонтерських мереж. У кризових умовах ресурси можуть бути обмеженими, розпорошеними або нерівномірно розподіленими. Саме партнерство дозволяє швидше мобілізувати те, чого не вистачає державним органам: транспорт, складські приміщення, обладнання, генератори, засоби зв’язку, фахівців, волонтерів, інформаційні канали, експертну підтримку.</w:t>
      </w:r>
    </w:p>
    <w:p w14:paraId="3A9F3E06"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Наприклад, під час енергетичної кризи місцева влада може мати адміністративний мандат і відповідальність перед населенням, але не мати достатньої кількості генераторів або пального. Місцевий бізнес може надати </w:t>
      </w:r>
      <w:r w:rsidRPr="0084717A">
        <w:rPr>
          <w:rFonts w:ascii="Times New Roman" w:hAnsi="Times New Roman" w:cs="Times New Roman"/>
          <w:sz w:val="28"/>
          <w:szCs w:val="28"/>
        </w:rPr>
        <w:lastRenderedPageBreak/>
        <w:t>логістику, волонтери — допомогти з розподілом допомоги, міжнародні організації — надати обладнання, громадські організації — ідентифікувати потреби вразливих груп, а органи влади — забезпечити координацію, безпеку, облік і пріоритетність розподілу. У такій моделі стійкість формується через об’єднання ресурсів, а не через ізольовані дії кожного суб’єкта.</w:t>
      </w:r>
    </w:p>
    <w:p w14:paraId="0A1B4832"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Четвертим механізмом є </w:t>
      </w:r>
      <w:r w:rsidRPr="0084717A">
        <w:rPr>
          <w:rFonts w:ascii="Times New Roman" w:hAnsi="Times New Roman" w:cs="Times New Roman"/>
          <w:b/>
          <w:bCs/>
          <w:sz w:val="28"/>
          <w:szCs w:val="28"/>
        </w:rPr>
        <w:t>гуманітарне партнерство</w:t>
      </w:r>
      <w:r w:rsidRPr="0084717A">
        <w:rPr>
          <w:rFonts w:ascii="Times New Roman" w:hAnsi="Times New Roman" w:cs="Times New Roman"/>
          <w:sz w:val="28"/>
          <w:szCs w:val="28"/>
        </w:rPr>
        <w:t>. Воно особливо важливе в умовах війни, масових переміщень населення, руйнування житла, пошкодження соціальної інфраструктури, зростання психологічного навантаження та появи нових груп вразливості. Гуманітарне партнерство охоплює допомогу внутрішньо переміщеним особам, підтримку постраждалих громад, забезпечення продуктами, ліками, засобами гігієни, організацію тимчасового розміщення, психологічну допомогу, правову підтримку, роботу з дітьми, ветеранами, людьми з інвалідністю та літніми людьми.</w:t>
      </w:r>
    </w:p>
    <w:p w14:paraId="53AD5BBD"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У цьому контексті громадянське суспільство часто має перевагу швидкості й гнучкості. Громадські організації й волонтерські мережі можуть швидко реагувати на конкретні потреби, працювати з довірою на місцях, досягати тих груп, які не завжди вчасно охоплюються формальними державними програмами. Проте без координації з органами влади існує ризик дублювання допомоги, нерівномірного розподілу, втрати обліку потреб і складності з довгостроковим плануванням. Тому завдання держави і місцевого самоврядування полягає не в тому, щоб замінити громадські ініціативи, а в тому, щоб забезпечити для них координаційну рамку.</w:t>
      </w:r>
    </w:p>
    <w:p w14:paraId="3CA536A1"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П’ятим механізмом є </w:t>
      </w:r>
      <w:r w:rsidRPr="0084717A">
        <w:rPr>
          <w:rFonts w:ascii="Times New Roman" w:hAnsi="Times New Roman" w:cs="Times New Roman"/>
          <w:b/>
          <w:bCs/>
          <w:sz w:val="28"/>
          <w:szCs w:val="28"/>
        </w:rPr>
        <w:t>інформаційно-комунікаційне партнерство</w:t>
      </w:r>
      <w:r w:rsidRPr="0084717A">
        <w:rPr>
          <w:rFonts w:ascii="Times New Roman" w:hAnsi="Times New Roman" w:cs="Times New Roman"/>
          <w:sz w:val="28"/>
          <w:szCs w:val="28"/>
        </w:rPr>
        <w:t xml:space="preserve">. В умовах гібридних загроз інформація стає окремим полем протидії. Дезінформація, панічні повідомлення, маніпулятивні кампанії, дискредитація органів влади, фейкові повідомлення про евакуацію, гуманітарну допомогу або небезпеку можуть завдати не меншої шкоди, ніж окремі технічні </w:t>
      </w:r>
      <w:proofErr w:type="spellStart"/>
      <w:r w:rsidRPr="0084717A">
        <w:rPr>
          <w:rFonts w:ascii="Times New Roman" w:hAnsi="Times New Roman" w:cs="Times New Roman"/>
          <w:sz w:val="28"/>
          <w:szCs w:val="28"/>
        </w:rPr>
        <w:t>збої</w:t>
      </w:r>
      <w:proofErr w:type="spellEnd"/>
      <w:r w:rsidRPr="0084717A">
        <w:rPr>
          <w:rFonts w:ascii="Times New Roman" w:hAnsi="Times New Roman" w:cs="Times New Roman"/>
          <w:sz w:val="28"/>
          <w:szCs w:val="28"/>
        </w:rPr>
        <w:t xml:space="preserve">. Тому зміцнення інформаційної стійкості потребує взаємодії органів влади, медіа, громадських організацій, </w:t>
      </w:r>
      <w:proofErr w:type="spellStart"/>
      <w:r w:rsidRPr="0084717A">
        <w:rPr>
          <w:rFonts w:ascii="Times New Roman" w:hAnsi="Times New Roman" w:cs="Times New Roman"/>
          <w:sz w:val="28"/>
          <w:szCs w:val="28"/>
        </w:rPr>
        <w:t>фактчекерів</w:t>
      </w:r>
      <w:proofErr w:type="spellEnd"/>
      <w:r w:rsidRPr="0084717A">
        <w:rPr>
          <w:rFonts w:ascii="Times New Roman" w:hAnsi="Times New Roman" w:cs="Times New Roman"/>
          <w:sz w:val="28"/>
          <w:szCs w:val="28"/>
        </w:rPr>
        <w:t>, освітян, лідерів громадської думки та цифрових платформ.</w:t>
      </w:r>
    </w:p>
    <w:p w14:paraId="292D9794"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якщо у громаді поширюється фейкова інформація про нібито зараження води, місцева влада має швидко надати офіційне пояснення, водоканал — технічні дані і результати перевірки, медичні установи — професійний коментар, поліція або СБУ — оцінку можливого умисного поширення паніки, а місцеві медіа й громадські організації — допомогти донести перевірену інформацію до населення. У такій ситуації довіра до повідомлення зростає, якщо воно підтверджується не лише владою, а й незалежними або суспільно авторитетними суб’єктами.</w:t>
      </w:r>
    </w:p>
    <w:p w14:paraId="551CE17B"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Шостим механізмом є </w:t>
      </w:r>
      <w:r w:rsidRPr="0084717A">
        <w:rPr>
          <w:rFonts w:ascii="Times New Roman" w:hAnsi="Times New Roman" w:cs="Times New Roman"/>
          <w:b/>
          <w:bCs/>
          <w:sz w:val="28"/>
          <w:szCs w:val="28"/>
        </w:rPr>
        <w:t>громадський моніторинг і підзвітність</w:t>
      </w:r>
      <w:r w:rsidRPr="0084717A">
        <w:rPr>
          <w:rFonts w:ascii="Times New Roman" w:hAnsi="Times New Roman" w:cs="Times New Roman"/>
          <w:sz w:val="28"/>
          <w:szCs w:val="28"/>
        </w:rPr>
        <w:t xml:space="preserve">. Національна стійкість не може будуватися лише на мобілізації ресурсів; вона також потребує довіри до того, як ці ресурси використовуються. Громадські організації, аналітичні центри, журналісти, професійні спільноти й активні громадяни можуть здійснювати моніторинг відбудови, розподілу гуманітарної допомоги, </w:t>
      </w:r>
      <w:proofErr w:type="spellStart"/>
      <w:r w:rsidRPr="0084717A">
        <w:rPr>
          <w:rFonts w:ascii="Times New Roman" w:hAnsi="Times New Roman" w:cs="Times New Roman"/>
          <w:sz w:val="28"/>
          <w:szCs w:val="28"/>
        </w:rPr>
        <w:t>закупівель</w:t>
      </w:r>
      <w:proofErr w:type="spellEnd"/>
      <w:r w:rsidRPr="0084717A">
        <w:rPr>
          <w:rFonts w:ascii="Times New Roman" w:hAnsi="Times New Roman" w:cs="Times New Roman"/>
          <w:sz w:val="28"/>
          <w:szCs w:val="28"/>
        </w:rPr>
        <w:t>, виконання місцевих програм, якості публічних послуг, доступності допомоги для вразливих груп. Такий контроль не слід сприймати як перешкоду для управління. Навпаки, він є механізмом зниження корупційних ризиків, підвищення легітимності рішень і зміцнення довіри.</w:t>
      </w:r>
    </w:p>
    <w:p w14:paraId="500307EB"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Наприклад, у процесі відновлення пошкоджених об’єктів інфраструктури громадський моніторинг може допомогти виявити завищення вартості робіт, неврахування потреб людей з інвалідністю, неякісне виконання підрядних робіт або непріоритетне використання коштів. Якщо органи влади відкриті до такого моніторингу, вони отримують не лише контроль, а й додатковий ресурс для покращення управління.</w:t>
      </w:r>
    </w:p>
    <w:p w14:paraId="1F53B337"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Сьомим механізмом є </w:t>
      </w:r>
      <w:r w:rsidRPr="0084717A">
        <w:rPr>
          <w:rFonts w:ascii="Times New Roman" w:hAnsi="Times New Roman" w:cs="Times New Roman"/>
          <w:b/>
          <w:bCs/>
          <w:sz w:val="28"/>
          <w:szCs w:val="28"/>
        </w:rPr>
        <w:t>участь громадян у локальній безпеці та самодопомозі</w:t>
      </w:r>
      <w:r w:rsidRPr="0084717A">
        <w:rPr>
          <w:rFonts w:ascii="Times New Roman" w:hAnsi="Times New Roman" w:cs="Times New Roman"/>
          <w:sz w:val="28"/>
          <w:szCs w:val="28"/>
        </w:rPr>
        <w:t>. На рівні громад стійкість значною мірою залежить від того, чи знають мешканці, як діяти під час надзвичайної ситуації, де розташовані укриття, як отримати допомогу, як перевіряти інформацію, як підтримувати вразливих сусідів, як діяти під час відключення електроенергії, евакуації або повітряної тривоги. Тому партнерство включає не лише інституції, а й самих громадян як учасників стійкості.</w:t>
      </w:r>
    </w:p>
    <w:p w14:paraId="690F0D95"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цьому сенсі важливими є програми навчання населення, тренінги з </w:t>
      </w:r>
      <w:proofErr w:type="spellStart"/>
      <w:r w:rsidRPr="0084717A">
        <w:rPr>
          <w:rFonts w:ascii="Times New Roman" w:hAnsi="Times New Roman" w:cs="Times New Roman"/>
          <w:sz w:val="28"/>
          <w:szCs w:val="28"/>
        </w:rPr>
        <w:t>домедичної</w:t>
      </w:r>
      <w:proofErr w:type="spellEnd"/>
      <w:r w:rsidRPr="0084717A">
        <w:rPr>
          <w:rFonts w:ascii="Times New Roman" w:hAnsi="Times New Roman" w:cs="Times New Roman"/>
          <w:sz w:val="28"/>
          <w:szCs w:val="28"/>
        </w:rPr>
        <w:t xml:space="preserve"> допомоги, цифрової безпеки, </w:t>
      </w:r>
      <w:proofErr w:type="spellStart"/>
      <w:r w:rsidRPr="0084717A">
        <w:rPr>
          <w:rFonts w:ascii="Times New Roman" w:hAnsi="Times New Roman" w:cs="Times New Roman"/>
          <w:sz w:val="28"/>
          <w:szCs w:val="28"/>
        </w:rPr>
        <w:t>медіаграмотності</w:t>
      </w:r>
      <w:proofErr w:type="spellEnd"/>
      <w:r w:rsidRPr="0084717A">
        <w:rPr>
          <w:rFonts w:ascii="Times New Roman" w:hAnsi="Times New Roman" w:cs="Times New Roman"/>
          <w:sz w:val="28"/>
          <w:szCs w:val="28"/>
        </w:rPr>
        <w:t>, цивільного захисту, підготовки сімейних планів дій на випадок надзвичайної ситуації. Наприклад, громада, у якій мешканці знають адреси пунктів допомоги, правила поведінки під час обстрілів, способи зв’язку у разі відключення мобільного інтернету та механізми підтримки самотніх літніх людей, буде значно стійкішою, ніж громада, де всі очікують лише централізованих інструкцій.</w:t>
      </w:r>
    </w:p>
    <w:p w14:paraId="01890DB6"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Восьмим механізмом є </w:t>
      </w:r>
      <w:r w:rsidRPr="0084717A">
        <w:rPr>
          <w:rFonts w:ascii="Times New Roman" w:hAnsi="Times New Roman" w:cs="Times New Roman"/>
          <w:b/>
          <w:bCs/>
          <w:sz w:val="28"/>
          <w:szCs w:val="28"/>
        </w:rPr>
        <w:t>експертно-аналітичне партнерство</w:t>
      </w:r>
      <w:r w:rsidRPr="0084717A">
        <w:rPr>
          <w:rFonts w:ascii="Times New Roman" w:hAnsi="Times New Roman" w:cs="Times New Roman"/>
          <w:sz w:val="28"/>
          <w:szCs w:val="28"/>
        </w:rPr>
        <w:t>. Університети, наукові установи, аналітичні центри, професійні асоціації та експертні спільноти можуть надавати органам влади дослідження ризиків, оцінку політик, моделювання сценаріїв, рекомендації щодо відновлення, аналіз соціальної згуртованості, оцінювання ефективності програм і порівняння міжнародного досвіду. Для аспірантів це особливо важливий вимір, оскільки наука й освіта не лише пояснюють стійкість, а й можуть безпосередньо брати участь у її формуванні.</w:t>
      </w:r>
    </w:p>
    <w:p w14:paraId="01DFA6E9"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університет може допомогти громаді розробити методику оцінювання вразливості до гібридних ризиків, провести опитування населення щодо довіри до місцевої влади, проаналізувати ефективність комунікації під час кризи, підготувати рекомендації щодо цифрової безпеки або розробити навчальні програми для посадових осіб місцевого самоврядування.</w:t>
      </w:r>
    </w:p>
    <w:p w14:paraId="7C12D710"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Дев’ятим механізмом є </w:t>
      </w:r>
      <w:r w:rsidRPr="0084717A">
        <w:rPr>
          <w:rFonts w:ascii="Times New Roman" w:hAnsi="Times New Roman" w:cs="Times New Roman"/>
          <w:b/>
          <w:bCs/>
          <w:sz w:val="28"/>
          <w:szCs w:val="28"/>
        </w:rPr>
        <w:t>публічно-приватне партнерство у сфері критичної інфраструктури та відновлення</w:t>
      </w:r>
      <w:r w:rsidRPr="0084717A">
        <w:rPr>
          <w:rFonts w:ascii="Times New Roman" w:hAnsi="Times New Roman" w:cs="Times New Roman"/>
          <w:sz w:val="28"/>
          <w:szCs w:val="28"/>
        </w:rPr>
        <w:t>. Хоча громадянське суспільство і бізнес не є тотожними суб’єктами, у системі національної стійкості їхня взаємодія часто перетинається. Бізнес володіє значною частиною технологічних, логістичних, фінансових і виробничих ресурсів. Держава й місцеве самоврядування мають нормативні, планувальні й координаційні повноваження. Громадські організації можуть забезпечувати соціальну чутливість, моніторинг і зв’язок із громадами. У поєднанні це створює умови для ефективнішого відновлення.</w:t>
      </w:r>
    </w:p>
    <w:p w14:paraId="79D182C5"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Наприклад, відбудова зруйнованого об’єкта соціальної інфраструктури може здійснюватися за участю державного фінансування, місцевого планування, приватного підрядника, міжнародного донора та громадського моніторингу. Така модель може бути складнішою, але вона дозволяє поєднати ресурси, контроль і суспільну легітимність.</w:t>
      </w:r>
    </w:p>
    <w:p w14:paraId="7592BE1E"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Окремо варто розглянути </w:t>
      </w:r>
      <w:r w:rsidRPr="0084717A">
        <w:rPr>
          <w:rFonts w:ascii="Times New Roman" w:hAnsi="Times New Roman" w:cs="Times New Roman"/>
          <w:b/>
          <w:bCs/>
          <w:sz w:val="28"/>
          <w:szCs w:val="28"/>
        </w:rPr>
        <w:t>роль місцевого самоврядування</w:t>
      </w:r>
      <w:r w:rsidRPr="0084717A">
        <w:rPr>
          <w:rFonts w:ascii="Times New Roman" w:hAnsi="Times New Roman" w:cs="Times New Roman"/>
          <w:sz w:val="28"/>
          <w:szCs w:val="28"/>
        </w:rPr>
        <w:t xml:space="preserve"> як посередника між державою і громадянським суспільством. Саме місцева влада найкраще бачить локальні потреби, знає територію, має прямий контакт із мешканцями, комунальними службами, місцевим бізнесом і громадськими ініціативами. У системі національної стійкості громада виступає не лише адміністративною одиницею, а простором практичної реалізації політики стійкості.</w:t>
      </w:r>
    </w:p>
    <w:p w14:paraId="19947D29"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Органи місцевого самоврядування можуть створювати місцеві координаційні ради, залучати громадські організації до розроблення програм безпеки і відновлення, підтримувати волонтерські ініціативи, укладати меморандуми з бізнесом, організовувати навчання для населення, вести реєстри потреб вразливих груп, забезпечувати відкритість бюджетних і відновлювальних рішень. У цьому контексті місцеве самоврядування є не нижчим рівнем виконання державних рішень, а самостійним суб’єктом стійкості.</w:t>
      </w:r>
    </w:p>
    <w:p w14:paraId="709255E6"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Водночас партнерство держави, місцевого самоврядування і громадянського суспільства має не лише переваги, а й ризики. До таких ризиків належать фрагментарність ініціатив, дублювання допомоги, конкуренція між громадськими організаціями, нерівномірність підтримки різних громад, політизація громадської участі, недостатня прозорість окремих благодійних потоків, перевантаження волонтерів, недовіра між владою і активістами, а також спроби ворожого впливу через </w:t>
      </w:r>
      <w:proofErr w:type="spellStart"/>
      <w:r w:rsidRPr="0084717A">
        <w:rPr>
          <w:rFonts w:ascii="Times New Roman" w:hAnsi="Times New Roman" w:cs="Times New Roman"/>
          <w:sz w:val="28"/>
          <w:szCs w:val="28"/>
        </w:rPr>
        <w:t>псевдогромадські</w:t>
      </w:r>
      <w:proofErr w:type="spellEnd"/>
      <w:r w:rsidRPr="0084717A">
        <w:rPr>
          <w:rFonts w:ascii="Times New Roman" w:hAnsi="Times New Roman" w:cs="Times New Roman"/>
          <w:sz w:val="28"/>
          <w:szCs w:val="28"/>
        </w:rPr>
        <w:t xml:space="preserve"> структури.</w:t>
      </w:r>
    </w:p>
    <w:p w14:paraId="38F647C0"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Саме тому партнерство потребує інституційного оформлення. Йдеться не про надмірну бюрократизацію, а про створення зрозумілих правил: хто координує взаємодію, як передаються дані про потреби, як визначаються пріоритети, як обліковується допомога, як забезпечується захист персональних даних, як залучаються волонтери, як перевіряються партнери, як здійснюється громадський контроль, як ухвалюються спільні рішення.</w:t>
      </w:r>
    </w:p>
    <w:p w14:paraId="5B2B5981"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Для ефективного партнерства необхідні кілька умов.</w:t>
      </w:r>
    </w:p>
    <w:p w14:paraId="29159204"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Перша умова — </w:t>
      </w:r>
      <w:r w:rsidRPr="0084717A">
        <w:rPr>
          <w:rFonts w:ascii="Times New Roman" w:hAnsi="Times New Roman" w:cs="Times New Roman"/>
          <w:b/>
          <w:bCs/>
          <w:sz w:val="28"/>
          <w:szCs w:val="28"/>
        </w:rPr>
        <w:t>довіра</w:t>
      </w:r>
      <w:r w:rsidRPr="0084717A">
        <w:rPr>
          <w:rFonts w:ascii="Times New Roman" w:hAnsi="Times New Roman" w:cs="Times New Roman"/>
          <w:sz w:val="28"/>
          <w:szCs w:val="28"/>
        </w:rPr>
        <w:t>. Без довіри органи влади можуть сприймати громадськість як критику або загрозу, а громадські організації — владу як закриту і неефективну. Довіра формується через регулярну комунікацію, прозорість рішень, відкритість даних, чесне визнання проблем і готовність до співпраці.</w:t>
      </w:r>
    </w:p>
    <w:p w14:paraId="3B8F695D"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Друга умова — </w:t>
      </w:r>
      <w:r w:rsidRPr="0084717A">
        <w:rPr>
          <w:rFonts w:ascii="Times New Roman" w:hAnsi="Times New Roman" w:cs="Times New Roman"/>
          <w:b/>
          <w:bCs/>
          <w:sz w:val="28"/>
          <w:szCs w:val="28"/>
        </w:rPr>
        <w:t>чіткий розподіл ролей</w:t>
      </w:r>
      <w:r w:rsidRPr="0084717A">
        <w:rPr>
          <w:rFonts w:ascii="Times New Roman" w:hAnsi="Times New Roman" w:cs="Times New Roman"/>
          <w:sz w:val="28"/>
          <w:szCs w:val="28"/>
        </w:rPr>
        <w:t xml:space="preserve">. Партнерство не означає, що всі роблять усе. Держава відповідає за політику, правові рамки, безпеку, координацію й базові гарантії. Місцеве самоврядування — за локальну організацію послуг, комунікацію з громадою і територіальну координацію. Громадянське суспільство — за мобілізацію, допомогу, моніторинг, експертизу, </w:t>
      </w:r>
      <w:proofErr w:type="spellStart"/>
      <w:r w:rsidRPr="0084717A">
        <w:rPr>
          <w:rFonts w:ascii="Times New Roman" w:hAnsi="Times New Roman" w:cs="Times New Roman"/>
          <w:sz w:val="28"/>
          <w:szCs w:val="28"/>
        </w:rPr>
        <w:t>адвокацію</w:t>
      </w:r>
      <w:proofErr w:type="spellEnd"/>
      <w:r w:rsidRPr="0084717A">
        <w:rPr>
          <w:rFonts w:ascii="Times New Roman" w:hAnsi="Times New Roman" w:cs="Times New Roman"/>
          <w:sz w:val="28"/>
          <w:szCs w:val="28"/>
        </w:rPr>
        <w:t xml:space="preserve"> і роботу з групами, до яких складно дістатися формальними каналами.</w:t>
      </w:r>
    </w:p>
    <w:p w14:paraId="07C9DA53"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Третя умова — </w:t>
      </w:r>
      <w:r w:rsidRPr="0084717A">
        <w:rPr>
          <w:rFonts w:ascii="Times New Roman" w:hAnsi="Times New Roman" w:cs="Times New Roman"/>
          <w:b/>
          <w:bCs/>
          <w:sz w:val="28"/>
          <w:szCs w:val="28"/>
        </w:rPr>
        <w:t>інформаційна сумісність</w:t>
      </w:r>
      <w:r w:rsidRPr="0084717A">
        <w:rPr>
          <w:rFonts w:ascii="Times New Roman" w:hAnsi="Times New Roman" w:cs="Times New Roman"/>
          <w:sz w:val="28"/>
          <w:szCs w:val="28"/>
        </w:rPr>
        <w:t>. Партнери мають працювати з актуальними даними про потреби, ресурси, ризики та результати. Якщо кожна організація має власну неповну картину ситуації, допомога стає фрагментарною.</w:t>
      </w:r>
    </w:p>
    <w:p w14:paraId="65C944D8"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Четверта умова — </w:t>
      </w:r>
      <w:r w:rsidRPr="0084717A">
        <w:rPr>
          <w:rFonts w:ascii="Times New Roman" w:hAnsi="Times New Roman" w:cs="Times New Roman"/>
          <w:b/>
          <w:bCs/>
          <w:sz w:val="28"/>
          <w:szCs w:val="28"/>
        </w:rPr>
        <w:t>підзвітність</w:t>
      </w:r>
      <w:r w:rsidRPr="0084717A">
        <w:rPr>
          <w:rFonts w:ascii="Times New Roman" w:hAnsi="Times New Roman" w:cs="Times New Roman"/>
          <w:sz w:val="28"/>
          <w:szCs w:val="28"/>
        </w:rPr>
        <w:t>. Усі суб’єкти, включаючи громадські організації і благодійні фонди, мають дотримуватися принципів прозорості, законності й відповідального використання ресурсів. Це особливо важливо в умовах великого обсягу гуманітарної і донорської допомоги.</w:t>
      </w:r>
    </w:p>
    <w:p w14:paraId="7562F020"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lastRenderedPageBreak/>
        <w:t xml:space="preserve">П’ята умова — </w:t>
      </w:r>
      <w:r w:rsidRPr="0084717A">
        <w:rPr>
          <w:rFonts w:ascii="Times New Roman" w:hAnsi="Times New Roman" w:cs="Times New Roman"/>
          <w:b/>
          <w:bCs/>
          <w:sz w:val="28"/>
          <w:szCs w:val="28"/>
        </w:rPr>
        <w:t>сталість партнерства</w:t>
      </w:r>
      <w:r w:rsidRPr="0084717A">
        <w:rPr>
          <w:rFonts w:ascii="Times New Roman" w:hAnsi="Times New Roman" w:cs="Times New Roman"/>
          <w:sz w:val="28"/>
          <w:szCs w:val="28"/>
        </w:rPr>
        <w:t>. Співпраця не повинна виникати лише під час кризи. Якщо механізми взаємодії не сформовані заздалегідь, під час надзвичайної ситуації їх складно створити швидко. Тому стійкість потребує постійних платформ взаємодії, регулярних зустрічей, спільних навчань, контактних списків, меморандумів і практик спільного планування.</w:t>
      </w:r>
    </w:p>
    <w:p w14:paraId="6FA2FDC6"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Для лекції аспірантам можна запропонувати таку аналітичну схему партнерства:</w:t>
      </w:r>
    </w:p>
    <w:p w14:paraId="5AEE8266"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Держава</w:t>
      </w:r>
      <w:r w:rsidRPr="0084717A">
        <w:rPr>
          <w:rFonts w:ascii="Times New Roman" w:hAnsi="Times New Roman" w:cs="Times New Roman"/>
          <w:sz w:val="28"/>
          <w:szCs w:val="28"/>
        </w:rPr>
        <w:t xml:space="preserve"> формує політику, нормативні рамки, загальнонаціональні пріоритети, безпекові рішення, фінансові механізми й міжнародну координацію.</w:t>
      </w:r>
    </w:p>
    <w:p w14:paraId="0B0D6B6F"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Місцеве самоврядування</w:t>
      </w:r>
      <w:r w:rsidRPr="0084717A">
        <w:rPr>
          <w:rFonts w:ascii="Times New Roman" w:hAnsi="Times New Roman" w:cs="Times New Roman"/>
          <w:sz w:val="28"/>
          <w:szCs w:val="28"/>
        </w:rPr>
        <w:t xml:space="preserve"> забезпечує локальне планування, комунальні послуги, безпосередню комунікацію з населенням, підтримку вразливих груп, координацію громадських і бізнесових ініціатив на території громади.</w:t>
      </w:r>
    </w:p>
    <w:p w14:paraId="1CDF35C7"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Громадянське суспільство</w:t>
      </w:r>
      <w:r w:rsidRPr="0084717A">
        <w:rPr>
          <w:rFonts w:ascii="Times New Roman" w:hAnsi="Times New Roman" w:cs="Times New Roman"/>
          <w:sz w:val="28"/>
          <w:szCs w:val="28"/>
        </w:rPr>
        <w:t xml:space="preserve"> забезпечує мобілізацію, волонтерську допомогу, громадський контроль, експертизу, </w:t>
      </w:r>
      <w:proofErr w:type="spellStart"/>
      <w:r w:rsidRPr="0084717A">
        <w:rPr>
          <w:rFonts w:ascii="Times New Roman" w:hAnsi="Times New Roman" w:cs="Times New Roman"/>
          <w:sz w:val="28"/>
          <w:szCs w:val="28"/>
        </w:rPr>
        <w:t>адвокацію</w:t>
      </w:r>
      <w:proofErr w:type="spellEnd"/>
      <w:r w:rsidRPr="0084717A">
        <w:rPr>
          <w:rFonts w:ascii="Times New Roman" w:hAnsi="Times New Roman" w:cs="Times New Roman"/>
          <w:sz w:val="28"/>
          <w:szCs w:val="28"/>
        </w:rPr>
        <w:t>, комунікацію з населенням, роботу з вразливими категоріями, інформаційну протидію і соціальну згуртованість.</w:t>
      </w:r>
    </w:p>
    <w:p w14:paraId="3A1ECC77"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Бізнес</w:t>
      </w:r>
      <w:r w:rsidRPr="0084717A">
        <w:rPr>
          <w:rFonts w:ascii="Times New Roman" w:hAnsi="Times New Roman" w:cs="Times New Roman"/>
          <w:sz w:val="28"/>
          <w:szCs w:val="28"/>
        </w:rPr>
        <w:t xml:space="preserve"> надає логістику, технології, інвестиції, обладнання, робочі місця, виробничі потужності та інфраструктурні рішення.</w:t>
      </w:r>
    </w:p>
    <w:p w14:paraId="4A96BB69"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b/>
          <w:bCs/>
          <w:sz w:val="28"/>
          <w:szCs w:val="28"/>
        </w:rPr>
        <w:t>Науково-освітні інституції</w:t>
      </w:r>
      <w:r w:rsidRPr="0084717A">
        <w:rPr>
          <w:rFonts w:ascii="Times New Roman" w:hAnsi="Times New Roman" w:cs="Times New Roman"/>
          <w:sz w:val="28"/>
          <w:szCs w:val="28"/>
        </w:rPr>
        <w:t xml:space="preserve"> забезпечують аналітику, підготовку кадрів, оцінювання політик, методичну підтримку і поширення знань.</w:t>
      </w:r>
    </w:p>
    <w:p w14:paraId="13A07E3E"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Результатом такої взаємодії є не просто ефективніше реагування на окрему кризу, а формування </w:t>
      </w:r>
      <w:r w:rsidRPr="0084717A">
        <w:rPr>
          <w:rFonts w:ascii="Times New Roman" w:hAnsi="Times New Roman" w:cs="Times New Roman"/>
          <w:b/>
          <w:bCs/>
          <w:sz w:val="28"/>
          <w:szCs w:val="28"/>
        </w:rPr>
        <w:t>соціального капіталу стійкості</w:t>
      </w:r>
      <w:r w:rsidRPr="0084717A">
        <w:rPr>
          <w:rFonts w:ascii="Times New Roman" w:hAnsi="Times New Roman" w:cs="Times New Roman"/>
          <w:sz w:val="28"/>
          <w:szCs w:val="28"/>
        </w:rPr>
        <w:t xml:space="preserve">. Це поняття означає наявність довіри, взаємодопомоги, горизонтальних </w:t>
      </w:r>
      <w:proofErr w:type="spellStart"/>
      <w:r w:rsidRPr="0084717A">
        <w:rPr>
          <w:rFonts w:ascii="Times New Roman" w:hAnsi="Times New Roman" w:cs="Times New Roman"/>
          <w:sz w:val="28"/>
          <w:szCs w:val="28"/>
        </w:rPr>
        <w:t>зв’язків</w:t>
      </w:r>
      <w:proofErr w:type="spellEnd"/>
      <w:r w:rsidRPr="0084717A">
        <w:rPr>
          <w:rFonts w:ascii="Times New Roman" w:hAnsi="Times New Roman" w:cs="Times New Roman"/>
          <w:sz w:val="28"/>
          <w:szCs w:val="28"/>
        </w:rPr>
        <w:t>, здатності до самоорганізації, відповідальної участі громадян і готовності різних суб’єктів діяти спільно. Саме соціальний капітал часто визначає, наскільки швидко суспільство може адаптуватися до шоку і наскільки ефективно воно відновлюється після нього.</w:t>
      </w:r>
    </w:p>
    <w:p w14:paraId="0F17D4DD"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У підсумку механізми партнерства держави, місцевого самоврядування і громадянського суспільства у зміцненні національної стійкості можна визначити як </w:t>
      </w:r>
      <w:r w:rsidRPr="0084717A">
        <w:rPr>
          <w:rFonts w:ascii="Times New Roman" w:hAnsi="Times New Roman" w:cs="Times New Roman"/>
          <w:b/>
          <w:bCs/>
          <w:sz w:val="28"/>
          <w:szCs w:val="28"/>
        </w:rPr>
        <w:t>сукупність інституційних, організаційних, ресурсних, комунікаційних, гуманітарних, моніторингових і експертних форм взаємодії, які забезпечують спільну здатність держави та суспільства запобігати кризам, реагувати на них, підтримувати населення, зберігати критичні функції, відновлюватися і зміцнювати довіру</w:t>
      </w:r>
      <w:r w:rsidRPr="0084717A">
        <w:rPr>
          <w:rFonts w:ascii="Times New Roman" w:hAnsi="Times New Roman" w:cs="Times New Roman"/>
          <w:sz w:val="28"/>
          <w:szCs w:val="28"/>
        </w:rPr>
        <w:t>.</w:t>
      </w:r>
    </w:p>
    <w:p w14:paraId="204DC893" w14:textId="77777777" w:rsidR="0084717A" w:rsidRPr="0084717A" w:rsidRDefault="0084717A" w:rsidP="0084717A">
      <w:pPr>
        <w:spacing w:after="0" w:line="240" w:lineRule="auto"/>
        <w:ind w:firstLine="720"/>
        <w:jc w:val="both"/>
        <w:rPr>
          <w:rFonts w:ascii="Times New Roman" w:hAnsi="Times New Roman" w:cs="Times New Roman"/>
          <w:sz w:val="28"/>
          <w:szCs w:val="28"/>
        </w:rPr>
      </w:pPr>
      <w:r w:rsidRPr="0084717A">
        <w:rPr>
          <w:rFonts w:ascii="Times New Roman" w:hAnsi="Times New Roman" w:cs="Times New Roman"/>
          <w:sz w:val="28"/>
          <w:szCs w:val="28"/>
        </w:rPr>
        <w:t xml:space="preserve">Для завершення лекційного фрагмента доцільно сформулювати таку тезу: </w:t>
      </w:r>
      <w:r w:rsidRPr="0084717A">
        <w:rPr>
          <w:rFonts w:ascii="Times New Roman" w:hAnsi="Times New Roman" w:cs="Times New Roman"/>
          <w:b/>
          <w:bCs/>
          <w:sz w:val="28"/>
          <w:szCs w:val="28"/>
        </w:rPr>
        <w:t>національна стійкість не може бути створена виключно адміністративними рішеннями “згори”; вона формується через поєднання державної спроможності, локальної відповідальності, громадянської самоорганізації, довіри, прозорості та партнерства</w:t>
      </w:r>
      <w:r w:rsidRPr="0084717A">
        <w:rPr>
          <w:rFonts w:ascii="Times New Roman" w:hAnsi="Times New Roman" w:cs="Times New Roman"/>
          <w:sz w:val="28"/>
          <w:szCs w:val="28"/>
        </w:rPr>
        <w:t>. Саме тому ефективна система стійкості — це не лише сильна держава, а й сильні громади, відповідальне громадянське суспільство, залучений бізнес і громадяни, які не є пасивними отримувачами допомоги, а виступають співтворцями безпеки, відновлення та розвитку.</w:t>
      </w:r>
    </w:p>
    <w:p w14:paraId="1024DF2B" w14:textId="77777777" w:rsidR="00EB12D6" w:rsidRPr="0084717A" w:rsidRDefault="00EB12D6" w:rsidP="00EB12D6">
      <w:pPr>
        <w:spacing w:after="0" w:line="240" w:lineRule="auto"/>
        <w:ind w:firstLine="720"/>
        <w:jc w:val="both"/>
        <w:rPr>
          <w:rFonts w:ascii="Times New Roman" w:hAnsi="Times New Roman" w:cs="Times New Roman"/>
          <w:sz w:val="28"/>
          <w:szCs w:val="28"/>
        </w:rPr>
      </w:pPr>
    </w:p>
    <w:p w14:paraId="15D1156A" w14:textId="257BC73A" w:rsidR="00120F44" w:rsidRPr="00A1727A" w:rsidRDefault="00A1727A" w:rsidP="00835403">
      <w:pPr>
        <w:spacing w:after="0" w:line="240" w:lineRule="auto"/>
        <w:ind w:firstLine="720"/>
        <w:jc w:val="both"/>
        <w:rPr>
          <w:rFonts w:ascii="Times New Roman" w:hAnsi="Times New Roman" w:cs="Times New Roman"/>
          <w:b/>
          <w:bCs/>
          <w:sz w:val="28"/>
          <w:szCs w:val="28"/>
        </w:rPr>
      </w:pPr>
      <w:r w:rsidRPr="00A1727A">
        <w:rPr>
          <w:rFonts w:ascii="Times New Roman" w:hAnsi="Times New Roman" w:cs="Times New Roman"/>
          <w:b/>
          <w:bCs/>
          <w:sz w:val="28"/>
          <w:szCs w:val="28"/>
        </w:rPr>
        <w:t>Питання для самоконтролю</w:t>
      </w:r>
    </w:p>
    <w:p w14:paraId="6B713625" w14:textId="77777777" w:rsidR="00A1727A" w:rsidRDefault="00A1727A" w:rsidP="00835403">
      <w:pPr>
        <w:spacing w:after="0" w:line="240" w:lineRule="auto"/>
        <w:ind w:firstLine="720"/>
        <w:jc w:val="both"/>
        <w:rPr>
          <w:rFonts w:ascii="Times New Roman" w:hAnsi="Times New Roman" w:cs="Times New Roman"/>
          <w:sz w:val="28"/>
          <w:szCs w:val="28"/>
        </w:rPr>
      </w:pPr>
    </w:p>
    <w:p w14:paraId="26BEEA92"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Розкрийте зміст поняття національної стійкості та поясніть, чому воно є важливим для сучасної системи публічного управління.</w:t>
      </w:r>
    </w:p>
    <w:p w14:paraId="0539AD4C"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lastRenderedPageBreak/>
        <w:t>Охарактеризуйте основні складові національної стійкості: превентивність, адаптивність, безперервність функціонування, відновлюваність і суспільну залученість.</w:t>
      </w:r>
    </w:p>
    <w:p w14:paraId="10B9F050"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Поясніть, у чому полягає відмінність між традиційним антикризовим управлінням і управлінням національною стійкістю.</w:t>
      </w:r>
    </w:p>
    <w:p w14:paraId="4844ED47"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Визначте основних суб’єктів забезпечення національної стійкості та розкрийте їхні функції в системі публічного управління.</w:t>
      </w:r>
    </w:p>
    <w:p w14:paraId="174F89D2"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Проаналізуйте, як має здійснюватися розподіл повноважень між центральними органами влади, регіональним рівнем, місцевим самоврядуванням і недержавними суб’єктами у сфері стійкості.</w:t>
      </w:r>
    </w:p>
    <w:p w14:paraId="61670CA3"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Поясніть сутність багаторівневого врядування у сфері протидії гібридним загрозам.</w:t>
      </w:r>
    </w:p>
    <w:p w14:paraId="495CB0C4"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Охарактеризуйте основні механізми координації між органами влади в умовах гібридних ризиків.</w:t>
      </w:r>
    </w:p>
    <w:p w14:paraId="03F62A18"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Розкрийте значення міжвідомчої взаємодії, інтегрованого планування та управління ресурсами для забезпечення безперервності критичних функцій держави.</w:t>
      </w:r>
    </w:p>
    <w:p w14:paraId="15B99ADC" w14:textId="77777777"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Наведіть приклади практичної взаємодії органів влади, місцевого самоврядування, операторів критичної інфраструктури та громадянського суспільства під час кризової ситуації.</w:t>
      </w:r>
    </w:p>
    <w:p w14:paraId="6A0C4A4B" w14:textId="0C76AFFC" w:rsidR="00A1727A" w:rsidRPr="00A1727A" w:rsidRDefault="00A1727A" w:rsidP="00A1727A">
      <w:pPr>
        <w:pStyle w:val="a7"/>
        <w:numPr>
          <w:ilvl w:val="0"/>
          <w:numId w:val="1"/>
        </w:numPr>
        <w:spacing w:after="0" w:line="240" w:lineRule="auto"/>
        <w:ind w:left="567"/>
        <w:jc w:val="both"/>
        <w:rPr>
          <w:rFonts w:ascii="Times New Roman" w:hAnsi="Times New Roman" w:cs="Times New Roman"/>
          <w:sz w:val="28"/>
          <w:szCs w:val="28"/>
        </w:rPr>
      </w:pPr>
      <w:r w:rsidRPr="00A1727A">
        <w:rPr>
          <w:rFonts w:ascii="Times New Roman" w:hAnsi="Times New Roman" w:cs="Times New Roman"/>
          <w:sz w:val="28"/>
          <w:szCs w:val="28"/>
        </w:rPr>
        <w:t>Обґрунтуйте роль партнерства держави, місцевого самоврядування, бізнесу, громадських організацій і громадян у зміцненні національної стійкості.</w:t>
      </w:r>
    </w:p>
    <w:sectPr w:rsidR="00A1727A" w:rsidRPr="00A1727A" w:rsidSect="0083540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4620E"/>
    <w:multiLevelType w:val="hybridMultilevel"/>
    <w:tmpl w:val="0E4E1AC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16cid:durableId="1078555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03"/>
    <w:rsid w:val="00036EF6"/>
    <w:rsid w:val="00072F83"/>
    <w:rsid w:val="00120F44"/>
    <w:rsid w:val="002C3688"/>
    <w:rsid w:val="00597759"/>
    <w:rsid w:val="007B2B44"/>
    <w:rsid w:val="00835403"/>
    <w:rsid w:val="0084717A"/>
    <w:rsid w:val="008F28FE"/>
    <w:rsid w:val="009C1B22"/>
    <w:rsid w:val="00A1727A"/>
    <w:rsid w:val="00B01146"/>
    <w:rsid w:val="00BF2C6D"/>
    <w:rsid w:val="00D81EE2"/>
    <w:rsid w:val="00DC2476"/>
    <w:rsid w:val="00EB12D6"/>
    <w:rsid w:val="00F50DB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93C71"/>
  <w15:chartTrackingRefBased/>
  <w15:docId w15:val="{B1E64311-52DF-40BD-AE77-D5CD7F26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1">
    <w:name w:val="heading 1"/>
    <w:basedOn w:val="a"/>
    <w:next w:val="a"/>
    <w:link w:val="10"/>
    <w:uiPriority w:val="9"/>
    <w:qFormat/>
    <w:rsid w:val="008354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54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54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54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54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54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54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54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54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403"/>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835403"/>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835403"/>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835403"/>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835403"/>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835403"/>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835403"/>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835403"/>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835403"/>
    <w:rPr>
      <w:rFonts w:eastAsiaTheme="majorEastAsia" w:cstheme="majorBidi"/>
      <w:color w:val="272727" w:themeColor="text1" w:themeTint="D8"/>
      <w:lang w:val="uk-UA"/>
    </w:rPr>
  </w:style>
  <w:style w:type="paragraph" w:styleId="a3">
    <w:name w:val="Title"/>
    <w:basedOn w:val="a"/>
    <w:next w:val="a"/>
    <w:link w:val="a4"/>
    <w:uiPriority w:val="10"/>
    <w:qFormat/>
    <w:rsid w:val="00835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5403"/>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83540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5403"/>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835403"/>
    <w:pPr>
      <w:spacing w:before="160"/>
      <w:jc w:val="center"/>
    </w:pPr>
    <w:rPr>
      <w:i/>
      <w:iCs/>
      <w:color w:val="404040" w:themeColor="text1" w:themeTint="BF"/>
    </w:rPr>
  </w:style>
  <w:style w:type="character" w:customStyle="1" w:styleId="22">
    <w:name w:val="Цитата 2 Знак"/>
    <w:basedOn w:val="a0"/>
    <w:link w:val="21"/>
    <w:uiPriority w:val="29"/>
    <w:rsid w:val="00835403"/>
    <w:rPr>
      <w:i/>
      <w:iCs/>
      <w:color w:val="404040" w:themeColor="text1" w:themeTint="BF"/>
      <w:lang w:val="uk-UA"/>
    </w:rPr>
  </w:style>
  <w:style w:type="paragraph" w:styleId="a7">
    <w:name w:val="List Paragraph"/>
    <w:basedOn w:val="a"/>
    <w:uiPriority w:val="34"/>
    <w:qFormat/>
    <w:rsid w:val="00835403"/>
    <w:pPr>
      <w:ind w:left="720"/>
      <w:contextualSpacing/>
    </w:pPr>
  </w:style>
  <w:style w:type="character" w:styleId="a8">
    <w:name w:val="Intense Emphasis"/>
    <w:basedOn w:val="a0"/>
    <w:uiPriority w:val="21"/>
    <w:qFormat/>
    <w:rsid w:val="00835403"/>
    <w:rPr>
      <w:i/>
      <w:iCs/>
      <w:color w:val="0F4761" w:themeColor="accent1" w:themeShade="BF"/>
    </w:rPr>
  </w:style>
  <w:style w:type="paragraph" w:styleId="a9">
    <w:name w:val="Intense Quote"/>
    <w:basedOn w:val="a"/>
    <w:next w:val="a"/>
    <w:link w:val="aa"/>
    <w:uiPriority w:val="30"/>
    <w:qFormat/>
    <w:rsid w:val="00835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35403"/>
    <w:rPr>
      <w:i/>
      <w:iCs/>
      <w:color w:val="0F4761" w:themeColor="accent1" w:themeShade="BF"/>
      <w:lang w:val="uk-UA"/>
    </w:rPr>
  </w:style>
  <w:style w:type="character" w:styleId="ab">
    <w:name w:val="Intense Reference"/>
    <w:basedOn w:val="a0"/>
    <w:uiPriority w:val="32"/>
    <w:qFormat/>
    <w:rsid w:val="008354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31</Pages>
  <Words>13477</Words>
  <Characters>76825</Characters>
  <Application>Microsoft Office Word</Application>
  <DocSecurity>0</DocSecurity>
  <Lines>640</Lines>
  <Paragraphs>180</Paragraphs>
  <ScaleCrop>false</ScaleCrop>
  <Company/>
  <LinksUpToDate>false</LinksUpToDate>
  <CharactersWithSpaces>90122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16</cp:revision>
  <dcterms:created xsi:type="dcterms:W3CDTF">2026-05-04T17:01:00Z</dcterms:created>
  <dcterms:modified xsi:type="dcterms:W3CDTF">2026-05-04T17:31:00Z</dcterms:modified>
</cp:coreProperties>
</file>