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90" w:rsidRPr="007B0B90" w:rsidRDefault="007B0B90" w:rsidP="007B0B9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>Європейського</w:t>
      </w:r>
      <w:proofErr w:type="spellEnd"/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суду з прав</w:t>
      </w:r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b/>
          <w:sz w:val="28"/>
          <w:szCs w:val="28"/>
          <w:lang w:val="ru-RU"/>
        </w:rPr>
        <w:t>людини</w:t>
      </w:r>
      <w:proofErr w:type="spellEnd"/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Повноваження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ЄСПЛ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включають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gram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у себе</w:t>
      </w:r>
      <w:proofErr w:type="gram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судові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консультативні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типовим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для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всіх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міжнародних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судів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сфері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захисту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</w:t>
      </w:r>
    </w:p>
    <w:p w:rsid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загальному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вигляді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</w:t>
      </w: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ЄСПЛ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визначена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у ст. 32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Конвенції:</w:t>
      </w:r>
      <w:proofErr w:type="spellEnd"/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подані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справ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ст. 33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передати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, яке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наслідком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держави-учасниці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ст. 34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заяви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фізичною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особою,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недержавними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державою-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учасницею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розʼяснень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запиту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КМ РЄ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Суду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Суду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п. 3 ст. 46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пт. 4 та 5 ст. 46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звернень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КМ РЄ про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державою остаточного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де вона є стороною,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факту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консультативних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КМ РЄ,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ст. 47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предмет таких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запитів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стосуватися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захищаються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практика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відсутня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конвенційної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передбачені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суттєві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ЄСПЛ. Протокол </w:t>
      </w:r>
      <w:r w:rsidRPr="007B0B90">
        <w:rPr>
          <w:rFonts w:ascii="Times New Roman" w:hAnsi="Times New Roman" w:cs="Times New Roman"/>
          <w:sz w:val="28"/>
          <w:szCs w:val="28"/>
        </w:rPr>
        <w:t>N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º 16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набув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2018 року)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запроваджує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 «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преюдиційного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ст. 1 Протоколу </w:t>
      </w:r>
      <w:r w:rsidRPr="007B0B90">
        <w:rPr>
          <w:rFonts w:ascii="Times New Roman" w:hAnsi="Times New Roman" w:cs="Times New Roman"/>
          <w:sz w:val="28"/>
          <w:szCs w:val="28"/>
        </w:rPr>
        <w:t>N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º 16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справ,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розгляді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фактичну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до ЄСПЛ для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консультативних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судових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справах. Результатом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конвенційних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розвантаження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 ЄСПЛ.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жовтні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2018 року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Касаційний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(як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судова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інстанція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 направив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ЄСПЛ перший запит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 </w:t>
      </w:r>
      <w:r w:rsidRPr="007B0B90">
        <w:rPr>
          <w:rFonts w:ascii="Times New Roman" w:hAnsi="Times New Roman" w:cs="Times New Roman"/>
          <w:sz w:val="28"/>
          <w:szCs w:val="28"/>
        </w:rPr>
        <w:t>N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º 16).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преюдиційний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формально не 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обовʼязковим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судів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проблематичною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відходу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ЄСПЛ.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Судова</w:t>
      </w:r>
      <w:proofErr w:type="spellEnd"/>
      <w:proofErr w:type="gram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також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з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урахуванням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властивих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для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неї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особливостей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консультативна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ЄСПЛ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розглядаються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чотирьох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аспектах: предметна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materiae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);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часова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temporis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);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за колом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  <w:highlight w:val="yellow"/>
        </w:rPr>
        <w:t>personae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);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територіальна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</w:t>
      </w: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  <w:highlight w:val="yellow"/>
        </w:rPr>
        <w:t>loci</w:t>
      </w: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).</w:t>
      </w:r>
    </w:p>
    <w:p w:rsidR="007B0B90" w:rsidRDefault="007B0B90" w:rsidP="007B0B9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Предметна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</w:rPr>
        <w:t>materiae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ст. 1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поширюються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«права і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тлумачиться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каталог прав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захищаються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права,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названі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розд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а й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>даткових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протоколах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>токоли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Перший, </w:t>
      </w:r>
      <w:r w:rsidRPr="007B0B90">
        <w:rPr>
          <w:rFonts w:ascii="Times New Roman" w:hAnsi="Times New Roman" w:cs="Times New Roman"/>
          <w:sz w:val="28"/>
          <w:szCs w:val="28"/>
        </w:rPr>
        <w:t>N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>º 4, 6, 7, 12, 13).</w:t>
      </w:r>
    </w:p>
    <w:p w:rsidR="007B0B90" w:rsidRDefault="007B0B90" w:rsidP="007B0B9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за колом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</w:rPr>
        <w:t>personae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0B90" w:rsidRDefault="007B0B90" w:rsidP="007B0B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ст. 19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судовий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поширюється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договірних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зобовʼязань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0B90" w:rsidRDefault="007B0B90" w:rsidP="007B0B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B0B9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По-друге</w:t>
      </w:r>
      <w:proofErr w:type="spellEnd"/>
      <w:proofErr w:type="gram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юрисдикції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</w:rPr>
        <w:t>personae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принципове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33 та 34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наділені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правом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заяви. </w:t>
      </w:r>
    </w:p>
    <w:p w:rsidR="007B0B90" w:rsidRDefault="007B0B90" w:rsidP="007B0B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До них належать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B0B90" w:rsidRDefault="007B0B90" w:rsidP="007B0B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gram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справ (ст. 33) -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держави-учасниці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подавати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заяву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державу-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учасницю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припускається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B0B90" w:rsidRPr="007B0B90" w:rsidRDefault="007B0B90" w:rsidP="007B0B9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gram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заяви (ст. 34) -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особи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неурядові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». ЄСПЛ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вироблено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статусу «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заявника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»: а)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будь-яка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особа,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юрисдикцією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держави-учасниці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безвідносно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-.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мадянства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законності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дієздатності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; б)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потерпілими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аналогічними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підставами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виключає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територіальні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); в)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особи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підпадають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юрисдикцію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ЄСПІ за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публічні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владні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і держава не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над ними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критерію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заявник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визнаватись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неурядовою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володіє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певною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часткою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корпоративних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визначального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95DAC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3)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Територіальна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</w:rPr>
        <w:t>ratione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B90">
        <w:rPr>
          <w:rFonts w:ascii="Times New Roman" w:hAnsi="Times New Roman" w:cs="Times New Roman"/>
          <w:sz w:val="28"/>
          <w:szCs w:val="28"/>
        </w:rPr>
        <w:t>loci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ст. 1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кожному,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юрисдикцією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догові</w:t>
      </w:r>
      <w:r>
        <w:rPr>
          <w:rFonts w:ascii="Times New Roman" w:hAnsi="Times New Roman" w:cs="Times New Roman"/>
          <w:sz w:val="28"/>
          <w:szCs w:val="28"/>
          <w:lang w:val="ru-RU"/>
        </w:rPr>
        <w:t>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ципом 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особи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суверенної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. Практика ЄСПЛ вносить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корективи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визначаючи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екстериторіальної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рисдикції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>ставників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в межах «правового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сукуп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7B0B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але поза межами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суверенної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дипломатичних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консульських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окупація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фактичний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суверенної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); б)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 поза межами «правового простору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держав;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військове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втручання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над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територією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військове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втручання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отриманням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контролю;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військова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миротворчих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сил);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морі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); в)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власній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екстериторіальний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lang w:val="ru-RU"/>
        </w:rPr>
        <w:t>екстрадиції</w:t>
      </w:r>
      <w:proofErr w:type="spellEnd"/>
      <w:r w:rsidRPr="007B0B9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4)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Юрисдикція</w:t>
      </w:r>
      <w:proofErr w:type="spellEnd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в </w:t>
      </w:r>
      <w:proofErr w:type="spellStart"/>
      <w:r w:rsidRPr="007B0B9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часі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ЄКПЛ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держави-учасниці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п. 4 ст. 59 є днем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ратифікаційної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грамоти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0B90" w:rsidRPr="007B0B90" w:rsidRDefault="007B0B90" w:rsidP="007B0B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B0B90" w:rsidRPr="007B0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565CF"/>
    <w:multiLevelType w:val="hybridMultilevel"/>
    <w:tmpl w:val="3F6ECC40"/>
    <w:lvl w:ilvl="0" w:tplc="C2AE0D5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1"/>
    <w:rsid w:val="00095DAC"/>
    <w:rsid w:val="007B0B90"/>
    <w:rsid w:val="00B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7195"/>
  <w15:chartTrackingRefBased/>
  <w15:docId w15:val="{A070B4AB-7D70-4756-BE35-DC418DA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2</cp:revision>
  <dcterms:created xsi:type="dcterms:W3CDTF">2024-11-18T13:00:00Z</dcterms:created>
  <dcterms:modified xsi:type="dcterms:W3CDTF">2024-11-18T13:08:00Z</dcterms:modified>
</cp:coreProperties>
</file>