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5AC" w:rsidRPr="001E75AC" w:rsidRDefault="001E75AC" w:rsidP="001E75AC">
      <w:pPr>
        <w:jc w:val="right"/>
        <w:rPr>
          <w:b/>
          <w:bCs/>
          <w:lang w:val="en-GB"/>
        </w:rPr>
      </w:pPr>
      <w:r w:rsidRPr="00D944B8">
        <w:rPr>
          <w:b/>
          <w:bCs/>
          <w:lang w:val="uk-UA"/>
        </w:rPr>
        <w:t xml:space="preserve">Таблиця </w:t>
      </w:r>
      <w:r>
        <w:rPr>
          <w:b/>
          <w:bCs/>
          <w:lang w:val="en-GB"/>
        </w:rPr>
        <w:t>1</w:t>
      </w:r>
    </w:p>
    <w:p w:rsidR="001E75AC" w:rsidRPr="00D944B8" w:rsidRDefault="001E75AC" w:rsidP="001E75AC">
      <w:pPr>
        <w:jc w:val="right"/>
        <w:rPr>
          <w:b/>
          <w:bCs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401"/>
        <w:gridCol w:w="2511"/>
      </w:tblGrid>
      <w:tr w:rsidR="001E75AC" w:rsidRPr="00D944B8" w:rsidTr="003E48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jc w:val="center"/>
              <w:rPr>
                <w:b/>
                <w:bCs/>
                <w:color w:val="000000"/>
              </w:rPr>
            </w:pPr>
            <w:r w:rsidRPr="00D944B8">
              <w:rPr>
                <w:b/>
                <w:bCs/>
                <w:color w:val="000000"/>
              </w:rPr>
              <w:t>Принцип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jc w:val="center"/>
              <w:rPr>
                <w:b/>
                <w:bCs/>
                <w:color w:val="000000"/>
              </w:rPr>
            </w:pPr>
            <w:r w:rsidRPr="00D944B8">
              <w:rPr>
                <w:b/>
                <w:bCs/>
                <w:color w:val="000000"/>
              </w:rPr>
              <w:t>Функція у перекладі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jc w:val="center"/>
              <w:rPr>
                <w:b/>
                <w:bCs/>
                <w:color w:val="000000"/>
              </w:rPr>
            </w:pPr>
            <w:r w:rsidRPr="00D944B8">
              <w:rPr>
                <w:b/>
                <w:bCs/>
                <w:color w:val="000000"/>
              </w:rPr>
              <w:t>Приклад військового документа</w:t>
            </w:r>
          </w:p>
        </w:tc>
      </w:tr>
      <w:tr w:rsidR="001E75AC" w:rsidRPr="00D944B8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Точність (Accuracy)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Забезпечує повне та правильне відтворення змісту, числових даних, координат і термінів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Оперативний наказ (OPORD), план операції</w:t>
            </w:r>
          </w:p>
        </w:tc>
      </w:tr>
      <w:tr w:rsidR="001E75AC" w:rsidRPr="00D944B8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Функціональна еквівалентність (Functional equivalence)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Зберігає комунікативну роль документа та його операційну функцію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Фрагментарний наказ (FRAGO)</w:t>
            </w:r>
          </w:p>
        </w:tc>
      </w:tr>
      <w:tr w:rsidR="001E75AC" w:rsidRPr="00D944B8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Стандартизація (Standardization)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Забезпечує використання уніфікованої військової термінології та скорочень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Доктринальні документи, стандартизовані звіти</w:t>
            </w:r>
          </w:p>
        </w:tc>
      </w:tr>
      <w:tr w:rsidR="001E75AC" w:rsidRPr="00D944B8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Контекстуальна та жанрова адекватність (Contextual and genre adequacy)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Забезпечує відповідність жанру, структури та стилю документа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SITREP, аналітичні звіти</w:t>
            </w:r>
          </w:p>
        </w:tc>
      </w:tr>
      <w:tr w:rsidR="001E75AC" w:rsidRPr="00D944B8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Когнітивна оптимізація (Cognitive optimization)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Полегшує швидке сприйняття інформації у стресових умовах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Бойові інструкції, оперативні повідомлення</w:t>
            </w:r>
          </w:p>
        </w:tc>
      </w:tr>
    </w:tbl>
    <w:p w:rsidR="001E75AC" w:rsidRDefault="001E75AC" w:rsidP="001E75AC">
      <w:pPr>
        <w:rPr>
          <w:lang w:val="uk-UA"/>
        </w:rPr>
      </w:pPr>
    </w:p>
    <w:p w:rsidR="001E75AC" w:rsidRPr="001E75AC" w:rsidRDefault="001E75AC" w:rsidP="001E75AC">
      <w:pPr>
        <w:jc w:val="right"/>
        <w:rPr>
          <w:b/>
          <w:bCs/>
          <w:lang w:val="en-GB"/>
        </w:rPr>
      </w:pPr>
      <w:r w:rsidRPr="00D944B8">
        <w:rPr>
          <w:b/>
          <w:bCs/>
          <w:lang w:val="uk-UA"/>
        </w:rPr>
        <w:t xml:space="preserve">Таблиця </w:t>
      </w:r>
      <w:r>
        <w:rPr>
          <w:b/>
          <w:bCs/>
          <w:lang w:val="en-GB"/>
        </w:rPr>
        <w:t>2</w:t>
      </w:r>
    </w:p>
    <w:p w:rsidR="001E75AC" w:rsidRPr="00D944B8" w:rsidRDefault="001E75AC" w:rsidP="001E75AC">
      <w:pPr>
        <w:jc w:val="right"/>
        <w:rPr>
          <w:b/>
          <w:bCs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4"/>
        <w:gridCol w:w="3413"/>
        <w:gridCol w:w="3009"/>
      </w:tblGrid>
      <w:tr w:rsidR="001E75AC" w:rsidRPr="00D944B8" w:rsidTr="003E48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jc w:val="center"/>
              <w:rPr>
                <w:b/>
                <w:bCs/>
                <w:color w:val="000000"/>
              </w:rPr>
            </w:pPr>
            <w:r w:rsidRPr="00D944B8">
              <w:rPr>
                <w:b/>
                <w:bCs/>
                <w:color w:val="000000"/>
              </w:rPr>
              <w:t>Етап перекладацького процесу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jc w:val="center"/>
              <w:rPr>
                <w:b/>
                <w:bCs/>
                <w:color w:val="000000"/>
              </w:rPr>
            </w:pPr>
            <w:r w:rsidRPr="00D944B8">
              <w:rPr>
                <w:b/>
                <w:bCs/>
                <w:color w:val="000000"/>
              </w:rPr>
              <w:t xml:space="preserve">Дії 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jc w:val="center"/>
              <w:rPr>
                <w:b/>
                <w:bCs/>
                <w:color w:val="000000"/>
              </w:rPr>
            </w:pPr>
            <w:r w:rsidRPr="00D944B8">
              <w:rPr>
                <w:b/>
                <w:bCs/>
                <w:color w:val="000000"/>
              </w:rPr>
              <w:t>Реалізація принципів</w:t>
            </w:r>
          </w:p>
        </w:tc>
      </w:tr>
      <w:tr w:rsidR="001E75AC" w:rsidRPr="00D944B8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b/>
                <w:bCs/>
                <w:color w:val="000000"/>
              </w:rPr>
              <w:t xml:space="preserve">1. Попередній аналіз тексту 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Визначення типу документа, його функції, жанру та адресата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Контекстуальна та жанрова адекватність</w:t>
            </w:r>
          </w:p>
        </w:tc>
      </w:tr>
      <w:tr w:rsidR="001E75AC" w:rsidRPr="00D944B8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b/>
                <w:bCs/>
                <w:color w:val="000000"/>
              </w:rPr>
              <w:t>2. Термінологічний аналіз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Виявлення ключових військових термінів, скорочень, назв підрозділів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Точність, стандартизація</w:t>
            </w:r>
          </w:p>
        </w:tc>
      </w:tr>
      <w:tr w:rsidR="001E75AC" w:rsidRPr="00D944B8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b/>
                <w:bCs/>
                <w:color w:val="000000"/>
              </w:rPr>
              <w:t>3. Визначення функції документа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Аналіз комунікативної мети тексту (наказ, звіт, інструкція)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Функціональна еквівалентність</w:t>
            </w:r>
          </w:p>
        </w:tc>
      </w:tr>
      <w:tr w:rsidR="001E75AC" w:rsidRPr="00D944B8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b/>
                <w:bCs/>
                <w:color w:val="000000"/>
              </w:rPr>
              <w:t>4. Переклад тексту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Передача змісту з урахуванням структури документа та стандартів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Точність, стандартизація</w:t>
            </w:r>
          </w:p>
        </w:tc>
      </w:tr>
      <w:tr w:rsidR="001E75AC" w:rsidRPr="00D944B8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b/>
                <w:bCs/>
                <w:color w:val="000000"/>
              </w:rPr>
              <w:t>5. Оптимізація структури перекладу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Спрощення синтаксису, збереження логічної структури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Когнітивна оптимізація</w:t>
            </w:r>
          </w:p>
        </w:tc>
      </w:tr>
      <w:tr w:rsidR="001E75AC" w:rsidRPr="00D944B8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b/>
                <w:bCs/>
                <w:color w:val="000000"/>
              </w:rPr>
              <w:t xml:space="preserve">6. Перевірка перекладу 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Контроль точності термінів, числових даних, координат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Точність</w:t>
            </w:r>
          </w:p>
        </w:tc>
      </w:tr>
      <w:tr w:rsidR="001E75AC" w:rsidRPr="00D944B8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b/>
                <w:bCs/>
                <w:color w:val="000000"/>
              </w:rPr>
              <w:t>7. Фінальна адаптація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Перевірка зрозумілості тексту для адресата</w:t>
            </w:r>
          </w:p>
        </w:tc>
        <w:tc>
          <w:tcPr>
            <w:tcW w:w="0" w:type="auto"/>
            <w:vAlign w:val="center"/>
            <w:hideMark/>
          </w:tcPr>
          <w:p w:rsidR="001E75AC" w:rsidRPr="00D944B8" w:rsidRDefault="001E75AC" w:rsidP="003E48FD">
            <w:pPr>
              <w:rPr>
                <w:color w:val="000000"/>
              </w:rPr>
            </w:pPr>
            <w:r w:rsidRPr="00D944B8">
              <w:rPr>
                <w:color w:val="000000"/>
              </w:rPr>
              <w:t>Функціональна еквівалентність, когнітивна оптимізація</w:t>
            </w:r>
          </w:p>
        </w:tc>
      </w:tr>
    </w:tbl>
    <w:p w:rsidR="001E75AC" w:rsidRDefault="001E75AC"/>
    <w:p w:rsidR="001E75AC" w:rsidRPr="001C20F5" w:rsidRDefault="001E75AC" w:rsidP="001E75AC">
      <w:pPr>
        <w:pStyle w:val="NormalWeb"/>
        <w:jc w:val="right"/>
        <w:rPr>
          <w:b/>
          <w:bCs/>
          <w:color w:val="000000"/>
          <w:lang w:val="en-GB"/>
        </w:rPr>
      </w:pPr>
      <w:r w:rsidRPr="00057209">
        <w:rPr>
          <w:b/>
          <w:bCs/>
          <w:color w:val="000000"/>
          <w:lang w:val="uk-UA"/>
        </w:rPr>
        <w:t xml:space="preserve">Таблиця </w:t>
      </w:r>
      <w:r>
        <w:rPr>
          <w:b/>
          <w:bCs/>
          <w:color w:val="000000"/>
          <w:lang w:val="en-GB"/>
        </w:rPr>
        <w:t>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653"/>
        <w:gridCol w:w="1700"/>
        <w:gridCol w:w="1293"/>
        <w:gridCol w:w="1395"/>
        <w:gridCol w:w="1397"/>
        <w:gridCol w:w="1324"/>
      </w:tblGrid>
      <w:tr w:rsidR="001E75AC" w:rsidRPr="00825894" w:rsidTr="003E48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jc w:val="center"/>
              <w:rPr>
                <w:b/>
                <w:bCs/>
                <w:color w:val="000000"/>
              </w:rPr>
            </w:pPr>
            <w:r w:rsidRPr="00825894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jc w:val="center"/>
              <w:rPr>
                <w:b/>
                <w:bCs/>
                <w:color w:val="000000"/>
              </w:rPr>
            </w:pPr>
            <w:r w:rsidRPr="00825894">
              <w:rPr>
                <w:b/>
                <w:bCs/>
                <w:color w:val="000000"/>
              </w:rPr>
              <w:t>Сценарій використання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jc w:val="center"/>
              <w:rPr>
                <w:b/>
                <w:bCs/>
                <w:color w:val="000000"/>
              </w:rPr>
            </w:pPr>
            <w:r w:rsidRPr="00825894">
              <w:rPr>
                <w:b/>
                <w:bCs/>
                <w:color w:val="000000"/>
              </w:rPr>
              <w:t>Тип документа/джерело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jc w:val="center"/>
              <w:rPr>
                <w:b/>
                <w:bCs/>
                <w:color w:val="000000"/>
              </w:rPr>
            </w:pPr>
            <w:r w:rsidRPr="00825894">
              <w:rPr>
                <w:b/>
                <w:bCs/>
                <w:color w:val="000000"/>
              </w:rPr>
              <w:t>Приклад тексту оригіналу (ST)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jc w:val="center"/>
              <w:rPr>
                <w:b/>
                <w:bCs/>
                <w:color w:val="000000"/>
              </w:rPr>
            </w:pPr>
            <w:r w:rsidRPr="00825894">
              <w:rPr>
                <w:b/>
                <w:bCs/>
                <w:color w:val="000000"/>
              </w:rPr>
              <w:t>Приклад перекладу (TT)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jc w:val="center"/>
              <w:rPr>
                <w:b/>
                <w:bCs/>
                <w:color w:val="000000"/>
              </w:rPr>
            </w:pPr>
            <w:r w:rsidRPr="00825894">
              <w:rPr>
                <w:b/>
                <w:bCs/>
                <w:color w:val="000000"/>
              </w:rPr>
              <w:t>Роль ШІ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5894">
              <w:rPr>
                <w:b/>
                <w:bCs/>
                <w:color w:val="000000"/>
              </w:rPr>
              <w:t xml:space="preserve">Навички </w:t>
            </w:r>
          </w:p>
        </w:tc>
      </w:tr>
      <w:tr w:rsidR="001E75AC" w:rsidRPr="00825894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Переклад оперативних наказів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NATO COM Directive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“All units must maintain secure communications and adhere to the encryption protocols outlined in COMSEC Directive 01-2024.”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«Всі підрозділи повинні забезпечувати безпечний зв’язок та дотримуватися протоколів шифрування, викладених у Директиві COMSEC 01-2024.»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Перевірка термінології, стилю, точності відповідності протоколу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Вміння дотримуватись військових стандартів, критичний аналіз</w:t>
            </w:r>
          </w:p>
        </w:tc>
      </w:tr>
      <w:tr w:rsidR="001E75AC" w:rsidRPr="00825894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Переклад звітів про ситуацію (Situation Report)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NATO SITREP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“The platoon leader reported enemy contact at grid reference 1234-5678. Immediate support requested.”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«Командир взводу повідомив про контакт із противником за координатами 1234-5678. Негайно запрошено підкріплення.»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Автоматичне визначення ключових термінів та структурованого перекладу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Навички точності та швидкого редагування, узгодження з форматами НАТО</w:t>
            </w:r>
          </w:p>
        </w:tc>
      </w:tr>
      <w:tr w:rsidR="001E75AC" w:rsidRPr="00825894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Переклад стандартних операційних процедур (SOP)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NATO SOP Document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“The platoon leader shall report all contact with hostile forces to the company command via secure radio, following the standard NATO reporting format.”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 xml:space="preserve">«Командир взводу повинен повідомляти про будь-які контакти з противником командуванню роти через захищений радіозв’язок, дотримуючись стандартного формату </w:t>
            </w:r>
            <w:r w:rsidRPr="00825894">
              <w:rPr>
                <w:color w:val="000000"/>
              </w:rPr>
              <w:lastRenderedPageBreak/>
              <w:t>звітності НАТО.»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lastRenderedPageBreak/>
              <w:t>Надання альтернативних варіантів перекладу та пояснень щодо термінів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Розвиток уміння обґрунтовувати перекладацькі рішення, адаптація термінології</w:t>
            </w:r>
          </w:p>
        </w:tc>
      </w:tr>
      <w:tr w:rsidR="001E75AC" w:rsidRPr="00825894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Переклад інструкцій з бойових навчань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NATO Exercise Manual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“All troops must complete the obstacle course within 30 minutes and report completion to the training officer.”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«Усі підрозділи повинні пройти смугу перешкод протягом 30 хвилин та повідомити про завершення тренувальному офіцеру.»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Моделювання завдань із наростаючою складністю, підказки щодо контексту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Вміння інтерпретувати командні інструкції та адаптувати стиль</w:t>
            </w:r>
          </w:p>
        </w:tc>
      </w:tr>
      <w:tr w:rsidR="001E75AC" w:rsidRPr="00825894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Переклад комунікацій для COMINT/ELINT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NATO Communication Security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“Intercepted signals indicate potential threat in sector 4. Immediate verification required.”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«Перехоплені сигнали вказують на потенційну загрозу у секторі 4. Потрібна негайна перевірка.»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Підказки щодо військової термінології, виділення ключових елементів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Аналітичні навички, точність у передачі сенсу та термінології</w:t>
            </w:r>
          </w:p>
        </w:tc>
      </w:tr>
      <w:tr w:rsidR="001E75AC" w:rsidRPr="00825894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Переклад географічних ідентифікаторів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STANAG 1059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“Coordinate reference for forward operating base is 5678-1234, sector Bravo.”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«Координати передового оперативного базування: 5678-1234, сектор Браво.»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Перевірка правильності перекладу географічних назв та позначень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Вміння дотримуватись стандартів НАТО, увага до деталей</w:t>
            </w:r>
          </w:p>
        </w:tc>
      </w:tr>
      <w:tr w:rsidR="001E75AC" w:rsidRPr="00825894" w:rsidTr="003E4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Переклад інструкцій для багатонаціональних навчань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NATO Multinational Exercise Briefing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“All units will participate in joint live-fire exercise at grid 4321-8765. Safety protocols must be strictly followed.”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 xml:space="preserve">«Усі підрозділи беруть участь у спільних навчаннях із живою стрільбою за координатами 4321-8765. Протоколи безпеки повинні </w:t>
            </w:r>
            <w:r w:rsidRPr="00825894">
              <w:rPr>
                <w:color w:val="000000"/>
              </w:rPr>
              <w:lastRenderedPageBreak/>
              <w:t>суворо дотримуватися.»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lastRenderedPageBreak/>
              <w:t>Аналіз і коментування перекладу, підказки щодо стилю і ризиків</w:t>
            </w:r>
          </w:p>
        </w:tc>
        <w:tc>
          <w:tcPr>
            <w:tcW w:w="0" w:type="auto"/>
            <w:vAlign w:val="center"/>
            <w:hideMark/>
          </w:tcPr>
          <w:p w:rsidR="001E75AC" w:rsidRPr="00825894" w:rsidRDefault="001E75AC" w:rsidP="003E48FD">
            <w:pPr>
              <w:rPr>
                <w:color w:val="000000"/>
              </w:rPr>
            </w:pPr>
            <w:r w:rsidRPr="00825894">
              <w:rPr>
                <w:color w:val="000000"/>
              </w:rPr>
              <w:t>Розвиток навичок адаптації для міжнародної аудиторії, управління ризиками</w:t>
            </w:r>
          </w:p>
        </w:tc>
      </w:tr>
    </w:tbl>
    <w:p w:rsidR="001E75AC" w:rsidRDefault="001E75AC" w:rsidP="001E75AC"/>
    <w:p w:rsidR="001E75AC" w:rsidRDefault="001E75AC"/>
    <w:sectPr w:rsidR="001E7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AC"/>
    <w:rsid w:val="001E75AC"/>
    <w:rsid w:val="00A9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C4B817"/>
  <w15:chartTrackingRefBased/>
  <w15:docId w15:val="{6950E219-C905-F742-9E57-A8DAB6AC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5A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75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2026-03-22T13:37:00Z</dcterms:created>
  <dcterms:modified xsi:type="dcterms:W3CDTF">2026-03-23T11:53:00Z</dcterms:modified>
</cp:coreProperties>
</file>