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63" w:rsidRPr="00CB2C9E" w:rsidRDefault="00E63E63" w:rsidP="00E63E63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B2C9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</w:p>
    <w:p w:rsidR="00E63E63" w:rsidRDefault="00E63E63" w:rsidP="00E63E63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12</w:t>
      </w:r>
      <w:r w:rsidRPr="00CB2C9E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Pr="00E63E63">
        <w:rPr>
          <w:rFonts w:eastAsia="Calibri"/>
          <w:b/>
          <w:bCs/>
          <w:sz w:val="28"/>
          <w:szCs w:val="28"/>
          <w:lang w:val="uk-UA"/>
        </w:rPr>
        <w:t xml:space="preserve">Початок </w:t>
      </w:r>
      <w:proofErr w:type="spellStart"/>
      <w:r w:rsidRPr="00E63E63">
        <w:rPr>
          <w:rFonts w:eastAsia="Calibri"/>
          <w:b/>
          <w:bCs/>
          <w:sz w:val="28"/>
          <w:szCs w:val="28"/>
          <w:lang w:val="uk-UA"/>
        </w:rPr>
        <w:t>Вікторіанської</w:t>
      </w:r>
      <w:proofErr w:type="spellEnd"/>
      <w:r w:rsidRPr="00E63E63">
        <w:rPr>
          <w:rFonts w:eastAsia="Calibri"/>
          <w:b/>
          <w:bCs/>
          <w:sz w:val="28"/>
          <w:szCs w:val="28"/>
          <w:lang w:val="uk-UA"/>
        </w:rPr>
        <w:t xml:space="preserve"> епохи Британії</w:t>
      </w:r>
    </w:p>
    <w:p w:rsidR="00E63E63" w:rsidRPr="00E63E63" w:rsidRDefault="00E63E63" w:rsidP="00E63E63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</w:p>
    <w:p w:rsidR="00E63E63" w:rsidRPr="00E63E63" w:rsidRDefault="00E63E63" w:rsidP="00E63E63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E63E63">
        <w:rPr>
          <w:rFonts w:eastAsia="Calibri"/>
          <w:bCs/>
          <w:sz w:val="28"/>
          <w:szCs w:val="28"/>
          <w:lang w:val="uk-UA"/>
        </w:rPr>
        <w:t xml:space="preserve">1. Економічна монополія Великобританії у 50–60-х рр. XIX ст. </w:t>
      </w:r>
    </w:p>
    <w:p w:rsidR="00E63E63" w:rsidRPr="00E63E63" w:rsidRDefault="00E63E63" w:rsidP="00E63E63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</w:t>
      </w:r>
      <w:r w:rsidRPr="00E63E63">
        <w:rPr>
          <w:rFonts w:eastAsia="Calibri"/>
          <w:bCs/>
          <w:sz w:val="28"/>
          <w:szCs w:val="28"/>
          <w:lang w:val="uk-UA"/>
        </w:rPr>
        <w:t xml:space="preserve">. Становище англійського пролетаріату та робітничий рух. </w:t>
      </w:r>
    </w:p>
    <w:p w:rsidR="00E63E63" w:rsidRPr="00E63E63" w:rsidRDefault="00E63E63" w:rsidP="00E63E63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3</w:t>
      </w:r>
      <w:r w:rsidRPr="00E63E63">
        <w:rPr>
          <w:rFonts w:eastAsia="Calibri"/>
          <w:bCs/>
          <w:sz w:val="28"/>
          <w:szCs w:val="28"/>
          <w:lang w:val="uk-UA"/>
        </w:rPr>
        <w:t xml:space="preserve">. Вільям </w:t>
      </w:r>
      <w:proofErr w:type="spellStart"/>
      <w:r w:rsidRPr="00E63E63">
        <w:rPr>
          <w:rFonts w:eastAsia="Calibri"/>
          <w:bCs/>
          <w:sz w:val="28"/>
          <w:szCs w:val="28"/>
          <w:lang w:val="uk-UA"/>
        </w:rPr>
        <w:t>Гладстон</w:t>
      </w:r>
      <w:proofErr w:type="spellEnd"/>
      <w:r w:rsidRPr="00E63E63">
        <w:rPr>
          <w:rFonts w:eastAsia="Calibri"/>
          <w:bCs/>
          <w:sz w:val="28"/>
          <w:szCs w:val="28"/>
          <w:lang w:val="uk-UA"/>
        </w:rPr>
        <w:t xml:space="preserve"> та Бенджамін </w:t>
      </w:r>
      <w:proofErr w:type="spellStart"/>
      <w:r w:rsidRPr="00E63E63">
        <w:rPr>
          <w:rFonts w:eastAsia="Calibri"/>
          <w:bCs/>
          <w:sz w:val="28"/>
          <w:szCs w:val="28"/>
          <w:lang w:val="uk-UA"/>
        </w:rPr>
        <w:t>Дізраелі</w:t>
      </w:r>
      <w:proofErr w:type="spellEnd"/>
      <w:r w:rsidRPr="00E63E63">
        <w:rPr>
          <w:rFonts w:eastAsia="Calibri"/>
          <w:bCs/>
          <w:sz w:val="28"/>
          <w:szCs w:val="28"/>
          <w:lang w:val="uk-UA"/>
        </w:rPr>
        <w:t xml:space="preserve">: суперники-реформатори </w:t>
      </w:r>
    </w:p>
    <w:p w:rsidR="00E63E63" w:rsidRPr="00E63E63" w:rsidRDefault="00E63E63" w:rsidP="00E63E63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4</w:t>
      </w:r>
      <w:bookmarkStart w:id="0" w:name="_GoBack"/>
      <w:bookmarkEnd w:id="0"/>
      <w:r w:rsidRPr="00E63E63">
        <w:rPr>
          <w:rFonts w:eastAsia="Calibri"/>
          <w:bCs/>
          <w:sz w:val="28"/>
          <w:szCs w:val="28"/>
          <w:lang w:val="uk-UA"/>
        </w:rPr>
        <w:t>. Зовнішня політика Великої Британії.</w:t>
      </w:r>
    </w:p>
    <w:p w:rsidR="00E63E63" w:rsidRPr="00CB2C9E" w:rsidRDefault="00E63E63" w:rsidP="00E63E63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Cs/>
          <w:sz w:val="28"/>
          <w:szCs w:val="28"/>
          <w:lang w:val="uk-UA"/>
        </w:rPr>
      </w:pPr>
    </w:p>
    <w:p w:rsidR="00E63E63" w:rsidRPr="00CB2C9E" w:rsidRDefault="00E63E63" w:rsidP="00E63E63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Література</w:t>
      </w:r>
    </w:p>
    <w:p w:rsidR="00E63E63" w:rsidRPr="00CB2C9E" w:rsidRDefault="00E63E63" w:rsidP="00E63E63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Основна: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CB2C9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CB2C9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CB2C9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CB2C9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E63E63" w:rsidRPr="00CB2C9E" w:rsidRDefault="00E63E63" w:rsidP="00E63E63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, 2003. 478 p.</w:t>
      </w:r>
    </w:p>
    <w:p w:rsidR="00E63E63" w:rsidRPr="00CB2C9E" w:rsidRDefault="00E63E63" w:rsidP="00E63E63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E63E63" w:rsidRPr="00CB2C9E" w:rsidRDefault="00E63E63" w:rsidP="00E63E63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CB2C9E">
        <w:rPr>
          <w:b/>
          <w:sz w:val="28"/>
          <w:szCs w:val="28"/>
          <w:lang w:val="uk-UA"/>
        </w:rPr>
        <w:t>Допоміжна</w:t>
      </w:r>
      <w:r w:rsidRPr="00CB2C9E">
        <w:rPr>
          <w:sz w:val="28"/>
          <w:szCs w:val="28"/>
          <w:lang w:val="uk-UA" w:eastAsia="en-US"/>
        </w:rPr>
        <w:t>:</w:t>
      </w:r>
    </w:p>
    <w:p w:rsidR="00E63E63" w:rsidRPr="00CB2C9E" w:rsidRDefault="00E63E63" w:rsidP="00E63E63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E63E63" w:rsidRPr="00CB2C9E" w:rsidRDefault="00E63E63" w:rsidP="00E63E63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E63E63" w:rsidRPr="00CB2C9E" w:rsidRDefault="00E63E63" w:rsidP="00E63E63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E63E63" w:rsidRPr="00CB2C9E" w:rsidRDefault="00E63E63" w:rsidP="00E63E63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E63E63" w:rsidRDefault="00E63E63" w:rsidP="00E63E63"/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Економічний розвиток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Високі й стабільні темпи розвитку промислового виробництва і торгівлі.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Повний перехід на машинне виробництво традиційних галузей легкої промисловості — сукнарства і текстильної промисловості.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Англія здобула світове визнання як «майстерня світу», «світовий перевізник», «світовий банкір».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Бурхливий розвиток залізничного транспорту як основного засобу пересування країною, пароплавного судноплавства.</w:t>
      </w:r>
    </w:p>
    <w:p w:rsid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Відмова від політики протекціонізму і перехід до фритредерства.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b/>
          <w:i/>
          <w:iCs/>
          <w:sz w:val="28"/>
          <w:szCs w:val="28"/>
          <w:lang w:val="uk-UA"/>
        </w:rPr>
        <w:lastRenderedPageBreak/>
        <w:t>Фритредерство</w:t>
      </w:r>
      <w:r w:rsidRPr="00E63E63">
        <w:rPr>
          <w:i/>
          <w:iCs/>
          <w:sz w:val="28"/>
          <w:szCs w:val="28"/>
          <w:lang w:val="uk-UA"/>
        </w:rPr>
        <w:t xml:space="preserve"> — </w:t>
      </w:r>
      <w:r w:rsidRPr="00E63E63">
        <w:rPr>
          <w:iCs/>
          <w:sz w:val="28"/>
          <w:szCs w:val="28"/>
          <w:lang w:val="uk-UA"/>
        </w:rPr>
        <w:t>вільна безмитна торгівля, невтручання держави в економічну діяльність.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Посідає панівне становище на світовому ринку; англійський фунт стерлінгів здобув міжнародне визнання і став головним засобом розрахунку між країнами світу; Лондонська біржа та Англійський банк стали світовими центрами фінансових і торговельних угод.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Із метою здешевлення виробництва землевласники запроваджують техніку, хімічні добрива в сільському господарстві; внаслідок цього врожайність в Англії набагато вища, ніж у Франції.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Сільське господарство не здатне забезпечити Англію продуктами та сировиною для промисловості, тому значну роль у постачанні продуктів відігравали заморські колонії.</w:t>
      </w:r>
    </w:p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Внутрішньополітичний розвиток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Остаточно утверджується парламентська монархія: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— палата громад відтіснила на другий план палату лордів;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— введено принцип «відповідального уряду», який залишається при владі, доки має довіру і підтримку більшості палати громад;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— королева призначала прем’єр-міністрів із лідерів парламентської більшості;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— королева зберігала право відставки уряду і розпуску парламенту, хоча й не користувалася ним.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Із 1837 до 1901 р. Великою Британією правила королева Вікторія, яка стала символом країни.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Утвердилася парламентська двопартійна система (консервативна і ліберальна партії), за якою влада поперемінно переходила від однієї партії до другої.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Консервативна партія спиралася на земельну аристократію, великих судновласників, підприємців, пов’язаних із колоніальною торгівлею.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Ліберальна партія мала серед своїх членів лендлордів, але після парламентської реформи її склад поповнили представники торговельно-промислової буржуазії. Ліберали охочіше йшли на проведення політичних реформ, що розширювали вплив буржуазії.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У 1846-1866 рр. уряд очолювали ліберали, у 1866-1868 — консерватори.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1867 р. — консерватори провели Другу парламентську реформу: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— знижено майновий ценз;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— ліквідовано 3</w:t>
      </w:r>
      <w:r w:rsidRPr="00E63E63">
        <w:rPr>
          <w:sz w:val="28"/>
          <w:szCs w:val="28"/>
          <w:lang w:val="uk-UA"/>
        </w:rPr>
        <w:t xml:space="preserve">5 «гнилих містечок», їх місця </w:t>
      </w:r>
      <w:proofErr w:type="spellStart"/>
      <w:r w:rsidRPr="00E63E63">
        <w:rPr>
          <w:sz w:val="28"/>
          <w:szCs w:val="28"/>
          <w:lang w:val="uk-UA"/>
        </w:rPr>
        <w:t>розподілено</w:t>
      </w:r>
      <w:proofErr w:type="spellEnd"/>
      <w:r w:rsidRPr="00E63E63">
        <w:rPr>
          <w:sz w:val="28"/>
          <w:szCs w:val="28"/>
          <w:lang w:val="uk-UA"/>
        </w:rPr>
        <w:t xml:space="preserve"> серед великих міст.</w:t>
      </w:r>
    </w:p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Результат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Кількість виборців збільшено майже вдвічі за рахунок дрібних підприємців, фермерів, кваліфікованих робітників.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Активно створюються тред-юніони, що об’єднували, як правило, кваліфікованих робітників.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Таким чином, у Великій Британії затвердилися принципи лібералізму.</w:t>
      </w:r>
    </w:p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Зовнішня політика Англії</w:t>
      </w:r>
    </w:p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Мета зовнішньої політики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lastRenderedPageBreak/>
        <w:t>• Ослаблення політичних суперників.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Усунення конкурентів із зовнішніх ринків.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i/>
          <w:iCs/>
          <w:sz w:val="28"/>
          <w:szCs w:val="28"/>
          <w:lang w:val="uk-UA"/>
        </w:rPr>
        <w:t>Лорд Пальмерстон (лідер лібералів, член уряду) сформулював принципи зовнішньої політики: «У Британії немає ні вічних союзників, ані постійних друзів. Вона має лише постійні інтереси».</w:t>
      </w:r>
    </w:p>
    <w:p w:rsidR="00E63E63" w:rsidRPr="00E63E63" w:rsidRDefault="00E63E63" w:rsidP="00E63E63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E63E63">
        <w:rPr>
          <w:b/>
          <w:bCs/>
          <w:sz w:val="28"/>
          <w:szCs w:val="28"/>
          <w:lang w:val="uk-UA"/>
        </w:rPr>
        <w:t>Основний зміст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Промислова перевага зміцнила традиційну першість Англії у світовій політиці та на морях.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1854-1856 рр. — участь у Кримській війні з Росією.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 xml:space="preserve">• У роки громадянської війни в США Англія підтримала рабовласницький Південь, який постачав бавовну англійським </w:t>
      </w:r>
      <w:proofErr w:type="spellStart"/>
      <w:r w:rsidRPr="00E63E63">
        <w:rPr>
          <w:sz w:val="28"/>
          <w:szCs w:val="28"/>
          <w:lang w:val="uk-UA"/>
        </w:rPr>
        <w:t>фабрикам</w:t>
      </w:r>
      <w:proofErr w:type="spellEnd"/>
      <w:r w:rsidRPr="00E63E63">
        <w:rPr>
          <w:sz w:val="28"/>
          <w:szCs w:val="28"/>
          <w:lang w:val="uk-UA"/>
        </w:rPr>
        <w:t>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1857-1859 рр. — придушення антиколоніального повстання в Індії (повстання сипаїв).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Винищення корінного населення у Новій Зеландії, Австралії, Тасманії.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sz w:val="28"/>
          <w:szCs w:val="28"/>
          <w:lang w:val="uk-UA"/>
        </w:rPr>
        <w:t>• 1850-1860-ті роки — загарбницькі війни в Китаї, Японії, Ірані, Ефіопії.</w:t>
      </w:r>
    </w:p>
    <w:p w:rsidR="00E63E63" w:rsidRDefault="00E63E63" w:rsidP="00E63E63">
      <w:pPr>
        <w:spacing w:line="240" w:lineRule="auto"/>
        <w:ind w:firstLine="567"/>
        <w:rPr>
          <w:rFonts w:ascii="Arial" w:hAnsi="Arial" w:cs="Arial"/>
          <w:i/>
          <w:iCs/>
          <w:color w:val="292B2C"/>
          <w:sz w:val="23"/>
          <w:szCs w:val="23"/>
          <w:shd w:val="clear" w:color="auto" w:fill="FFFFFF"/>
        </w:rPr>
      </w:pPr>
      <w:r w:rsidRPr="00E63E63">
        <w:rPr>
          <w:sz w:val="28"/>
          <w:szCs w:val="28"/>
          <w:lang w:val="uk-UA"/>
        </w:rPr>
        <w:t xml:space="preserve">• 1867 р. — Канада отримала статус домініону; право на представницькі установи отримали </w:t>
      </w:r>
      <w:proofErr w:type="spellStart"/>
      <w:r w:rsidRPr="00E63E63">
        <w:rPr>
          <w:sz w:val="28"/>
          <w:szCs w:val="28"/>
          <w:lang w:val="uk-UA"/>
        </w:rPr>
        <w:t>Капська</w:t>
      </w:r>
      <w:proofErr w:type="spellEnd"/>
      <w:r w:rsidRPr="00E63E63">
        <w:rPr>
          <w:sz w:val="28"/>
          <w:szCs w:val="28"/>
          <w:lang w:val="uk-UA"/>
        </w:rPr>
        <w:t xml:space="preserve"> земля, Наталь, Австралія, Нова Зеландія.</w:t>
      </w:r>
      <w:r w:rsidRPr="00E63E63">
        <w:rPr>
          <w:rFonts w:ascii="Arial" w:hAnsi="Arial" w:cs="Arial"/>
          <w:i/>
          <w:iCs/>
          <w:color w:val="292B2C"/>
          <w:sz w:val="23"/>
          <w:szCs w:val="23"/>
          <w:shd w:val="clear" w:color="auto" w:fill="FFFFFF"/>
        </w:rPr>
        <w:t xml:space="preserve"> </w:t>
      </w:r>
    </w:p>
    <w:p w:rsidR="00E63E63" w:rsidRPr="00E63E63" w:rsidRDefault="00E63E63" w:rsidP="00E63E63">
      <w:pPr>
        <w:spacing w:line="240" w:lineRule="auto"/>
        <w:ind w:firstLine="567"/>
        <w:rPr>
          <w:sz w:val="28"/>
          <w:szCs w:val="28"/>
          <w:lang w:val="uk-UA"/>
        </w:rPr>
      </w:pPr>
      <w:r w:rsidRPr="00E63E63">
        <w:rPr>
          <w:b/>
          <w:i/>
          <w:iCs/>
          <w:sz w:val="28"/>
          <w:szCs w:val="28"/>
          <w:lang w:val="uk-UA"/>
        </w:rPr>
        <w:t>Домініон</w:t>
      </w:r>
      <w:r w:rsidRPr="00E63E63">
        <w:rPr>
          <w:i/>
          <w:iCs/>
          <w:sz w:val="28"/>
          <w:szCs w:val="28"/>
          <w:lang w:val="uk-UA"/>
        </w:rPr>
        <w:t xml:space="preserve"> — </w:t>
      </w:r>
      <w:r w:rsidRPr="00E63E63">
        <w:rPr>
          <w:iCs/>
          <w:sz w:val="28"/>
          <w:szCs w:val="28"/>
          <w:lang w:val="uk-UA"/>
        </w:rPr>
        <w:t>самоврядна колонія.</w:t>
      </w:r>
    </w:p>
    <w:p w:rsidR="00EB3882" w:rsidRDefault="00EB3882"/>
    <w:sectPr w:rsidR="00EB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6A"/>
    <w:rsid w:val="00673D6A"/>
    <w:rsid w:val="00E63E63"/>
    <w:rsid w:val="00E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99CF"/>
  <w15:chartTrackingRefBased/>
  <w15:docId w15:val="{B251B036-93CF-4C21-B7EE-EB674FAA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6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2026-03-19T12:06:00Z</dcterms:created>
  <dcterms:modified xsi:type="dcterms:W3CDTF">2026-03-19T12:12:00Z</dcterms:modified>
</cp:coreProperties>
</file>