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665" w:rsidRPr="006A0665" w:rsidRDefault="006A0665" w:rsidP="00D06DCD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Лекція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1</w:t>
      </w:r>
      <w:r w:rsidRPr="006A0665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: Історико–філософське означення європейської філософії Нового часу</w:t>
      </w:r>
    </w:p>
    <w:p w:rsidR="006A0665" w:rsidRPr="006A0665" w:rsidRDefault="006A0665" w:rsidP="00D06DCD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1. Загальна характеристика філософії Нового часу</w:t>
      </w:r>
    </w:p>
    <w:p w:rsidR="006A0665" w:rsidRPr="006A0665" w:rsidRDefault="006A0665" w:rsidP="00D06DCD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Філософія Нового часу (XVII–XVIII ст.) — це період радикальної трансформації світогляду, що став ідеологічним фундаментом сучасної західної цивілізації. Вона виникає на перетині Великих географічних </w:t>
      </w:r>
      <w:proofErr w:type="spellStart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відкриттів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наукової революції та формування капіталістичних відносин.</w:t>
      </w:r>
    </w:p>
    <w:p w:rsidR="006A0665" w:rsidRPr="006A0665" w:rsidRDefault="006A0665" w:rsidP="00D06DCD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Ключові риси епохи:</w:t>
      </w:r>
      <w:bookmarkStart w:id="0" w:name="_GoBack"/>
      <w:bookmarkEnd w:id="0"/>
    </w:p>
    <w:p w:rsidR="006A0665" w:rsidRPr="006A0665" w:rsidRDefault="006A0665" w:rsidP="00D06DC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Світська спрямованість: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Філософія звільняється від диктату теології (секуляризація). Якщо середньовічна думка була «служницею теології», то новочасна — «служницею науки».</w:t>
      </w:r>
    </w:p>
    <w:p w:rsidR="006A0665" w:rsidRPr="006A0665" w:rsidRDefault="006A0665" w:rsidP="00D06DC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Орієнтація на природознавство: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Філософія прагне бути такою ж точною, як математика та механіка.</w:t>
      </w:r>
    </w:p>
    <w:p w:rsidR="006A0665" w:rsidRPr="006A0665" w:rsidRDefault="006A0665" w:rsidP="00D06DC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Антропоцентризм та суб'єктивізм: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 центрі уваги — пізнавальні можливості людського розуму. Питання «Що я можу знати?» стає ключовим.</w:t>
      </w:r>
    </w:p>
    <w:p w:rsidR="006A0665" w:rsidRPr="006A0665" w:rsidRDefault="006A0665" w:rsidP="00D06DCD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Механістична картина світу: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Природа розглядається як гігантський, досконалий «годинниковий механізм», де все підпорядковане причинно-наслідковим зв'язкам.</w:t>
      </w:r>
    </w:p>
    <w:p w:rsidR="006A0665" w:rsidRDefault="006A0665" w:rsidP="00D06DCD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6A0665" w:rsidRPr="006A0665" w:rsidRDefault="006A0665" w:rsidP="00D06DCD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Проблема методу у філософії</w:t>
      </w:r>
    </w:p>
    <w:p w:rsidR="006A0665" w:rsidRPr="006A0665" w:rsidRDefault="006A0665" w:rsidP="00D06DCD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Криза середньовічної схоластики, яка базувалася на авторитетах, спонукала філософів до пошуку нового інструментарію — </w:t>
      </w: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методу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який би гарантував істинність знання. Це призвело до виникнення двох головних течій:</w:t>
      </w:r>
    </w:p>
    <w:p w:rsidR="006A0665" w:rsidRPr="006A0665" w:rsidRDefault="006A0665" w:rsidP="00D06DCD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Емпіризм (від </w:t>
      </w:r>
      <w:proofErr w:type="spellStart"/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грец</w:t>
      </w:r>
      <w:proofErr w:type="spellEnd"/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6A0665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empeiria</w:t>
      </w:r>
      <w:proofErr w:type="spellEnd"/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— досвід):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Засновник — </w:t>
      </w:r>
      <w:proofErr w:type="spellStart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Френсіс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Бекон. Вважав, що джерелом знань є лише чуттєвий досвід, спостереження та експеримент. Основний метод — </w:t>
      </w: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індукція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(рух від одиничних фактів до загальних висновків).</w:t>
      </w:r>
    </w:p>
    <w:p w:rsidR="006A0665" w:rsidRPr="006A0665" w:rsidRDefault="006A0665" w:rsidP="00D06DCD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lastRenderedPageBreak/>
        <w:t xml:space="preserve">Раціоналізм (від лат. </w:t>
      </w:r>
      <w:proofErr w:type="spellStart"/>
      <w:r w:rsidRPr="006A0665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ratio</w:t>
      </w:r>
      <w:proofErr w:type="spellEnd"/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— розум):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Засновник — </w:t>
      </w:r>
      <w:proofErr w:type="spellStart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Рене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Декарт. Стверджував, що істинне знання можна отримати лише шляхом розумової діяльності, спираючись на «вроджені ідеї» та логічну дедукцію. Основний метод — </w:t>
      </w: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дедукція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(виведення часткового з очевидних загальних аксіом).</w:t>
      </w:r>
    </w:p>
    <w:p w:rsidR="006A0665" w:rsidRPr="006A0665" w:rsidRDefault="006A0665" w:rsidP="00D06DCD">
      <w:pPr>
        <w:spacing w:before="100" w:beforeAutospacing="1" w:after="24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Ці дві лінії вели «війну методів» упродовж XVII–XVIII століть, доки </w:t>
      </w:r>
      <w:proofErr w:type="spellStart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Іммануїл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Кант пізніше не спробував синтезувати їх у своїй критичній філософії.</w:t>
      </w:r>
    </w:p>
    <w:p w:rsidR="006A0665" w:rsidRDefault="006A0665" w:rsidP="00D06DCD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6A0665" w:rsidRPr="006A0665" w:rsidRDefault="006A0665" w:rsidP="00D06DCD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Нова парадигма основоположних категорій філософії</w:t>
      </w:r>
    </w:p>
    <w:p w:rsidR="006A0665" w:rsidRPr="006A0665" w:rsidRDefault="006A0665" w:rsidP="00D06DCD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Філософія Нового часу переосмислила базові категорії буття, зробивши їх зручними для аналітичного та наукового мислення:</w:t>
      </w:r>
    </w:p>
    <w:p w:rsidR="006A0665" w:rsidRPr="006A0665" w:rsidRDefault="006A0665" w:rsidP="00D06DC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Субстанція: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Втрачає </w:t>
      </w:r>
      <w:proofErr w:type="spellStart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арістотелівське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розуміння «суті речі» і перетворюється на самодостатню основу буття, яка не потребує нічого іншого для свого існування. Декарт розділив субстанцію на </w:t>
      </w:r>
      <w:proofErr w:type="spellStart"/>
      <w:r w:rsidRPr="006A066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res</w:t>
      </w:r>
      <w:proofErr w:type="spellEnd"/>
      <w:r w:rsidRPr="006A066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6A066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cogitans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(мислячу річ) та </w:t>
      </w:r>
      <w:proofErr w:type="spellStart"/>
      <w:r w:rsidRPr="006A066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res</w:t>
      </w:r>
      <w:proofErr w:type="spellEnd"/>
      <w:r w:rsidRPr="006A066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6A0665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extensa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(протяжну, матеріальну річ), що породило психофізичний дуалізм.</w:t>
      </w:r>
    </w:p>
    <w:p w:rsidR="006A0665" w:rsidRPr="006A0665" w:rsidRDefault="006A0665" w:rsidP="00D06DC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Суб'єкт (Я):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Категорія «Я» стає фундаментом філософії. Вона вже не просто частина ієрархії світу, а активний центр, який «конструює» знання про світ (Декарт, Локк, Фіхте).</w:t>
      </w:r>
    </w:p>
    <w:p w:rsidR="006A0665" w:rsidRPr="006A0665" w:rsidRDefault="006A0665" w:rsidP="00D06DC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Матерія: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Позбавляється живих «сил» (як було в Середньовіччі) і постає як пасивна протяжна субстанція, що підпорядковується лише математичним законам механіки.</w:t>
      </w:r>
    </w:p>
    <w:p w:rsidR="006A0665" w:rsidRPr="006A0665" w:rsidRDefault="006A0665" w:rsidP="00D06DCD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Причинність (Детермінізм):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Утверджується принцип жорсткого детермінізму: якщо знати стан системи та діючі на неї сили, можна точно вирахувати її стан у будь-який момент часу (</w:t>
      </w:r>
      <w:proofErr w:type="spellStart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лапласівський</w:t>
      </w:r>
      <w:proofErr w:type="spellEnd"/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детермінізм).</w:t>
      </w:r>
    </w:p>
    <w:p w:rsidR="006A0665" w:rsidRPr="006A0665" w:rsidRDefault="006A0665" w:rsidP="00D06DCD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6A0665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6A0665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Філософія Нового часу перетворила світ на об'єкт, доступний для раціонального дослідження, вимірювання та перетворення. Це заклало ідеологічні основи для індустріальної революції та сучасної техногенної культури.</w:t>
      </w:r>
    </w:p>
    <w:p w:rsidR="008D3652" w:rsidRPr="006A0665" w:rsidRDefault="008D3652" w:rsidP="00D06DCD">
      <w:pPr>
        <w:spacing w:line="360" w:lineRule="auto"/>
        <w:rPr>
          <w:sz w:val="28"/>
          <w:szCs w:val="28"/>
        </w:rPr>
      </w:pPr>
    </w:p>
    <w:sectPr w:rsidR="008D3652" w:rsidRPr="006A06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EE0375"/>
    <w:multiLevelType w:val="multilevel"/>
    <w:tmpl w:val="A98A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62BAB"/>
    <w:multiLevelType w:val="multilevel"/>
    <w:tmpl w:val="E380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ED3B6F"/>
    <w:multiLevelType w:val="multilevel"/>
    <w:tmpl w:val="BDB4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F7"/>
    <w:rsid w:val="006A0665"/>
    <w:rsid w:val="007718F7"/>
    <w:rsid w:val="008D3652"/>
    <w:rsid w:val="00D0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FF6F35-5579-4307-8AD2-06477377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0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6A0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665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6A066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6A0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1962</Words>
  <Characters>1119</Characters>
  <Application>Microsoft Office Word</Application>
  <DocSecurity>0</DocSecurity>
  <Lines>9</Lines>
  <Paragraphs>6</Paragraphs>
  <ScaleCrop>false</ScaleCrop>
  <Company>SPecialiST RePack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2026-03-12T20:28:00Z</dcterms:created>
  <dcterms:modified xsi:type="dcterms:W3CDTF">2026-03-12T20:34:00Z</dcterms:modified>
</cp:coreProperties>
</file>