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E0" w:rsidRDefault="00A15AE0" w:rsidP="00A15AE0">
      <w:pPr>
        <w:autoSpaceDE w:val="0"/>
        <w:jc w:val="center"/>
        <w:rPr>
          <w:b/>
          <w:i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Рекомендована література</w:t>
      </w:r>
    </w:p>
    <w:p w:rsidR="00A15AE0" w:rsidRDefault="00A15AE0" w:rsidP="00A15AE0">
      <w:pPr>
        <w:autoSpaceDE w:val="0"/>
        <w:ind w:firstLine="567"/>
        <w:rPr>
          <w:b/>
          <w:i/>
          <w:sz w:val="28"/>
          <w:szCs w:val="28"/>
          <w:lang w:val="uk-UA" w:eastAsia="uk-UA"/>
        </w:rPr>
      </w:pPr>
    </w:p>
    <w:p w:rsidR="00A15AE0" w:rsidRDefault="00A15AE0" w:rsidP="00A15AE0">
      <w:pPr>
        <w:autoSpaceDE w:val="0"/>
        <w:ind w:firstLine="567"/>
        <w:rPr>
          <w:sz w:val="28"/>
          <w:szCs w:val="28"/>
          <w:lang w:val="uk-UA" w:eastAsia="uk-UA"/>
        </w:rPr>
      </w:pPr>
      <w:bookmarkStart w:id="0" w:name="_Hlk176179978"/>
      <w:r>
        <w:rPr>
          <w:b/>
          <w:i/>
          <w:sz w:val="28"/>
          <w:szCs w:val="28"/>
          <w:lang w:val="uk-UA" w:eastAsia="uk-UA"/>
        </w:rPr>
        <w:t>Основна література</w:t>
      </w:r>
    </w:p>
    <w:bookmarkEnd w:id="0"/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 Закон України «Про фінансові послуги та фінансові компанії»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Закон України «Про державне регулювання ринків капіталу та організованих товарних ринків»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 Закон України «Про ринки капіталу та організовані товарні ринки»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 Закон України «Про банки і банківську діяльність»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5. Закон України «Про Національний банк України»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6. Закон України «Про депозитарну систему України»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7. Закон України «Про інвестиційну діяльність»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 Закон України «Про обіг векселів в Україні» (зі змінами).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9. Закон України «Про інститути спільного інвестування» (зі змінами)</w:t>
      </w:r>
    </w:p>
    <w:p w:rsidR="00A15AE0" w:rsidRDefault="00A15AE0" w:rsidP="00A15AE0">
      <w:pPr>
        <w:autoSpaceDE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10.Закон України «Про кредитні спілки» (зі змінами). </w:t>
      </w:r>
    </w:p>
    <w:p w:rsidR="00A15AE0" w:rsidRDefault="00A15AE0" w:rsidP="00A15AE0">
      <w:pPr>
        <w:autoSpaceDE w:val="0"/>
        <w:ind w:firstLine="567"/>
        <w:rPr>
          <w:sz w:val="28"/>
          <w:szCs w:val="28"/>
          <w:lang w:val="uk-UA" w:eastAsia="uk-UA"/>
        </w:rPr>
      </w:pPr>
    </w:p>
    <w:p w:rsidR="00A15AE0" w:rsidRDefault="00A15AE0" w:rsidP="00A15AE0">
      <w:pPr>
        <w:autoSpaceDE w:val="0"/>
        <w:ind w:firstLine="567"/>
        <w:rPr>
          <w:rFonts w:eastAsia="Calibri"/>
          <w:sz w:val="28"/>
          <w:szCs w:val="28"/>
          <w:lang w:val="uk-UA" w:eastAsia="en-US"/>
        </w:rPr>
      </w:pPr>
      <w:bookmarkStart w:id="1" w:name="_Hlk176180010"/>
      <w:r>
        <w:rPr>
          <w:b/>
          <w:i/>
          <w:sz w:val="28"/>
          <w:szCs w:val="28"/>
          <w:lang w:val="uk-UA" w:eastAsia="uk-UA"/>
        </w:rPr>
        <w:t>Додаткова література</w:t>
      </w:r>
    </w:p>
    <w:p w:rsidR="00A15AE0" w:rsidRDefault="00A15AE0" w:rsidP="00A15AE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 </w:t>
      </w:r>
      <w:proofErr w:type="spellStart"/>
      <w:r>
        <w:rPr>
          <w:rFonts w:eastAsia="Calibri"/>
          <w:sz w:val="28"/>
          <w:szCs w:val="28"/>
          <w:lang w:val="uk-UA" w:eastAsia="en-US"/>
        </w:rPr>
        <w:t>Vyhovska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N.H., </w:t>
      </w:r>
      <w:proofErr w:type="spellStart"/>
      <w:r>
        <w:rPr>
          <w:rFonts w:eastAsia="Calibri"/>
          <w:sz w:val="28"/>
          <w:szCs w:val="28"/>
          <w:lang w:val="uk-UA" w:eastAsia="en-US"/>
        </w:rPr>
        <w:t>Dovgaliuk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V.V. </w:t>
      </w:r>
      <w:proofErr w:type="spellStart"/>
      <w:r>
        <w:rPr>
          <w:rFonts w:eastAsia="Calibri"/>
          <w:sz w:val="28"/>
          <w:szCs w:val="28"/>
          <w:lang w:val="uk-UA" w:eastAsia="en-US"/>
        </w:rPr>
        <w:t>et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Transformation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Financial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Relations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Business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Entities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in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the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Context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Globalization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Journal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Advanced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Research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in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Law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and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Economics</w:t>
      </w:r>
      <w:proofErr w:type="spellEnd"/>
      <w:r>
        <w:rPr>
          <w:rFonts w:eastAsia="Calibri"/>
          <w:sz w:val="28"/>
          <w:szCs w:val="28"/>
          <w:lang w:val="uk-UA" w:eastAsia="en-US"/>
        </w:rPr>
        <w:t>, [</w:t>
      </w:r>
      <w:proofErr w:type="spellStart"/>
      <w:r>
        <w:rPr>
          <w:rFonts w:eastAsia="Calibri"/>
          <w:sz w:val="28"/>
          <w:szCs w:val="28"/>
          <w:lang w:val="uk-UA" w:eastAsia="en-US"/>
        </w:rPr>
        <w:t>S.l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.], v. 9, n. 8, p. 2868-2884, </w:t>
      </w:r>
      <w:proofErr w:type="spellStart"/>
      <w:r>
        <w:rPr>
          <w:rFonts w:eastAsia="Calibri"/>
          <w:sz w:val="28"/>
          <w:szCs w:val="28"/>
          <w:lang w:val="uk-UA" w:eastAsia="en-US"/>
        </w:rPr>
        <w:t>dec</w:t>
      </w:r>
      <w:proofErr w:type="spellEnd"/>
      <w:r>
        <w:rPr>
          <w:rFonts w:eastAsia="Calibri"/>
          <w:sz w:val="28"/>
          <w:szCs w:val="28"/>
          <w:lang w:val="uk-UA" w:eastAsia="en-US"/>
        </w:rPr>
        <w:t>. 2018.</w:t>
      </w:r>
    </w:p>
    <w:p w:rsidR="00A15AE0" w:rsidRDefault="00A15AE0" w:rsidP="00A15AE0">
      <w:pPr>
        <w:autoSpaceDE w:val="0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2. </w:t>
      </w:r>
      <w:proofErr w:type="spellStart"/>
      <w:r>
        <w:rPr>
          <w:rFonts w:eastAsia="Calibri"/>
          <w:sz w:val="28"/>
          <w:szCs w:val="28"/>
          <w:lang w:val="uk-UA" w:eastAsia="en-US"/>
        </w:rPr>
        <w:t>Vyhovska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N.G., </w:t>
      </w:r>
      <w:proofErr w:type="spellStart"/>
      <w:r>
        <w:rPr>
          <w:rFonts w:eastAsia="Calibri"/>
          <w:sz w:val="28"/>
          <w:szCs w:val="28"/>
          <w:lang w:val="uk-UA" w:eastAsia="en-US"/>
        </w:rPr>
        <w:t>Polchanov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A.Y., </w:t>
      </w:r>
      <w:proofErr w:type="spellStart"/>
      <w:r>
        <w:rPr>
          <w:rFonts w:eastAsia="Calibri"/>
          <w:sz w:val="28"/>
          <w:szCs w:val="28"/>
          <w:lang w:val="uk-UA" w:eastAsia="en-US"/>
        </w:rPr>
        <w:t>Ostapchuk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T.P., </w:t>
      </w:r>
      <w:proofErr w:type="spellStart"/>
      <w:r>
        <w:rPr>
          <w:rFonts w:eastAsia="Calibri"/>
          <w:sz w:val="28"/>
          <w:szCs w:val="28"/>
          <w:lang w:val="uk-UA" w:eastAsia="en-US"/>
        </w:rPr>
        <w:t>Dovgaliuk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V.V. </w:t>
      </w:r>
      <w:proofErr w:type="spellStart"/>
      <w:r>
        <w:rPr>
          <w:rFonts w:eastAsia="Calibri"/>
          <w:sz w:val="28"/>
          <w:szCs w:val="28"/>
          <w:lang w:val="uk-UA" w:eastAsia="en-US"/>
        </w:rPr>
        <w:t>The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impact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solvency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and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business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activity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profitability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mining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companies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in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Ukraine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Naukovyi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Visnyk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Natsionalnoho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Hirnychoho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Universytetu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2020. </w:t>
      </w:r>
      <w:proofErr w:type="spellStart"/>
      <w:r>
        <w:rPr>
          <w:rFonts w:eastAsia="Calibri"/>
          <w:sz w:val="28"/>
          <w:szCs w:val="28"/>
          <w:lang w:val="uk-UA" w:eastAsia="en-US"/>
        </w:rPr>
        <w:t>Issue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4. P. 164-170.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3. </w:t>
      </w:r>
      <w:proofErr w:type="spellStart"/>
      <w:r>
        <w:rPr>
          <w:rFonts w:eastAsia="Calibri"/>
          <w:sz w:val="28"/>
          <w:szCs w:val="28"/>
          <w:lang w:val="uk-UA" w:eastAsia="en-US"/>
        </w:rPr>
        <w:t>Aleksandrova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M., </w:t>
      </w:r>
      <w:proofErr w:type="spellStart"/>
      <w:r>
        <w:rPr>
          <w:rFonts w:eastAsia="Calibri"/>
          <w:sz w:val="28"/>
          <w:szCs w:val="28"/>
          <w:lang w:val="uk-UA" w:eastAsia="en-US"/>
        </w:rPr>
        <w:t>Vygovska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N., </w:t>
      </w:r>
      <w:proofErr w:type="spellStart"/>
      <w:r>
        <w:rPr>
          <w:rFonts w:eastAsia="Calibri"/>
          <w:sz w:val="28"/>
          <w:szCs w:val="28"/>
          <w:lang w:val="uk-UA" w:eastAsia="en-US"/>
        </w:rPr>
        <w:t>Dovgaliuk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V., </w:t>
      </w:r>
      <w:proofErr w:type="spellStart"/>
      <w:r>
        <w:rPr>
          <w:rFonts w:eastAsia="Calibri"/>
          <w:sz w:val="28"/>
          <w:szCs w:val="28"/>
          <w:lang w:val="uk-UA" w:eastAsia="en-US"/>
        </w:rPr>
        <w:t>Diachek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S., </w:t>
      </w:r>
      <w:proofErr w:type="spellStart"/>
      <w:r>
        <w:rPr>
          <w:rFonts w:eastAsia="Calibri"/>
          <w:sz w:val="28"/>
          <w:szCs w:val="28"/>
          <w:lang w:val="uk-UA" w:eastAsia="en-US"/>
        </w:rPr>
        <w:t>Lytvynchuk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I. </w:t>
      </w:r>
      <w:proofErr w:type="spellStart"/>
      <w:r>
        <w:rPr>
          <w:rFonts w:eastAsia="Calibri"/>
          <w:sz w:val="28"/>
          <w:szCs w:val="28"/>
          <w:lang w:val="uk-UA" w:eastAsia="en-US"/>
        </w:rPr>
        <w:t>Financial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management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insurance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companies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Review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Economics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and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Finance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2022. 20(1), </w:t>
      </w:r>
      <w:proofErr w:type="spellStart"/>
      <w:r>
        <w:rPr>
          <w:rFonts w:eastAsia="Calibri"/>
          <w:sz w:val="28"/>
          <w:szCs w:val="28"/>
          <w:lang w:val="uk-UA" w:eastAsia="en-US"/>
        </w:rPr>
        <w:t>pp</w:t>
      </w:r>
      <w:proofErr w:type="spellEnd"/>
      <w:r>
        <w:rPr>
          <w:rFonts w:eastAsia="Calibri"/>
          <w:sz w:val="28"/>
          <w:szCs w:val="28"/>
          <w:lang w:val="uk-UA" w:eastAsia="en-US"/>
        </w:rPr>
        <w:t>. 190-195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4. Ситник І., Пугачов М., Пугачов В., </w:t>
      </w:r>
      <w:proofErr w:type="spellStart"/>
      <w:r>
        <w:rPr>
          <w:rFonts w:eastAsia="Calibri"/>
          <w:sz w:val="28"/>
          <w:szCs w:val="28"/>
          <w:lang w:val="uk-UA" w:eastAsia="en-US"/>
        </w:rPr>
        <w:t>Кудренко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Н., Довгалюк В., Ситник Б. (2023). </w:t>
      </w:r>
      <w:proofErr w:type="spellStart"/>
      <w:r>
        <w:rPr>
          <w:rFonts w:eastAsia="Calibri"/>
          <w:sz w:val="28"/>
          <w:szCs w:val="28"/>
          <w:lang w:val="uk-UA" w:eastAsia="en-US"/>
        </w:rPr>
        <w:t>Features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functioning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the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payment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system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Ukraine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Financial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and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Credit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Activity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Problems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Theory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and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Practice</w:t>
      </w:r>
      <w:proofErr w:type="spellEnd"/>
      <w:r>
        <w:rPr>
          <w:rFonts w:eastAsia="Calibri"/>
          <w:sz w:val="28"/>
          <w:szCs w:val="28"/>
          <w:lang w:val="uk-UA" w:eastAsia="en-US"/>
        </w:rPr>
        <w:t>, 1(48), 42–63.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5. </w:t>
      </w:r>
      <w:proofErr w:type="spellStart"/>
      <w:r>
        <w:rPr>
          <w:rFonts w:eastAsia="Calibri"/>
          <w:sz w:val="28"/>
          <w:szCs w:val="28"/>
          <w:lang w:val="uk-UA" w:eastAsia="en-US"/>
        </w:rPr>
        <w:t>Vyhovska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N., </w:t>
      </w:r>
      <w:proofErr w:type="spellStart"/>
      <w:r>
        <w:rPr>
          <w:rFonts w:eastAsia="Calibri"/>
          <w:sz w:val="28"/>
          <w:szCs w:val="28"/>
          <w:lang w:val="uk-UA" w:eastAsia="en-US"/>
        </w:rPr>
        <w:t>Voronenko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I., </w:t>
      </w:r>
      <w:proofErr w:type="spellStart"/>
      <w:r>
        <w:rPr>
          <w:rFonts w:eastAsia="Calibri"/>
          <w:sz w:val="28"/>
          <w:szCs w:val="28"/>
          <w:lang w:val="uk-UA" w:eastAsia="en-US"/>
        </w:rPr>
        <w:t>Konovalenko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A., </w:t>
      </w:r>
      <w:proofErr w:type="spellStart"/>
      <w:r>
        <w:rPr>
          <w:rFonts w:eastAsia="Calibri"/>
          <w:sz w:val="28"/>
          <w:szCs w:val="28"/>
          <w:lang w:val="uk-UA" w:eastAsia="en-US"/>
        </w:rPr>
        <w:t>Dovgaliuk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V., </w:t>
      </w:r>
      <w:proofErr w:type="spellStart"/>
      <w:r>
        <w:rPr>
          <w:rFonts w:eastAsia="Calibri"/>
          <w:sz w:val="28"/>
          <w:szCs w:val="28"/>
          <w:lang w:val="uk-UA" w:eastAsia="en-US"/>
        </w:rPr>
        <w:t>Lytvynchuk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I. </w:t>
      </w:r>
      <w:proofErr w:type="spellStart"/>
      <w:r>
        <w:rPr>
          <w:rFonts w:eastAsia="Calibri"/>
          <w:sz w:val="28"/>
          <w:szCs w:val="28"/>
          <w:lang w:val="uk-UA" w:eastAsia="en-US"/>
        </w:rPr>
        <w:t>Cyber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Security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the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System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Electronic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Payment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the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National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Bank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of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Ukraine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val="uk-UA" w:eastAsia="en-US"/>
        </w:rPr>
        <w:t>Economic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Affairs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val="uk-UA" w:eastAsia="en-US"/>
        </w:rPr>
        <w:t>New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uk-UA" w:eastAsia="en-US"/>
        </w:rPr>
        <w:t>Delhi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). 2023. </w:t>
      </w:r>
      <w:proofErr w:type="spellStart"/>
      <w:r>
        <w:rPr>
          <w:rFonts w:eastAsia="Calibri"/>
          <w:sz w:val="28"/>
          <w:szCs w:val="28"/>
          <w:lang w:val="uk-UA" w:eastAsia="en-US"/>
        </w:rPr>
        <w:t>Volume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68, </w:t>
      </w:r>
      <w:proofErr w:type="spellStart"/>
      <w:r>
        <w:rPr>
          <w:rFonts w:eastAsia="Calibri"/>
          <w:sz w:val="28"/>
          <w:szCs w:val="28"/>
          <w:lang w:val="uk-UA" w:eastAsia="en-US"/>
        </w:rPr>
        <w:t>Pр</w:t>
      </w:r>
      <w:proofErr w:type="spellEnd"/>
      <w:r>
        <w:rPr>
          <w:rFonts w:eastAsia="Calibri"/>
          <w:sz w:val="28"/>
          <w:szCs w:val="28"/>
          <w:lang w:val="uk-UA" w:eastAsia="en-US"/>
        </w:rPr>
        <w:t>. 881 – 886.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6. Александрова М.М., Довгалюк В.В., </w:t>
      </w:r>
      <w:proofErr w:type="spellStart"/>
      <w:r>
        <w:rPr>
          <w:rFonts w:eastAsia="Calibri"/>
          <w:sz w:val="28"/>
          <w:szCs w:val="28"/>
          <w:lang w:val="uk-UA" w:eastAsia="en-US"/>
        </w:rPr>
        <w:t>Фурсов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К.Ю. Боргова безпека як індикатор розвитку фінансового ринку України. Інфраструктура ринку. 2021. № 57. URL: </w:t>
      </w:r>
      <w:hyperlink r:id="rId7" w:history="1">
        <w:r>
          <w:rPr>
            <w:rStyle w:val="a7"/>
            <w:rFonts w:eastAsia="Calibri"/>
            <w:sz w:val="28"/>
            <w:szCs w:val="28"/>
            <w:lang w:val="uk-UA" w:eastAsia="en-US"/>
          </w:rPr>
          <w:t>http://www.market-infr.od.ua/journals/2021/57_2021/19.pdf</w:t>
        </w:r>
      </w:hyperlink>
      <w:hyperlink w:history="1"/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7. Виговська Н.Г., </w:t>
      </w:r>
      <w:proofErr w:type="spellStart"/>
      <w:r>
        <w:rPr>
          <w:rFonts w:eastAsia="Calibri"/>
          <w:sz w:val="28"/>
          <w:szCs w:val="28"/>
          <w:lang w:val="uk-UA" w:eastAsia="en-US"/>
        </w:rPr>
        <w:t>Дячек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С.М., Довгалюк В.В. Стан та перспективи розвитку вітчизняного ринку похідних фінансових інструментів. Ефективна економіка. 2023. №5. URL: https://www.nayka.com.ua/index.php/ee/article/view/1560/1570 </w:t>
      </w:r>
      <w:bookmarkEnd w:id="1"/>
    </w:p>
    <w:p w:rsidR="00A15AE0" w:rsidRPr="00B50030" w:rsidRDefault="00A15AE0" w:rsidP="00A15AE0">
      <w:pPr>
        <w:autoSpaceDE w:val="0"/>
        <w:spacing w:line="233" w:lineRule="auto"/>
        <w:ind w:firstLine="567"/>
        <w:rPr>
          <w:rFonts w:eastAsia="Calibri"/>
          <w:lang w:val="uk-UA" w:eastAsia="en-US"/>
        </w:rPr>
      </w:pPr>
    </w:p>
    <w:p w:rsidR="00A15AE0" w:rsidRPr="00B50030" w:rsidRDefault="00A15AE0" w:rsidP="00A15AE0">
      <w:pPr>
        <w:autoSpaceDE w:val="0"/>
        <w:spacing w:line="233" w:lineRule="auto"/>
        <w:ind w:firstLine="567"/>
        <w:rPr>
          <w:rFonts w:eastAsia="Calibri"/>
          <w:lang w:val="uk-UA" w:eastAsia="en-US"/>
        </w:rPr>
      </w:pPr>
    </w:p>
    <w:p w:rsidR="00A15AE0" w:rsidRDefault="00A15AE0">
      <w:pPr>
        <w:spacing w:after="160" w:line="259" w:lineRule="auto"/>
        <w:rPr>
          <w:b/>
          <w:sz w:val="28"/>
          <w:szCs w:val="28"/>
          <w:lang w:val="uk-UA" w:eastAsia="uk-UA"/>
        </w:rPr>
      </w:pPr>
      <w:bookmarkStart w:id="2" w:name="_Hlk176180092"/>
      <w:r>
        <w:rPr>
          <w:b/>
          <w:sz w:val="28"/>
          <w:szCs w:val="28"/>
          <w:lang w:val="uk-UA" w:eastAsia="uk-UA"/>
        </w:rPr>
        <w:br w:type="page"/>
      </w:r>
    </w:p>
    <w:p w:rsidR="00A15AE0" w:rsidRDefault="00A15AE0" w:rsidP="00A15AE0">
      <w:pPr>
        <w:autoSpaceDE w:val="0"/>
        <w:spacing w:line="233" w:lineRule="auto"/>
        <w:jc w:val="center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lastRenderedPageBreak/>
        <w:t>Інформаційні ресурси в Інтернеті</w:t>
      </w:r>
    </w:p>
    <w:p w:rsidR="00A15AE0" w:rsidRPr="00B50030" w:rsidRDefault="00A15AE0" w:rsidP="00A15AE0">
      <w:pPr>
        <w:autoSpaceDE w:val="0"/>
        <w:spacing w:line="233" w:lineRule="auto"/>
        <w:ind w:firstLine="567"/>
        <w:rPr>
          <w:lang w:val="uk-UA" w:eastAsia="uk-UA"/>
        </w:rPr>
      </w:pP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 Освітній портал Державного університету «Житомирська </w:t>
      </w:r>
      <w:bookmarkStart w:id="3" w:name="_GoBack"/>
      <w:r>
        <w:rPr>
          <w:sz w:val="28"/>
          <w:szCs w:val="28"/>
          <w:lang w:val="uk-UA" w:eastAsia="uk-UA"/>
        </w:rPr>
        <w:t xml:space="preserve">політехніка». URL: </w:t>
      </w:r>
      <w:hyperlink r:id="rId8" w:history="1">
        <w:r>
          <w:rPr>
            <w:rStyle w:val="a7"/>
            <w:sz w:val="28"/>
            <w:szCs w:val="28"/>
            <w:lang w:val="uk-UA" w:eastAsia="uk-UA"/>
          </w:rPr>
          <w:t>http://learn.ztu.edu.ua</w:t>
        </w:r>
      </w:hyperlink>
      <w:hyperlink w:history="1"/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Сайт бібліотеки Державного університету «Житомирська політехніка». URL: http://lib.ztu.edu.ua.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3. Вітчизняні фахові періодичні видання у сфері фінансів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https://journal.bank.gov.ua/ua – Вісник Національного банку України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http://fpnpu.cibs.ubs.edu.ua – Міжнародний науково-практичний журнал «Фінансовий простір»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https://finukr.com.ua/index.php/journal – Фінанси України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https://afj.org.ua/ – Облік і фінанси.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 Офіційні сайти: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Верховної ради України (https://www.rada.gov.ua/)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Кабінету Міністрів України (www.kmu.gov.ua)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Міністерства фінансів України (https://www.mof.gov.ua/uk/ 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Національної бібліотеки України ім. В.І. Вернадського (www.nbuv.gov.ua)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Державна казначейська служба України (www.treasury.gov.ua/)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Національна комісія з цінних паперів та фондового ринку (https://www.nssmc.gov.ua/)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Національний банк України (https://bank.gov.ua/)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Пенсійний фонд України (https://www.pfu.gov.ua/) </w:t>
      </w:r>
    </w:p>
    <w:p w:rsidR="00A15AE0" w:rsidRDefault="00A15AE0" w:rsidP="00A15AE0">
      <w:pPr>
        <w:autoSpaceDE w:val="0"/>
        <w:spacing w:line="233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Українська асоціація інвестиційного бізнесу (https://www.uaib.</w:t>
      </w:r>
      <w:bookmarkEnd w:id="3"/>
      <w:r>
        <w:rPr>
          <w:sz w:val="28"/>
          <w:szCs w:val="28"/>
          <w:lang w:val="uk-UA" w:eastAsia="uk-UA"/>
        </w:rPr>
        <w:t xml:space="preserve">com.ua/) </w:t>
      </w:r>
    </w:p>
    <w:p w:rsidR="00A15AE0" w:rsidRPr="007D423B" w:rsidRDefault="00A15AE0" w:rsidP="00A15AE0">
      <w:pPr>
        <w:autoSpaceDE w:val="0"/>
        <w:spacing w:line="233" w:lineRule="auto"/>
        <w:ind w:firstLine="567"/>
        <w:rPr>
          <w:lang w:val="uk-UA"/>
        </w:rPr>
      </w:pPr>
      <w:r>
        <w:rPr>
          <w:sz w:val="28"/>
          <w:szCs w:val="28"/>
          <w:lang w:val="uk-UA" w:eastAsia="uk-UA"/>
        </w:rPr>
        <w:t>Європейська організація з цінних паперів та ринків (ESMA) (https://www.esma.europa.eu/)</w:t>
      </w:r>
      <w:bookmarkEnd w:id="2"/>
    </w:p>
    <w:p w:rsidR="009654C7" w:rsidRPr="00A15AE0" w:rsidRDefault="009654C7" w:rsidP="00A15AE0"/>
    <w:sectPr w:rsidR="009654C7" w:rsidRPr="00A15AE0" w:rsidSect="00C949B5">
      <w:headerReference w:type="even" r:id="rId9"/>
      <w:headerReference w:type="default" r:id="rId10"/>
      <w:headerReference w:type="first" r:id="rId11"/>
      <w:pgSz w:w="11906" w:h="16838" w:code="9"/>
      <w:pgMar w:top="851" w:right="73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B2" w:rsidRDefault="00ED6FB2" w:rsidP="00C949B5">
      <w:r>
        <w:separator/>
      </w:r>
    </w:p>
  </w:endnote>
  <w:endnote w:type="continuationSeparator" w:id="0">
    <w:p w:rsidR="00ED6FB2" w:rsidRDefault="00ED6FB2" w:rsidP="00C9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B2" w:rsidRDefault="00ED6FB2" w:rsidP="00C949B5">
      <w:r>
        <w:separator/>
      </w:r>
    </w:p>
  </w:footnote>
  <w:footnote w:type="continuationSeparator" w:id="0">
    <w:p w:rsidR="00ED6FB2" w:rsidRDefault="00ED6FB2" w:rsidP="00C9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70" w:rsidRDefault="007363A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364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970" w:rsidRDefault="00ED6F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9"/>
      <w:gridCol w:w="5754"/>
      <w:gridCol w:w="2131"/>
    </w:tblGrid>
    <w:tr w:rsidR="00D25A5A" w:rsidRPr="00F728EF" w:rsidTr="00D25A5A">
      <w:trPr>
        <w:cantSplit/>
        <w:trHeight w:val="567"/>
      </w:trPr>
      <w:tc>
        <w:tcPr>
          <w:tcW w:w="86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021" w:type="pct"/>
          <w:tcBorders>
            <w:left w:val="single" w:sz="4" w:space="0" w:color="auto"/>
          </w:tcBorders>
          <w:vAlign w:val="center"/>
        </w:tcPr>
        <w:p w:rsidR="00D25A5A" w:rsidRPr="00755EEB" w:rsidRDefault="00D25A5A" w:rsidP="00AA5252">
          <w:pPr>
            <w:pStyle w:val="a9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25A5A" w:rsidRPr="00755EEB" w:rsidRDefault="00D25A5A" w:rsidP="00AA5252">
          <w:pPr>
            <w:pStyle w:val="a9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25A5A" w:rsidRPr="00F728EF" w:rsidRDefault="00D25A5A" w:rsidP="00AA5252">
          <w:pPr>
            <w:pStyle w:val="a9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119" w:type="pct"/>
          <w:vAlign w:val="center"/>
        </w:tcPr>
        <w:p w:rsidR="00C873FF" w:rsidRPr="00AA2E81" w:rsidRDefault="00D25A5A" w:rsidP="00C873F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</w:rPr>
            <w:t>Ф-</w:t>
          </w:r>
          <w:r>
            <w:rPr>
              <w:b/>
              <w:sz w:val="16"/>
              <w:szCs w:val="16"/>
            </w:rPr>
            <w:t>19.05</w:t>
          </w:r>
          <w:r w:rsidRPr="00F728EF">
            <w:rPr>
              <w:b/>
              <w:sz w:val="16"/>
              <w:szCs w:val="16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</w:rPr>
            <w:t>.0</w:t>
          </w:r>
          <w:r>
            <w:rPr>
              <w:b/>
              <w:sz w:val="16"/>
              <w:szCs w:val="16"/>
            </w:rPr>
            <w:t>1/072.00.1/Б/</w:t>
          </w:r>
          <w:r>
            <w:rPr>
              <w:b/>
              <w:sz w:val="16"/>
              <w:szCs w:val="16"/>
              <w:lang w:val="uk-UA"/>
            </w:rPr>
            <w:t>ОК-19</w:t>
          </w:r>
          <w:r>
            <w:rPr>
              <w:b/>
              <w:sz w:val="16"/>
              <w:szCs w:val="16"/>
            </w:rPr>
            <w:t>.-</w:t>
          </w:r>
          <w:r w:rsidRPr="00F728EF">
            <w:rPr>
              <w:b/>
              <w:sz w:val="16"/>
              <w:szCs w:val="16"/>
            </w:rPr>
            <w:t>20</w:t>
          </w:r>
          <w:r w:rsidR="00C873FF">
            <w:rPr>
              <w:b/>
              <w:sz w:val="16"/>
              <w:szCs w:val="16"/>
            </w:rPr>
            <w:t>2</w:t>
          </w:r>
          <w:r w:rsidR="00AA2E81">
            <w:rPr>
              <w:b/>
              <w:sz w:val="16"/>
              <w:szCs w:val="16"/>
              <w:lang w:val="uk-UA"/>
            </w:rPr>
            <w:t>4</w:t>
          </w:r>
        </w:p>
      </w:tc>
    </w:tr>
    <w:tr w:rsidR="00D25A5A" w:rsidRPr="00F728EF" w:rsidTr="00D25A5A">
      <w:trPr>
        <w:cantSplit/>
        <w:trHeight w:val="227"/>
      </w:trPr>
      <w:tc>
        <w:tcPr>
          <w:tcW w:w="860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021" w:type="pct"/>
          <w:tcBorders>
            <w:lef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119" w:type="pct"/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A15AE0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="007363A3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D25A5A" w:rsidRDefault="00D25A5A" w:rsidP="00D25A5A">
    <w:pPr>
      <w:pStyle w:val="a9"/>
    </w:pPr>
  </w:p>
  <w:p w:rsidR="00FA4970" w:rsidRPr="00D25A5A" w:rsidRDefault="00ED6FB2" w:rsidP="00D25A5A">
    <w:pPr>
      <w:pStyle w:val="a9"/>
      <w:rPr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8"/>
      <w:gridCol w:w="5753"/>
      <w:gridCol w:w="2347"/>
    </w:tblGrid>
    <w:tr w:rsidR="00D25A5A" w:rsidRPr="00F728EF" w:rsidTr="00AA5252">
      <w:trPr>
        <w:cantSplit/>
        <w:trHeight w:val="567"/>
      </w:trPr>
      <w:tc>
        <w:tcPr>
          <w:tcW w:w="84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D25A5A" w:rsidRPr="00755EEB" w:rsidRDefault="00D25A5A" w:rsidP="00AA5252">
          <w:pPr>
            <w:pStyle w:val="a9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D25A5A" w:rsidRPr="00755EEB" w:rsidRDefault="00D25A5A" w:rsidP="00AA5252">
          <w:pPr>
            <w:pStyle w:val="a9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D25A5A" w:rsidRPr="00F728EF" w:rsidRDefault="00D25A5A" w:rsidP="00AA5252">
          <w:pPr>
            <w:pStyle w:val="a9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205" w:type="pct"/>
          <w:vAlign w:val="center"/>
        </w:tcPr>
        <w:p w:rsidR="00A15AE0" w:rsidRDefault="00A15AE0" w:rsidP="00A15AE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Ф-19.05-05.01</w:t>
          </w:r>
        </w:p>
        <w:p w:rsidR="00A15AE0" w:rsidRDefault="00A15AE0" w:rsidP="00A15AE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/072.00.0</w:t>
          </w:r>
          <w:r>
            <w:rPr>
              <w:b/>
              <w:sz w:val="16"/>
              <w:szCs w:val="16"/>
            </w:rPr>
            <w:t>2</w:t>
          </w:r>
          <w:r w:rsidRPr="00AC02EF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Б</w:t>
          </w:r>
        </w:p>
        <w:p w:rsidR="00D25A5A" w:rsidRPr="000C2D40" w:rsidRDefault="00A15AE0" w:rsidP="00A15AE0">
          <w:pPr>
            <w:tabs>
              <w:tab w:val="left" w:pos="34"/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en-US"/>
            </w:rPr>
          </w:pPr>
          <w:r w:rsidRPr="00AC02EF">
            <w:rPr>
              <w:b/>
              <w:sz w:val="16"/>
              <w:szCs w:val="16"/>
            </w:rPr>
            <w:t>/0К</w:t>
          </w:r>
          <w:r>
            <w:rPr>
              <w:b/>
              <w:sz w:val="16"/>
              <w:szCs w:val="16"/>
              <w:lang w:val="uk-UA"/>
            </w:rPr>
            <w:t>26</w:t>
          </w:r>
          <w:r w:rsidRPr="00AC02EF">
            <w:rPr>
              <w:b/>
              <w:sz w:val="16"/>
              <w:szCs w:val="16"/>
            </w:rPr>
            <w:t>-</w:t>
          </w:r>
          <w:r>
            <w:rPr>
              <w:b/>
              <w:sz w:val="16"/>
              <w:szCs w:val="16"/>
            </w:rPr>
            <w:t>2</w:t>
          </w:r>
          <w:r>
            <w:rPr>
              <w:b/>
              <w:sz w:val="16"/>
              <w:szCs w:val="16"/>
              <w:lang w:val="en-US"/>
            </w:rPr>
            <w:t>-</w:t>
          </w:r>
          <w:r w:rsidRPr="00AC02EF">
            <w:rPr>
              <w:b/>
              <w:sz w:val="16"/>
              <w:szCs w:val="16"/>
            </w:rPr>
            <w:t>202</w:t>
          </w:r>
          <w:r>
            <w:rPr>
              <w:b/>
              <w:sz w:val="16"/>
              <w:szCs w:val="16"/>
            </w:rPr>
            <w:t>5</w:t>
          </w:r>
        </w:p>
      </w:tc>
    </w:tr>
    <w:tr w:rsidR="00D25A5A" w:rsidRPr="00F728EF" w:rsidTr="00AA5252">
      <w:trPr>
        <w:cantSplit/>
        <w:trHeight w:val="227"/>
      </w:trPr>
      <w:tc>
        <w:tcPr>
          <w:tcW w:w="84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2953" w:type="pct"/>
          <w:tcBorders>
            <w:left w:val="single" w:sz="4" w:space="0" w:color="auto"/>
          </w:tcBorders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205" w:type="pct"/>
          <w:vAlign w:val="center"/>
        </w:tcPr>
        <w:p w:rsidR="00D25A5A" w:rsidRPr="00F728EF" w:rsidRDefault="00D25A5A" w:rsidP="00AA5252">
          <w:pPr>
            <w:pStyle w:val="a9"/>
            <w:jc w:val="center"/>
            <w:rPr>
              <w:i/>
              <w:sz w:val="16"/>
              <w:szCs w:val="16"/>
              <w:lang w:val="uk-UA" w:eastAsia="uk-UA"/>
            </w:rPr>
          </w:pPr>
        </w:p>
      </w:tc>
    </w:tr>
  </w:tbl>
  <w:p w:rsidR="00D25A5A" w:rsidRDefault="00D25A5A" w:rsidP="00D25A5A">
    <w:pPr>
      <w:pStyle w:val="a9"/>
    </w:pPr>
  </w:p>
  <w:p w:rsidR="00AE75BB" w:rsidRPr="00AE75BB" w:rsidRDefault="00ED6FB2">
    <w:pPr>
      <w:pStyle w:val="a9"/>
      <w:rPr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97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EF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4BD"/>
    <w:multiLevelType w:val="hybridMultilevel"/>
    <w:tmpl w:val="9DA8DB7C"/>
    <w:lvl w:ilvl="0" w:tplc="BA9CA21A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185E"/>
    <w:multiLevelType w:val="hybridMultilevel"/>
    <w:tmpl w:val="FA8086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CD"/>
    <w:rsid w:val="00004DB0"/>
    <w:rsid w:val="000C2D40"/>
    <w:rsid w:val="007157CD"/>
    <w:rsid w:val="007363A3"/>
    <w:rsid w:val="008021E4"/>
    <w:rsid w:val="008B4196"/>
    <w:rsid w:val="008E2734"/>
    <w:rsid w:val="009654C7"/>
    <w:rsid w:val="009F65F7"/>
    <w:rsid w:val="00A15AE0"/>
    <w:rsid w:val="00AA2E81"/>
    <w:rsid w:val="00AF218D"/>
    <w:rsid w:val="00C873FF"/>
    <w:rsid w:val="00C949B5"/>
    <w:rsid w:val="00D25A5A"/>
    <w:rsid w:val="00ED6FB2"/>
    <w:rsid w:val="00F65627"/>
    <w:rsid w:val="00FA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D10E8"/>
  <w15:docId w15:val="{F8392486-CCE2-438C-A6D2-D92AD3E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теми,Название схем"/>
    <w:basedOn w:val="a"/>
    <w:link w:val="a4"/>
    <w:qFormat/>
    <w:rsid w:val="009F65F7"/>
    <w:pPr>
      <w:spacing w:line="288" w:lineRule="auto"/>
      <w:ind w:firstLine="567"/>
      <w:jc w:val="center"/>
    </w:pPr>
    <w:rPr>
      <w:b/>
      <w:bCs/>
      <w:sz w:val="26"/>
      <w:lang w:val="uk-UA"/>
    </w:rPr>
  </w:style>
  <w:style w:type="character" w:customStyle="1" w:styleId="a4">
    <w:name w:val="Назва Знак"/>
    <w:aliases w:val="Назватеми Знак,Название схем Знак"/>
    <w:basedOn w:val="a0"/>
    <w:link w:val="a3"/>
    <w:rsid w:val="009F65F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9F65F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9F6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9F65F7"/>
    <w:rPr>
      <w:color w:val="0000FF"/>
      <w:u w:val="single"/>
    </w:rPr>
  </w:style>
  <w:style w:type="character" w:customStyle="1" w:styleId="apple-converted-space">
    <w:name w:val="apple-converted-space"/>
    <w:rsid w:val="009F65F7"/>
  </w:style>
  <w:style w:type="character" w:styleId="a8">
    <w:name w:val="page number"/>
    <w:basedOn w:val="a0"/>
    <w:rsid w:val="00FA364D"/>
  </w:style>
  <w:style w:type="paragraph" w:styleId="a9">
    <w:name w:val="header"/>
    <w:basedOn w:val="a"/>
    <w:link w:val="aa"/>
    <w:uiPriority w:val="99"/>
    <w:rsid w:val="00FA36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ій колонтитул Знак"/>
    <w:basedOn w:val="a0"/>
    <w:link w:val="a9"/>
    <w:uiPriority w:val="99"/>
    <w:rsid w:val="00FA36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25A5A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D25A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unhideWhenUsed/>
    <w:rsid w:val="00C873FF"/>
    <w:rPr>
      <w:rFonts w:ascii="Courier New" w:hAnsi="Courier New"/>
      <w:sz w:val="20"/>
      <w:szCs w:val="20"/>
      <w:lang w:val="uk-UA"/>
    </w:rPr>
  </w:style>
  <w:style w:type="character" w:customStyle="1" w:styleId="ae">
    <w:name w:val="Текст Знак"/>
    <w:basedOn w:val="a0"/>
    <w:link w:val="ad"/>
    <w:rsid w:val="00C873F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ket-infr.od.ua/journals/2021/57_2021/1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Довгалюк Віта Валентинівна</dc:creator>
  <cp:keywords/>
  <dc:description/>
  <cp:lastModifiedBy>Довгалюк Віта Валентинівна</cp:lastModifiedBy>
  <cp:revision>4</cp:revision>
  <dcterms:created xsi:type="dcterms:W3CDTF">2024-12-26T09:55:00Z</dcterms:created>
  <dcterms:modified xsi:type="dcterms:W3CDTF">2026-02-27T09:28:00Z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59ae4ef23e4798b41a99904bcb296802b1d71698415c10a613645052a4ef7edb</vt:lpwstr>
  </property>
</Properties>
</file>