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40" w:rsidRDefault="000C2D40" w:rsidP="000C2D40">
      <w:pPr>
        <w:autoSpaceDE w:val="0"/>
        <w:jc w:val="center"/>
        <w:rPr>
          <w:b/>
          <w:i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Рекомендована література</w:t>
      </w:r>
    </w:p>
    <w:p w:rsidR="000C2D40" w:rsidRDefault="000C2D40" w:rsidP="000C2D40">
      <w:pPr>
        <w:autoSpaceDE w:val="0"/>
        <w:rPr>
          <w:b/>
          <w:i/>
          <w:sz w:val="28"/>
          <w:szCs w:val="28"/>
          <w:lang w:val="uk-UA" w:eastAsia="uk-UA"/>
        </w:rPr>
      </w:pPr>
    </w:p>
    <w:p w:rsidR="000C2D40" w:rsidRPr="00257755" w:rsidRDefault="000C2D40" w:rsidP="000C2D40">
      <w:pPr>
        <w:autoSpaceDE w:val="0"/>
        <w:jc w:val="center"/>
        <w:rPr>
          <w:sz w:val="28"/>
          <w:szCs w:val="28"/>
          <w:lang w:val="uk-UA" w:eastAsia="uk-UA"/>
        </w:rPr>
      </w:pPr>
      <w:bookmarkStart w:id="0" w:name="_Hlk176179978"/>
      <w:r w:rsidRPr="00257755">
        <w:rPr>
          <w:b/>
          <w:i/>
          <w:sz w:val="28"/>
          <w:szCs w:val="28"/>
          <w:lang w:val="uk-UA" w:eastAsia="uk-UA"/>
        </w:rPr>
        <w:t>Основна література</w:t>
      </w:r>
    </w:p>
    <w:bookmarkEnd w:id="0"/>
    <w:p w:rsidR="000C2D40" w:rsidRPr="000C2D40" w:rsidRDefault="000C2D40" w:rsidP="000C2D40">
      <w:pPr>
        <w:autoSpaceDE w:val="0"/>
        <w:ind w:firstLine="567"/>
        <w:jc w:val="both"/>
        <w:rPr>
          <w:rStyle w:val="a7"/>
          <w:color w:val="000000"/>
          <w:spacing w:val="-6"/>
          <w:sz w:val="28"/>
          <w:szCs w:val="28"/>
          <w:u w:val="none"/>
          <w:lang w:val="uk-UA" w:eastAsia="uk-UA"/>
        </w:rPr>
      </w:pPr>
      <w:r w:rsidRPr="00257755">
        <w:rPr>
          <w:sz w:val="28"/>
          <w:szCs w:val="28"/>
          <w:lang w:val="uk-UA" w:eastAsia="uk-UA"/>
        </w:rPr>
        <w:t xml:space="preserve">1. </w:t>
      </w:r>
      <w:r w:rsidRPr="000C2D40">
        <w:rPr>
          <w:spacing w:val="-6"/>
          <w:sz w:val="28"/>
          <w:szCs w:val="28"/>
          <w:lang w:val="uk-UA" w:eastAsia="uk-UA"/>
        </w:rPr>
        <w:t xml:space="preserve">Податковий кодекс України. </w:t>
      </w:r>
      <w:r w:rsidRPr="000C2D40">
        <w:rPr>
          <w:spacing w:val="-6"/>
          <w:sz w:val="28"/>
          <w:szCs w:val="28"/>
          <w:lang w:val="pl-PL" w:eastAsia="uk-UA"/>
        </w:rPr>
        <w:t>URL</w:t>
      </w:r>
      <w:r w:rsidRPr="000C2D40">
        <w:rPr>
          <w:spacing w:val="-6"/>
          <w:sz w:val="28"/>
          <w:szCs w:val="28"/>
          <w:lang w:val="uk-UA" w:eastAsia="uk-UA"/>
        </w:rPr>
        <w:t xml:space="preserve">: </w:t>
      </w:r>
      <w:hyperlink r:id="rId7" w:history="1">
        <w:r w:rsidRPr="000C2D40">
          <w:rPr>
            <w:rStyle w:val="a7"/>
            <w:color w:val="000000"/>
            <w:spacing w:val="-6"/>
            <w:sz w:val="28"/>
            <w:szCs w:val="28"/>
            <w:u w:val="none"/>
            <w:lang w:val="uk-UA" w:eastAsia="uk-UA"/>
          </w:rPr>
          <w:t>https://zakon.rada.gov.ua/laws/-show/2755-17</w:t>
        </w:r>
      </w:hyperlink>
      <w:hyperlink w:history="1"/>
    </w:p>
    <w:p w:rsidR="000C2D40" w:rsidRPr="000C2D40" w:rsidRDefault="000C2D40" w:rsidP="000C2D40">
      <w:pPr>
        <w:autoSpaceDE w:val="0"/>
        <w:ind w:firstLine="567"/>
        <w:jc w:val="both"/>
        <w:rPr>
          <w:rStyle w:val="a7"/>
          <w:color w:val="000000"/>
          <w:spacing w:val="-6"/>
          <w:sz w:val="28"/>
          <w:szCs w:val="28"/>
          <w:u w:val="none"/>
          <w:lang w:val="uk-UA" w:eastAsia="uk-UA"/>
        </w:rPr>
      </w:pPr>
      <w:r w:rsidRPr="000C2D40">
        <w:rPr>
          <w:rStyle w:val="a7"/>
          <w:color w:val="000000"/>
          <w:spacing w:val="-6"/>
          <w:sz w:val="28"/>
          <w:szCs w:val="28"/>
          <w:u w:val="none"/>
          <w:lang w:val="uk-UA" w:eastAsia="uk-UA"/>
        </w:rPr>
        <w:t xml:space="preserve">2. Митний кодекс України. </w:t>
      </w:r>
      <w:r w:rsidRPr="000C2D40">
        <w:rPr>
          <w:rStyle w:val="a7"/>
          <w:color w:val="000000"/>
          <w:spacing w:val="-6"/>
          <w:sz w:val="28"/>
          <w:szCs w:val="28"/>
          <w:u w:val="none"/>
          <w:lang w:val="pl-PL" w:eastAsia="uk-UA"/>
        </w:rPr>
        <w:t>URL</w:t>
      </w:r>
      <w:r w:rsidRPr="000C2D40">
        <w:rPr>
          <w:rStyle w:val="a7"/>
          <w:color w:val="000000"/>
          <w:spacing w:val="-6"/>
          <w:sz w:val="28"/>
          <w:szCs w:val="28"/>
          <w:u w:val="none"/>
          <w:lang w:val="uk-UA" w:eastAsia="uk-UA"/>
        </w:rPr>
        <w:t xml:space="preserve">: </w:t>
      </w:r>
      <w:hyperlink r:id="rId8" w:anchor="Text" w:history="1">
        <w:r w:rsidRPr="000C2D40">
          <w:rPr>
            <w:rStyle w:val="a7"/>
            <w:color w:val="000000"/>
            <w:spacing w:val="-6"/>
            <w:sz w:val="28"/>
            <w:szCs w:val="28"/>
            <w:u w:val="none"/>
            <w:lang w:val="uk-UA" w:eastAsia="uk-UA"/>
          </w:rPr>
          <w:t>https://zakon.rada.gov.ua/laws/show/4495-17#Text</w:t>
        </w:r>
      </w:hyperlink>
      <w:hyperlink w:history="1"/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rStyle w:val="a7"/>
          <w:color w:val="000000"/>
          <w:spacing w:val="-6"/>
          <w:sz w:val="28"/>
          <w:szCs w:val="28"/>
          <w:u w:val="none"/>
          <w:lang w:val="uk-UA" w:eastAsia="uk-UA"/>
        </w:rPr>
        <w:t>3. Довгалюк В.В. Методичні рекомендації для проведення практичних занять з навчальної дисципліни «Податкова система» для здобувачів вищої освіти освітнього ступеня «бакалавр». Житомир: Державний університет «Житомирська політехніка», 2021. – 32 с.</w:t>
      </w:r>
    </w:p>
    <w:p w:rsidR="000C2D40" w:rsidRPr="000C2D40" w:rsidRDefault="000C2D40" w:rsidP="000C2D40">
      <w:pPr>
        <w:autoSpaceDE w:val="0"/>
        <w:ind w:firstLine="567"/>
        <w:jc w:val="both"/>
        <w:rPr>
          <w:b/>
          <w:i/>
          <w:sz w:val="28"/>
          <w:szCs w:val="28"/>
          <w:lang w:val="uk-UA" w:eastAsia="uk-UA"/>
        </w:rPr>
      </w:pPr>
      <w:bookmarkStart w:id="1" w:name="_Hlk176180010"/>
    </w:p>
    <w:p w:rsidR="000C2D40" w:rsidRPr="000C2D40" w:rsidRDefault="000C2D40" w:rsidP="000C2D40">
      <w:pPr>
        <w:autoSpaceDE w:val="0"/>
        <w:jc w:val="center"/>
        <w:rPr>
          <w:rFonts w:eastAsia="Calibri"/>
          <w:sz w:val="28"/>
          <w:szCs w:val="28"/>
          <w:lang w:val="uk-UA" w:eastAsia="en-US"/>
        </w:rPr>
      </w:pPr>
      <w:r w:rsidRPr="000C2D40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0C2D40" w:rsidRPr="000C2D40" w:rsidRDefault="000C2D40" w:rsidP="000C2D40">
      <w:pPr>
        <w:autoSpaceDE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C2D40">
        <w:rPr>
          <w:rFonts w:eastAsia="Calibri"/>
          <w:sz w:val="28"/>
          <w:szCs w:val="28"/>
          <w:lang w:val="uk-UA" w:eastAsia="en-US"/>
        </w:rPr>
        <w:t xml:space="preserve">1.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Vyhovska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N.H.,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Dovgaliuk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V.V.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et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al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Transformation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of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Financial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Relations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of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Business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Entities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in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the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Context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of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Globalization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Journal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of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Advanced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Research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in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Law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and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Economics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>, [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S.l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.], v. 9, n. 8, p. 2868-2884,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dec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>. 2018.</w:t>
      </w:r>
    </w:p>
    <w:p w:rsidR="000C2D40" w:rsidRPr="000C2D40" w:rsidRDefault="000C2D40" w:rsidP="000C2D40">
      <w:pPr>
        <w:autoSpaceDE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C2D40">
        <w:rPr>
          <w:rFonts w:eastAsia="Calibri"/>
          <w:sz w:val="28"/>
          <w:szCs w:val="28"/>
          <w:lang w:val="uk-UA" w:eastAsia="en-US"/>
        </w:rPr>
        <w:t>2. Александрова М., Довгалюк В. Перспективи розширення фіскального простору місцевого самоврядування. Економіка та суспільство. 2021. №28. URL: https://economyandsociety.in.ua/index.php/journal/article/view/522</w:t>
      </w:r>
    </w:p>
    <w:p w:rsidR="000C2D40" w:rsidRPr="000C2D40" w:rsidRDefault="000C2D40" w:rsidP="000C2D40">
      <w:pPr>
        <w:autoSpaceDE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C2D40">
        <w:rPr>
          <w:rFonts w:eastAsia="Calibri"/>
          <w:sz w:val="28"/>
          <w:szCs w:val="28"/>
          <w:lang w:val="uk-UA" w:eastAsia="en-US"/>
        </w:rPr>
        <w:t xml:space="preserve">3. Александрова М.М., Довгалюк В.В.,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Фурсов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К.Ю. Боргова безпека як індикатор розвитку фінансового ринку України. Інфраструктура ринку. 2021. №57. URL: http://www.market-infr.od.ua/uk/57-2021</w:t>
      </w:r>
    </w:p>
    <w:p w:rsidR="000C2D40" w:rsidRPr="000C2D40" w:rsidRDefault="000C2D40" w:rsidP="000C2D40">
      <w:pPr>
        <w:autoSpaceDE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C2D40">
        <w:rPr>
          <w:rFonts w:eastAsia="Calibri"/>
          <w:sz w:val="28"/>
          <w:szCs w:val="28"/>
          <w:lang w:val="uk-UA" w:eastAsia="en-US"/>
        </w:rPr>
        <w:t xml:space="preserve">4. Довгалюк В.В.,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Іванисько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Н.М. Сутність податкового контролю та особливості його реалізації. Розвиток інтегрованої звітності підприємств: міжнародна наукова конференція, 4-5 жовтня 2019 року. Житомир: «Житомирська політехніка», 2019.</w:t>
      </w:r>
    </w:p>
    <w:p w:rsidR="000C2D40" w:rsidRPr="000C2D40" w:rsidRDefault="000C2D40" w:rsidP="000C2D40">
      <w:pPr>
        <w:autoSpaceDE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C2D40">
        <w:rPr>
          <w:rFonts w:eastAsia="Calibri"/>
          <w:sz w:val="28"/>
          <w:szCs w:val="28"/>
          <w:lang w:val="uk-UA" w:eastAsia="en-US"/>
        </w:rPr>
        <w:t>5. Довгалюк В.В., Копаниця Є.О. Місце податкових надходжень в доходах місцевих бюджетів. Розвиток інтегрованої звітності підприємств: міжнародна наукова конференція, 4-5 жовтня 2019 року. Житомир: «Житомирська політехніка», 2019.</w:t>
      </w:r>
    </w:p>
    <w:p w:rsidR="000C2D40" w:rsidRPr="000C2D40" w:rsidRDefault="000C2D40" w:rsidP="000C2D40">
      <w:pPr>
        <w:autoSpaceDE w:val="0"/>
        <w:ind w:firstLine="567"/>
        <w:jc w:val="both"/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</w:pPr>
      <w:r w:rsidRPr="000C2D40">
        <w:rPr>
          <w:rFonts w:eastAsia="Calibri"/>
          <w:sz w:val="28"/>
          <w:szCs w:val="28"/>
          <w:lang w:val="uk-UA" w:eastAsia="en-US"/>
        </w:rPr>
        <w:t xml:space="preserve">6. Довгалюк В.В., </w:t>
      </w:r>
      <w:proofErr w:type="spellStart"/>
      <w:r w:rsidRPr="000C2D40">
        <w:rPr>
          <w:rFonts w:eastAsia="Calibri"/>
          <w:sz w:val="28"/>
          <w:szCs w:val="28"/>
          <w:lang w:val="uk-UA" w:eastAsia="en-US"/>
        </w:rPr>
        <w:t>Фещенко</w:t>
      </w:r>
      <w:proofErr w:type="spellEnd"/>
      <w:r w:rsidRPr="000C2D40">
        <w:rPr>
          <w:rFonts w:eastAsia="Calibri"/>
          <w:sz w:val="28"/>
          <w:szCs w:val="28"/>
          <w:lang w:val="uk-UA" w:eastAsia="en-US"/>
        </w:rPr>
        <w:t xml:space="preserve"> Я.М. Підходи здійснення податкового контролю в Україні. Всеукраїнська науково-практична конференція здобувачів вищої освіти і молодих учених присвячена дню науки,15-17 травня 2019 року. Житомир: «Житомирська політехніка», 2019.</w:t>
      </w:r>
    </w:p>
    <w:bookmarkEnd w:id="1"/>
    <w:p w:rsidR="000C2D40" w:rsidRPr="000C2D40" w:rsidRDefault="000C2D40" w:rsidP="000C2D40">
      <w:pPr>
        <w:autoSpaceDE w:val="0"/>
        <w:ind w:firstLine="567"/>
        <w:jc w:val="both"/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</w:pPr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7.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Свірко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С.,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Бутузов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В., Довгалюк В., Павлюк О. Правове регулювання бюджетного процесу в ЄС.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Society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and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Security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. 2024. № 1(2). С. 91-98. URL: https://sas.ztu.edu.ua/article/view/302124/294181.</w:t>
      </w:r>
    </w:p>
    <w:p w:rsidR="000C2D40" w:rsidRPr="000C2D40" w:rsidRDefault="000C2D40" w:rsidP="000C2D40">
      <w:pPr>
        <w:autoSpaceDE w:val="0"/>
        <w:ind w:firstLine="567"/>
        <w:jc w:val="both"/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</w:pPr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8.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Свірко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С., Власюк Т., Довгалюк В.,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Кучменко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В.,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Тростенюк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Т. Розвиток міжнародних бюджетних принципів в умовах сучасних світових суспільних трендів: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безпекова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, стратегічна та інформаційна детермінанти.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Financial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and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Credit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Activity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Problems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of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Theory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and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Practice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. 2024.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Вип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. 2(55). С. 299–316.</w:t>
      </w:r>
    </w:p>
    <w:p w:rsidR="000C2D40" w:rsidRPr="000C2D40" w:rsidRDefault="000C2D40" w:rsidP="000C2D40">
      <w:pPr>
        <w:autoSpaceDE w:val="0"/>
        <w:ind w:firstLine="567"/>
        <w:jc w:val="both"/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</w:pPr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9.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Свірко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С.В., Довгалюк В.В.,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Кучменко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В.О.,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Тростенюк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Т.М. Військові бюджети країни G20: структура та напрями удосконалення. Економіка, управління та адміністрування. 2024.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Вип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. 2 (108). С.65-77.</w:t>
      </w:r>
    </w:p>
    <w:p w:rsidR="000C2D40" w:rsidRPr="000C2D40" w:rsidRDefault="000C2D40" w:rsidP="000C2D40">
      <w:pPr>
        <w:autoSpaceDE w:val="0"/>
        <w:ind w:firstLine="567"/>
        <w:jc w:val="both"/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</w:pPr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lastRenderedPageBreak/>
        <w:t xml:space="preserve">10.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Свірко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С.В., Довгалюк В.В.,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Тростенюк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Т.М. Методологічна модель бюджетного процесу Європейського Союзу. Економіка, управління та адміністрування. 2024.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Вип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. 1(107). С. 70–84. URL: https://doi.org/10.26642/ema2024-1(107)-70-84</w:t>
      </w:r>
    </w:p>
    <w:p w:rsidR="000C2D40" w:rsidRPr="000C2D40" w:rsidRDefault="000C2D40" w:rsidP="000C2D40">
      <w:pPr>
        <w:autoSpaceDE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11.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Свірко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С.В., Довгалюк, В.В., </w:t>
      </w:r>
      <w:proofErr w:type="spellStart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>Тростенюк</w:t>
      </w:r>
      <w:proofErr w:type="spellEnd"/>
      <w:r w:rsidRPr="000C2D40">
        <w:rPr>
          <w:rStyle w:val="a7"/>
          <w:rFonts w:eastAsia="Calibri"/>
          <w:color w:val="000000"/>
          <w:sz w:val="28"/>
          <w:szCs w:val="28"/>
          <w:u w:val="none"/>
          <w:lang w:val="uk-UA" w:eastAsia="en-US"/>
        </w:rPr>
        <w:t xml:space="preserve"> Т.М., Губський О.В. Декомпозиція бюджетного процесу територіально найбільших країн G20. Економіка, управління та адміністрування. 2023. №4(106). С. 42-53.</w:t>
      </w:r>
    </w:p>
    <w:p w:rsidR="000C2D40" w:rsidRPr="000C2D40" w:rsidRDefault="000C2D40" w:rsidP="000C2D40">
      <w:pPr>
        <w:autoSpaceDE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0C2D40" w:rsidRPr="000C2D40" w:rsidRDefault="000C2D40" w:rsidP="000C2D40">
      <w:pPr>
        <w:autoSpaceDE w:val="0"/>
        <w:jc w:val="center"/>
        <w:rPr>
          <w:b/>
          <w:sz w:val="28"/>
          <w:szCs w:val="28"/>
          <w:lang w:val="uk-UA" w:eastAsia="uk-UA"/>
        </w:rPr>
      </w:pPr>
      <w:bookmarkStart w:id="2" w:name="_Hlk176180092"/>
      <w:r w:rsidRPr="000C2D40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1. Освітній портал Державного універси</w:t>
      </w:r>
      <w:bookmarkStart w:id="3" w:name="_GoBack"/>
      <w:bookmarkEnd w:id="3"/>
      <w:r w:rsidRPr="000C2D40">
        <w:rPr>
          <w:sz w:val="28"/>
          <w:szCs w:val="28"/>
          <w:lang w:val="uk-UA" w:eastAsia="uk-UA"/>
        </w:rPr>
        <w:t xml:space="preserve">тету «Житомирська політехніка». URL: </w:t>
      </w:r>
      <w:hyperlink r:id="rId9" w:history="1">
        <w:r w:rsidRPr="000C2D40">
          <w:rPr>
            <w:rStyle w:val="a7"/>
            <w:sz w:val="28"/>
            <w:szCs w:val="28"/>
            <w:u w:val="none"/>
            <w:lang w:val="uk-UA" w:eastAsia="uk-UA"/>
          </w:rPr>
          <w:t>http://learn.ztu.edu.ua</w:t>
        </w:r>
      </w:hyperlink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 xml:space="preserve">2. Сайт бібліотеки Державного університету «Житомирська політехніка». URL: http://lib.ztu.edu.ua. 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3. Вітчизняні фахові періодичні видання у сфері фінансів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www.dtkt.com.ua – сайт газети «Дебет-Кредит»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https://i.factor.ua/ – сайт групи компаній «Фактор» («Податки &amp;</w:t>
      </w:r>
      <w:proofErr w:type="spellStart"/>
      <w:r w:rsidRPr="000C2D40">
        <w:rPr>
          <w:sz w:val="28"/>
          <w:szCs w:val="28"/>
          <w:lang w:val="uk-UA" w:eastAsia="uk-UA"/>
        </w:rPr>
        <w:t>amp</w:t>
      </w:r>
      <w:proofErr w:type="spellEnd"/>
      <w:r w:rsidRPr="000C2D40">
        <w:rPr>
          <w:sz w:val="28"/>
          <w:szCs w:val="28"/>
          <w:lang w:val="uk-UA" w:eastAsia="uk-UA"/>
        </w:rPr>
        <w:t xml:space="preserve">; </w:t>
      </w:r>
      <w:proofErr w:type="spellStart"/>
      <w:r w:rsidRPr="000C2D40">
        <w:rPr>
          <w:sz w:val="28"/>
          <w:szCs w:val="28"/>
          <w:lang w:val="uk-UA" w:eastAsia="uk-UA"/>
        </w:rPr>
        <w:t>бухоблік</w:t>
      </w:r>
      <w:proofErr w:type="spellEnd"/>
      <w:r w:rsidRPr="000C2D40">
        <w:rPr>
          <w:sz w:val="28"/>
          <w:szCs w:val="28"/>
          <w:lang w:val="uk-UA" w:eastAsia="uk-UA"/>
        </w:rPr>
        <w:t>»)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4. Офіційні сайти: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- Державної податкової служби України (https://tax.gov.ua/)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- Державної митної служби (https://customs.gov.ua/)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- Державна казначейська служба України (https://www.treasury.gov.ua/)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- Верховної ради України (https://www.rada.gov.ua/)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- Комітету Верховної Ради України з питань бюджету (https://budget.rada.gov.ua/)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- Кабінету Міністрів України (www.kmu.gov.ua)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- Міністерства фінансів України (https://www.mof.gov.ua/uk/)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- Національної бібліотеки України ім. В.І. Вернадського (www.nbuv.gov.ua)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 w:rsidRPr="000C2D40">
        <w:rPr>
          <w:sz w:val="28"/>
          <w:szCs w:val="28"/>
          <w:lang w:val="uk-UA" w:eastAsia="uk-UA"/>
        </w:rPr>
        <w:t>- Державний веб-портал бюджету для громадян (https://openbudget.gov.ua/)</w:t>
      </w:r>
    </w:p>
    <w:p w:rsidR="000C2D40" w:rsidRPr="000C2D40" w:rsidRDefault="000C2D40" w:rsidP="000C2D40">
      <w:pPr>
        <w:autoSpaceDE w:val="0"/>
        <w:ind w:firstLine="567"/>
        <w:jc w:val="both"/>
        <w:rPr>
          <w:sz w:val="28"/>
          <w:szCs w:val="28"/>
        </w:rPr>
      </w:pPr>
      <w:r w:rsidRPr="000C2D40">
        <w:rPr>
          <w:sz w:val="28"/>
          <w:szCs w:val="28"/>
          <w:lang w:val="uk-UA" w:eastAsia="uk-UA"/>
        </w:rPr>
        <w:t>- Рада національної безпеки і оборони України ( https://www.rnbo.gov.ua/)</w:t>
      </w:r>
      <w:bookmarkEnd w:id="2"/>
    </w:p>
    <w:p w:rsidR="009654C7" w:rsidRPr="000C2D40" w:rsidRDefault="009654C7" w:rsidP="000C2D40">
      <w:pPr>
        <w:jc w:val="both"/>
      </w:pPr>
    </w:p>
    <w:sectPr w:rsidR="009654C7" w:rsidRPr="000C2D40" w:rsidSect="00C949B5">
      <w:headerReference w:type="even" r:id="rId10"/>
      <w:headerReference w:type="default" r:id="rId11"/>
      <w:headerReference w:type="first" r:id="rId12"/>
      <w:pgSz w:w="11906" w:h="16838" w:code="9"/>
      <w:pgMar w:top="851" w:right="73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E4" w:rsidRDefault="008021E4" w:rsidP="00C949B5">
      <w:r>
        <w:separator/>
      </w:r>
    </w:p>
  </w:endnote>
  <w:endnote w:type="continuationSeparator" w:id="0">
    <w:p w:rsidR="008021E4" w:rsidRDefault="008021E4" w:rsidP="00C9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E4" w:rsidRDefault="008021E4" w:rsidP="00C949B5">
      <w:r>
        <w:separator/>
      </w:r>
    </w:p>
  </w:footnote>
  <w:footnote w:type="continuationSeparator" w:id="0">
    <w:p w:rsidR="008021E4" w:rsidRDefault="008021E4" w:rsidP="00C9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70" w:rsidRDefault="007363A3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364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4970" w:rsidRDefault="008021E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9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9"/>
      <w:gridCol w:w="5754"/>
      <w:gridCol w:w="2131"/>
    </w:tblGrid>
    <w:tr w:rsidR="00D25A5A" w:rsidRPr="00F728EF" w:rsidTr="00D25A5A">
      <w:trPr>
        <w:cantSplit/>
        <w:trHeight w:val="567"/>
      </w:trPr>
      <w:tc>
        <w:tcPr>
          <w:tcW w:w="86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021" w:type="pct"/>
          <w:tcBorders>
            <w:left w:val="single" w:sz="4" w:space="0" w:color="auto"/>
          </w:tcBorders>
          <w:vAlign w:val="center"/>
        </w:tcPr>
        <w:p w:rsidR="00D25A5A" w:rsidRPr="00755EEB" w:rsidRDefault="00D25A5A" w:rsidP="00AA5252">
          <w:pPr>
            <w:pStyle w:val="a9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D25A5A" w:rsidRPr="00755EEB" w:rsidRDefault="00D25A5A" w:rsidP="00AA5252">
          <w:pPr>
            <w:pStyle w:val="a9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D25A5A" w:rsidRPr="00F728EF" w:rsidRDefault="00D25A5A" w:rsidP="00AA5252">
          <w:pPr>
            <w:pStyle w:val="a9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1119" w:type="pct"/>
          <w:vAlign w:val="center"/>
        </w:tcPr>
        <w:p w:rsidR="00C873FF" w:rsidRPr="00AA2E81" w:rsidRDefault="00D25A5A" w:rsidP="00C873F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</w:rPr>
            <w:t>Ф-</w:t>
          </w:r>
          <w:r>
            <w:rPr>
              <w:b/>
              <w:sz w:val="16"/>
              <w:szCs w:val="16"/>
            </w:rPr>
            <w:t>19.05</w:t>
          </w:r>
          <w:r w:rsidRPr="00F728EF">
            <w:rPr>
              <w:b/>
              <w:sz w:val="16"/>
              <w:szCs w:val="16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</w:rPr>
            <w:t>.0</w:t>
          </w:r>
          <w:r>
            <w:rPr>
              <w:b/>
              <w:sz w:val="16"/>
              <w:szCs w:val="16"/>
            </w:rPr>
            <w:t>1/072.00.1/Б/</w:t>
          </w:r>
          <w:r>
            <w:rPr>
              <w:b/>
              <w:sz w:val="16"/>
              <w:szCs w:val="16"/>
              <w:lang w:val="uk-UA"/>
            </w:rPr>
            <w:t>ОК-19</w:t>
          </w:r>
          <w:r>
            <w:rPr>
              <w:b/>
              <w:sz w:val="16"/>
              <w:szCs w:val="16"/>
            </w:rPr>
            <w:t>.-</w:t>
          </w:r>
          <w:r w:rsidRPr="00F728EF">
            <w:rPr>
              <w:b/>
              <w:sz w:val="16"/>
              <w:szCs w:val="16"/>
            </w:rPr>
            <w:t>20</w:t>
          </w:r>
          <w:r w:rsidR="00C873FF">
            <w:rPr>
              <w:b/>
              <w:sz w:val="16"/>
              <w:szCs w:val="16"/>
            </w:rPr>
            <w:t>2</w:t>
          </w:r>
          <w:r w:rsidR="00AA2E81">
            <w:rPr>
              <w:b/>
              <w:sz w:val="16"/>
              <w:szCs w:val="16"/>
              <w:lang w:val="uk-UA"/>
            </w:rPr>
            <w:t>4</w:t>
          </w:r>
        </w:p>
      </w:tc>
    </w:tr>
    <w:tr w:rsidR="00D25A5A" w:rsidRPr="00F728EF" w:rsidTr="00D25A5A">
      <w:trPr>
        <w:cantSplit/>
        <w:trHeight w:val="227"/>
      </w:trPr>
      <w:tc>
        <w:tcPr>
          <w:tcW w:w="86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021" w:type="pct"/>
          <w:tcBorders>
            <w:lef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1119" w:type="pct"/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="007363A3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7363A3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0C2D40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="007363A3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D25A5A" w:rsidRDefault="00D25A5A" w:rsidP="00D25A5A">
    <w:pPr>
      <w:pStyle w:val="a9"/>
    </w:pPr>
  </w:p>
  <w:p w:rsidR="00FA4970" w:rsidRPr="00D25A5A" w:rsidRDefault="008021E4" w:rsidP="00D25A5A">
    <w:pPr>
      <w:pStyle w:val="a9"/>
      <w:rPr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8"/>
      <w:gridCol w:w="5753"/>
      <w:gridCol w:w="2347"/>
    </w:tblGrid>
    <w:tr w:rsidR="00D25A5A" w:rsidRPr="00F728EF" w:rsidTr="00AA5252">
      <w:trPr>
        <w:cantSplit/>
        <w:trHeight w:val="567"/>
      </w:trPr>
      <w:tc>
        <w:tcPr>
          <w:tcW w:w="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:rsidR="00D25A5A" w:rsidRPr="00755EEB" w:rsidRDefault="00D25A5A" w:rsidP="00AA5252">
          <w:pPr>
            <w:pStyle w:val="a9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D25A5A" w:rsidRPr="00755EEB" w:rsidRDefault="00D25A5A" w:rsidP="00AA5252">
          <w:pPr>
            <w:pStyle w:val="a9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D25A5A" w:rsidRPr="00F728EF" w:rsidRDefault="00D25A5A" w:rsidP="00AA5252">
          <w:pPr>
            <w:pStyle w:val="a9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1205" w:type="pct"/>
          <w:vAlign w:val="center"/>
        </w:tcPr>
        <w:p w:rsidR="000C2D40" w:rsidRDefault="000C2D40" w:rsidP="000C2D40">
          <w:pPr>
            <w:tabs>
              <w:tab w:val="left" w:pos="34"/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en-US"/>
            </w:rPr>
          </w:pPr>
          <w:r w:rsidRPr="00AC02EF">
            <w:rPr>
              <w:b/>
              <w:sz w:val="16"/>
              <w:szCs w:val="16"/>
            </w:rPr>
            <w:t>Ф-19.05-05.01</w:t>
          </w:r>
        </w:p>
        <w:p w:rsidR="000C2D40" w:rsidRDefault="000C2D40" w:rsidP="000C2D40">
          <w:pPr>
            <w:tabs>
              <w:tab w:val="left" w:pos="34"/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en-US"/>
            </w:rPr>
          </w:pPr>
          <w:r w:rsidRPr="00AC02EF">
            <w:rPr>
              <w:b/>
              <w:sz w:val="16"/>
              <w:szCs w:val="16"/>
            </w:rPr>
            <w:t>/072.00.0</w:t>
          </w:r>
          <w:r>
            <w:rPr>
              <w:b/>
              <w:sz w:val="16"/>
              <w:szCs w:val="16"/>
            </w:rPr>
            <w:t>2</w:t>
          </w:r>
          <w:r w:rsidRPr="00AC02EF"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>Б</w:t>
          </w:r>
        </w:p>
        <w:p w:rsidR="00D25A5A" w:rsidRPr="000C2D40" w:rsidRDefault="000C2D40" w:rsidP="000C2D40">
          <w:pPr>
            <w:tabs>
              <w:tab w:val="left" w:pos="34"/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en-US"/>
            </w:rPr>
          </w:pPr>
          <w:r w:rsidRPr="00AC02EF">
            <w:rPr>
              <w:b/>
              <w:sz w:val="16"/>
              <w:szCs w:val="16"/>
            </w:rPr>
            <w:t>/0К</w:t>
          </w:r>
          <w:r>
            <w:rPr>
              <w:b/>
              <w:sz w:val="16"/>
              <w:szCs w:val="16"/>
              <w:lang w:val="uk-UA"/>
            </w:rPr>
            <w:t>22</w:t>
          </w:r>
          <w:r w:rsidRPr="00AC02EF">
            <w:rPr>
              <w:b/>
              <w:sz w:val="16"/>
              <w:szCs w:val="16"/>
            </w:rPr>
            <w:t>-</w:t>
          </w:r>
          <w:r>
            <w:rPr>
              <w:b/>
              <w:sz w:val="16"/>
              <w:szCs w:val="16"/>
            </w:rPr>
            <w:t>2</w:t>
          </w:r>
          <w:r>
            <w:rPr>
              <w:b/>
              <w:sz w:val="16"/>
              <w:szCs w:val="16"/>
              <w:lang w:val="en-US"/>
            </w:rPr>
            <w:t>-</w:t>
          </w:r>
          <w:r w:rsidRPr="00AC02EF">
            <w:rPr>
              <w:b/>
              <w:sz w:val="16"/>
              <w:szCs w:val="16"/>
            </w:rPr>
            <w:t>202</w:t>
          </w:r>
          <w:r>
            <w:rPr>
              <w:b/>
              <w:sz w:val="16"/>
              <w:szCs w:val="16"/>
            </w:rPr>
            <w:t>5</w:t>
          </w:r>
        </w:p>
      </w:tc>
    </w:tr>
    <w:tr w:rsidR="00D25A5A" w:rsidRPr="00F728EF" w:rsidTr="00AA5252">
      <w:trPr>
        <w:cantSplit/>
        <w:trHeight w:val="227"/>
      </w:trPr>
      <w:tc>
        <w:tcPr>
          <w:tcW w:w="84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1205" w:type="pct"/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i/>
              <w:sz w:val="16"/>
              <w:szCs w:val="16"/>
              <w:lang w:val="uk-UA" w:eastAsia="uk-UA"/>
            </w:rPr>
          </w:pPr>
        </w:p>
      </w:tc>
    </w:tr>
  </w:tbl>
  <w:p w:rsidR="00D25A5A" w:rsidRDefault="00D25A5A" w:rsidP="00D25A5A">
    <w:pPr>
      <w:pStyle w:val="a9"/>
    </w:pPr>
  </w:p>
  <w:p w:rsidR="00AE75BB" w:rsidRPr="00AE75BB" w:rsidRDefault="008021E4">
    <w:pPr>
      <w:pStyle w:val="a9"/>
      <w:rPr>
        <w:sz w:val="10"/>
        <w:szCs w:val="1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977"/>
    <w:multiLevelType w:val="hybridMultilevel"/>
    <w:tmpl w:val="CB867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5EF7"/>
    <w:multiLevelType w:val="hybridMultilevel"/>
    <w:tmpl w:val="CB867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4BD"/>
    <w:multiLevelType w:val="hybridMultilevel"/>
    <w:tmpl w:val="9DA8DB7C"/>
    <w:lvl w:ilvl="0" w:tplc="BA9CA21A">
      <w:start w:val="1"/>
      <w:numFmt w:val="decimal"/>
      <w:lvlText w:val="%1."/>
      <w:lvlJc w:val="left"/>
      <w:pPr>
        <w:ind w:left="720" w:hanging="360"/>
      </w:pPr>
      <w:rPr>
        <w:spacing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185E"/>
    <w:multiLevelType w:val="hybridMultilevel"/>
    <w:tmpl w:val="FA80863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CD"/>
    <w:rsid w:val="00004DB0"/>
    <w:rsid w:val="000C2D40"/>
    <w:rsid w:val="007157CD"/>
    <w:rsid w:val="007363A3"/>
    <w:rsid w:val="008021E4"/>
    <w:rsid w:val="008B4196"/>
    <w:rsid w:val="008E2734"/>
    <w:rsid w:val="009654C7"/>
    <w:rsid w:val="009F65F7"/>
    <w:rsid w:val="00AA2E81"/>
    <w:rsid w:val="00AF218D"/>
    <w:rsid w:val="00C873FF"/>
    <w:rsid w:val="00C949B5"/>
    <w:rsid w:val="00D25A5A"/>
    <w:rsid w:val="00F65627"/>
    <w:rsid w:val="00FA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C3B03"/>
  <w15:docId w15:val="{F8392486-CCE2-438C-A6D2-D92AD3ED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теми,Название схем"/>
    <w:basedOn w:val="a"/>
    <w:link w:val="a4"/>
    <w:qFormat/>
    <w:rsid w:val="009F65F7"/>
    <w:pPr>
      <w:spacing w:line="288" w:lineRule="auto"/>
      <w:ind w:firstLine="567"/>
      <w:jc w:val="center"/>
    </w:pPr>
    <w:rPr>
      <w:b/>
      <w:bCs/>
      <w:sz w:val="26"/>
      <w:lang w:val="uk-UA"/>
    </w:rPr>
  </w:style>
  <w:style w:type="character" w:customStyle="1" w:styleId="a4">
    <w:name w:val="Назва Знак"/>
    <w:aliases w:val="Назватеми Знак,Название схем Знак"/>
    <w:basedOn w:val="a0"/>
    <w:link w:val="a3"/>
    <w:rsid w:val="009F65F7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9F65F7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9F65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rsid w:val="009F65F7"/>
    <w:rPr>
      <w:color w:val="0000FF"/>
      <w:u w:val="single"/>
    </w:rPr>
  </w:style>
  <w:style w:type="character" w:customStyle="1" w:styleId="apple-converted-space">
    <w:name w:val="apple-converted-space"/>
    <w:rsid w:val="009F65F7"/>
  </w:style>
  <w:style w:type="character" w:styleId="a8">
    <w:name w:val="page number"/>
    <w:basedOn w:val="a0"/>
    <w:rsid w:val="00FA364D"/>
  </w:style>
  <w:style w:type="paragraph" w:styleId="a9">
    <w:name w:val="header"/>
    <w:basedOn w:val="a"/>
    <w:link w:val="aa"/>
    <w:uiPriority w:val="99"/>
    <w:rsid w:val="00FA36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ій колонтитул Знак"/>
    <w:basedOn w:val="a0"/>
    <w:link w:val="a9"/>
    <w:uiPriority w:val="99"/>
    <w:rsid w:val="00FA36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25A5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25A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unhideWhenUsed/>
    <w:rsid w:val="00C873FF"/>
    <w:rPr>
      <w:rFonts w:ascii="Courier New" w:hAnsi="Courier New"/>
      <w:sz w:val="20"/>
      <w:szCs w:val="20"/>
      <w:lang w:val="uk-UA"/>
    </w:rPr>
  </w:style>
  <w:style w:type="character" w:customStyle="1" w:styleId="ae">
    <w:name w:val="Текст Знак"/>
    <w:basedOn w:val="a0"/>
    <w:link w:val="ad"/>
    <w:rsid w:val="00C873F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495-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-show/2755-1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arn.ztu.edu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2693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Довгалюк Віта Валентинівна</dc:creator>
  <cp:keywords/>
  <dc:description/>
  <cp:lastModifiedBy>Довгалюк Віта Валентинівна</cp:lastModifiedBy>
  <cp:revision>3</cp:revision>
  <dcterms:created xsi:type="dcterms:W3CDTF">2024-12-26T09:55:00Z</dcterms:created>
  <dcterms:modified xsi:type="dcterms:W3CDTF">2026-02-27T09:10:00Z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59ae4ef23e4798b41a99904bcb296802b1d71698415c10a613645052a4ef7edb</vt:lpwstr>
  </property>
</Properties>
</file>