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both"/>
        <w:rPr>
          <w:rFonts w:ascii="Times New Roman" w:cs="Times New Roman" w:eastAsia="Times New Roman" w:hAnsi="Times New Roman"/>
          <w:color w:val="17365d"/>
        </w:rPr>
      </w:pPr>
      <w:r w:rsidDel="00000000" w:rsidR="00000000" w:rsidRPr="00000000">
        <w:rPr>
          <w:rFonts w:ascii="Times New Roman" w:cs="Times New Roman" w:eastAsia="Times New Roman" w:hAnsi="Times New Roman"/>
          <w:color w:val="17365d"/>
          <w:rtl w:val="0"/>
        </w:rPr>
        <w:t xml:space="preserve">Лекція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7365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ТЕМА 5 АФЕКТИВНІ РОЗЛАДИ ТА РОЗЛАДИ, ПОВ’ЯЗАНІ З ТРИВОГОЮ І СТРАХОМ, ОБСЕСИВНО-КОМПУЛЬСИВНІ РОЗЛАДИ</w:t>
        <w:br w:type="textWrapping"/>
        <w:br w:type="textWrapping"/>
        <w:t xml:space="preserve">ВСТУП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Афективні, тривожні та обсесивно-компульсивні розлади належать до найпоширеніших психічних станів. Вони впливають на емоції, поведінку, мислення та соціальне функціонування. Розуміння особливостей цих розладів є важливим у роботі психолога.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1. АФЕКТИВНІ РОЗЛАДИ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1.1. Депресивні розлади</w:t>
        <w:br w:type="textWrapping"/>
        <w:t xml:space="preserve">Основні симптоми:</w:t>
        <w:br w:type="textWrapping"/>
        <w:t xml:space="preserve">- знижений настрій;</w:t>
        <w:br w:type="textWrapping"/>
        <w:t xml:space="preserve">- втрата інтересу до діяльності;</w:t>
        <w:br w:type="textWrapping"/>
        <w:t xml:space="preserve">- порушення сну та апетиту;</w:t>
        <w:br w:type="textWrapping"/>
        <w:t xml:space="preserve">- втома, гальмування;</w:t>
        <w:br w:type="textWrapping"/>
        <w:t xml:space="preserve">- почуття провини, безнадії;</w:t>
        <w:br w:type="textWrapping"/>
        <w:t xml:space="preserve">- суїцидальні думки.</w:t>
        <w:br w:type="textWrapping"/>
        <w:br w:type="textWrapping"/>
        <w:t xml:space="preserve">1.2. Біполярний афективний розлад</w:t>
        <w:br w:type="textWrapping"/>
        <w:t xml:space="preserve">Проявляється чергуванням депресивних і маніакальних станів.</w:t>
        <w:br w:type="textWrapping"/>
        <w:t xml:space="preserve">Маніакальний епізод включає:</w:t>
        <w:br w:type="textWrapping"/>
        <w:t xml:space="preserve">- підвищений настрій;</w:t>
        <w:br w:type="textWrapping"/>
        <w:t xml:space="preserve">- пришвидшене мислення;</w:t>
        <w:br w:type="textWrapping"/>
        <w:t xml:space="preserve">- зменшення потреби у сні;</w:t>
        <w:br w:type="textWrapping"/>
        <w:t xml:space="preserve">- гіперактивність;</w:t>
        <w:br w:type="textWrapping"/>
        <w:t xml:space="preserve">- імпульсивність.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2. РОЗЛАДИ, ПОВ’ЯЗАНІ З ТРИВОГОЮ ТА СТРАХОМ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2.1. Генералізований тривожний розлад</w:t>
        <w:br w:type="textWrapping"/>
        <w:t xml:space="preserve">Хронічне відчуття загрози, напруження, труднощі концентрації, безсоння.</w:t>
        <w:br w:type="textWrapping"/>
        <w:br w:type="textWrapping"/>
        <w:t xml:space="preserve">2.2. Панічний розлад</w:t>
        <w:br w:type="textWrapping"/>
        <w:t xml:space="preserve">Раптові напади страху: прискорене серцебиття, задишка, пітливість, страх смерті.</w:t>
        <w:br w:type="textWrapping"/>
        <w:br w:type="textWrapping"/>
        <w:t xml:space="preserve">2.3. Фобічні розлади</w:t>
        <w:br w:type="textWrapping"/>
        <w:t xml:space="preserve">Ірраціональний страх конкретних об'єктів або ситуацій: соціальна фобія, агорафобія, специфічні фобії.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3. ОБСЕСИВНО-КОМПУЛЬСИВНИЙ РОЗЛАД (ОКР)</w:t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br w:type="textWrapping"/>
        <w:t xml:space="preserve">3.1. Обсесії</w:t>
        <w:br w:type="textWrapping"/>
        <w:t xml:space="preserve">Нав'язливі думки, що викликають сильну тривогу.</w:t>
        <w:br w:type="textWrapping"/>
        <w:br w:type="textWrapping"/>
        <w:t xml:space="preserve">3.2. Компульсії</w:t>
        <w:br w:type="textWrapping"/>
        <w:t xml:space="preserve">Дії або ритуали, спрямовані на зменшення тривоги.</w:t>
        <w:br w:type="textWrapping"/>
        <w:t xml:space="preserve">Приклади: миття рук, перевірки, рахування.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4. ДІАГНОСТИКА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Методи:</w:t>
        <w:br w:type="textWrapping"/>
        <w:t xml:space="preserve">- клінічна бесіда;</w:t>
        <w:br w:type="textWrapping"/>
        <w:t xml:space="preserve">- структуровані інтерв'ю;</w:t>
        <w:br w:type="textWrapping"/>
        <w:t xml:space="preserve">- опитувальники: BDI, HADS, HAM-A, Y-BOCS;</w:t>
        <w:br w:type="textWrapping"/>
        <w:t xml:space="preserve">- спостереження.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5. ОСОБЛИВОСТІ ПРОЯВУ У ДІТЕЙ І ДОРОСЛИХ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Діти: страхи, соматичні реакції, уникання.</w:t>
        <w:br w:type="textWrapping"/>
        <w:t xml:space="preserve">Дорослі: тривога, депресія, проблеми адаптації, зниження працездатності.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7365d"/>
          <w:sz w:val="28"/>
          <w:szCs w:val="28"/>
          <w:rtl w:val="0"/>
        </w:rPr>
        <w:t xml:space="preserve">6. КОРЕКЦІЯ ТА ПІДТРИМКА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7365d"/>
          <w:sz w:val="28"/>
          <w:szCs w:val="28"/>
          <w:rtl w:val="0"/>
        </w:rPr>
        <w:t xml:space="preserve">- когнітивно-поведінкова терапія;</w:t>
        <w:br w:type="textWrapping"/>
        <w:t xml:space="preserve">- медикаментозна терапія (за показами);</w:t>
        <w:br w:type="textWrapping"/>
        <w:t xml:space="preserve">- психоосвіта;</w:t>
        <w:br w:type="textWrapping"/>
        <w:t xml:space="preserve">- техніки саморегуляції.</w:t>
        <w:br w:type="textWrapping"/>
        <w:br w:type="textWrapping"/>
        <w:t xml:space="preserve">ВИСНОВОК</w:t>
        <w:br w:type="textWrapping"/>
        <w:t xml:space="preserve">Афективні, тривожні та обсесивно-компульсивні розлади мають різноманітні прояви та вимагають комплексного підходу до діагностики й лікування. Вчасне втручання дозволяє значно покращити якість життя.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nYM9bjh9z0cCvPVjkEuT1sxBg==">CgMxLjA4AHIhMXl0aEF5T2haZXVIOHhvLUlEbFBzb25Tek0zNkdJVW9X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