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ТЕМА 4. ОСНОВНІ МЕТОДИ КЛІНІКО-ПСИХОЛОГІЧНОГО ДОСЛІДЖЕННЯ</w:t>
      </w:r>
    </w:p>
    <w:p w:rsidR="00000000" w:rsidDel="00000000" w:rsidP="00000000" w:rsidRDefault="00000000" w:rsidRPr="00000000" w14:paraId="00000002">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after="0" w:before="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План:</w:t>
      </w:r>
    </w:p>
    <w:p w:rsidR="00000000" w:rsidDel="00000000" w:rsidP="00000000" w:rsidRDefault="00000000" w:rsidRPr="00000000" w14:paraId="00000004">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Особливості та мета проведення клініко-психологічного інтерв’ю.</w:t>
      </w:r>
    </w:p>
    <w:p w:rsidR="00000000" w:rsidDel="00000000" w:rsidP="00000000" w:rsidRDefault="00000000" w:rsidRPr="00000000" w14:paraId="00000005">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Психотехніки діагностичного вислуховування.</w:t>
      </w:r>
    </w:p>
    <w:p w:rsidR="00000000" w:rsidDel="00000000" w:rsidP="00000000" w:rsidRDefault="00000000" w:rsidRPr="00000000" w14:paraId="00000006">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аналізу історії життя особи (анамнез). Суб’єктивний та об’єктивний анамнез.</w:t>
      </w:r>
    </w:p>
    <w:p w:rsidR="00000000" w:rsidDel="00000000" w:rsidP="00000000" w:rsidRDefault="00000000" w:rsidRPr="00000000" w14:paraId="00000007">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 спостереження за поведінкою особи в клінічній психології. Метод генеограми у клінічній психології.</w:t>
      </w:r>
    </w:p>
    <w:p w:rsidR="00000000" w:rsidDel="00000000" w:rsidP="00000000" w:rsidRDefault="00000000" w:rsidRPr="00000000" w14:paraId="00000008">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про клініко-психологічний експеримент.</w:t>
      </w:r>
    </w:p>
    <w:p w:rsidR="00000000" w:rsidDel="00000000" w:rsidP="00000000" w:rsidRDefault="00000000" w:rsidRPr="00000000" w14:paraId="00000009">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нейропсихологічного та патопсихологічного дослідження.</w:t>
      </w:r>
    </w:p>
    <w:p w:rsidR="00000000" w:rsidDel="00000000" w:rsidP="00000000" w:rsidRDefault="00000000" w:rsidRPr="00000000" w14:paraId="0000000A">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психологічного дослідження в соматичній клініці.</w:t>
      </w:r>
    </w:p>
    <w:p w:rsidR="00000000" w:rsidDel="00000000" w:rsidP="00000000" w:rsidRDefault="00000000" w:rsidRPr="00000000" w14:paraId="0000000B">
      <w:pPr>
        <w:numPr>
          <w:ilvl w:val="0"/>
          <w:numId w:val="5"/>
        </w:numP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Проективна психодіагностика у клінічній психології.</w:t>
      </w:r>
    </w:p>
    <w:p w:rsidR="00000000" w:rsidDel="00000000" w:rsidP="00000000" w:rsidRDefault="00000000" w:rsidRPr="00000000" w14:paraId="0000000C">
      <w:pPr>
        <w:spacing w:after="0" w:before="0" w:line="360" w:lineRule="auto"/>
        <w:ind w:lef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before="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Клініко-психологічне дослідження — це комплексний процес вивчення психіки людини з метою діагностики її стану, виявлення порушень та розробки рекомендацій для лікування чи корекції.</w:t>
      </w:r>
    </w:p>
    <w:p w:rsidR="00000000" w:rsidDel="00000000" w:rsidP="00000000" w:rsidRDefault="00000000" w:rsidRPr="00000000" w14:paraId="0000000F">
      <w:pP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Основні методи:</w:t>
      </w:r>
    </w:p>
    <w:p w:rsidR="00000000" w:rsidDel="00000000" w:rsidP="00000000" w:rsidRDefault="00000000" w:rsidRPr="00000000" w14:paraId="00000010">
      <w:pPr>
        <w:numPr>
          <w:ilvl w:val="0"/>
          <w:numId w:val="10"/>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Клінічне інтерв’ю (бесіда): Гнучкий метод збору інформації про індивідуально-психологічні властивості та скарги пацієнта. Включає збір анамнезу (історії життя та хвороби) через безпосередню вербальну взаємодію.</w:t>
      </w:r>
    </w:p>
    <w:p w:rsidR="00000000" w:rsidDel="00000000" w:rsidP="00000000" w:rsidRDefault="00000000" w:rsidRPr="00000000" w14:paraId="00000011">
      <w:pPr>
        <w:numPr>
          <w:ilvl w:val="0"/>
          <w:numId w:val="10"/>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Спостереження: Цілеспрямоване й систематичне фіксування дій та поведінки людини у природних чи спеціально створених умовах. Психолог звертає увагу на невербальні реакції, міміку, темп мовлення та емоційні прояви.</w:t>
      </w:r>
    </w:p>
    <w:p w:rsidR="00000000" w:rsidDel="00000000" w:rsidP="00000000" w:rsidRDefault="00000000" w:rsidRPr="00000000" w14:paraId="00000012">
      <w:pPr>
        <w:numPr>
          <w:ilvl w:val="0"/>
          <w:numId w:val="10"/>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Експериментально-психологічне дослідження (ЕПД): Вивчення психічних процесів (пам'яті, уваги, мислення) шляхом створення спеціальних умов для виявлення закономірностей їх функціонування.</w:t>
      </w:r>
    </w:p>
    <w:p w:rsidR="00000000" w:rsidDel="00000000" w:rsidP="00000000" w:rsidRDefault="00000000" w:rsidRPr="00000000" w14:paraId="00000013">
      <w:pPr>
        <w:numPr>
          <w:ilvl w:val="0"/>
          <w:numId w:val="10"/>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Психодіагностичне тестування: Використання стандартизованих методик для отримання кількісних або якісних характеристик психіки. Поділяється на:</w:t>
      </w:r>
    </w:p>
    <w:p w:rsidR="00000000" w:rsidDel="00000000" w:rsidP="00000000" w:rsidRDefault="00000000" w:rsidRPr="00000000" w14:paraId="00000014">
      <w:pPr>
        <w:numPr>
          <w:ilvl w:val="1"/>
          <w:numId w:val="10"/>
        </w:numPr>
        <w:pBdr>
          <w:top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0a0a0a"/>
          <w:sz w:val="28"/>
          <w:szCs w:val="28"/>
          <w:rtl w:val="0"/>
        </w:rPr>
        <w:t xml:space="preserve">Опитувальники</w:t>
      </w:r>
      <w:r w:rsidDel="00000000" w:rsidR="00000000" w:rsidRPr="00000000">
        <w:rPr>
          <w:rFonts w:ascii="Times New Roman" w:cs="Times New Roman" w:eastAsia="Times New Roman" w:hAnsi="Times New Roman"/>
          <w:color w:val="0a0a0a"/>
          <w:sz w:val="28"/>
          <w:szCs w:val="28"/>
          <w:rtl w:val="0"/>
        </w:rPr>
        <w:t xml:space="preserve">: Для оцінки особистісних рис, рівня тривожності чи депресії.</w:t>
      </w:r>
    </w:p>
    <w:p w:rsidR="00000000" w:rsidDel="00000000" w:rsidP="00000000" w:rsidRDefault="00000000" w:rsidRPr="00000000" w14:paraId="00000015">
      <w:pPr>
        <w:numPr>
          <w:ilvl w:val="1"/>
          <w:numId w:val="10"/>
        </w:numPr>
        <w:pBdr>
          <w:top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0a0a0a"/>
          <w:sz w:val="28"/>
          <w:szCs w:val="28"/>
          <w:rtl w:val="0"/>
        </w:rPr>
        <w:t xml:space="preserve">Проективні методики</w:t>
      </w:r>
      <w:r w:rsidDel="00000000" w:rsidR="00000000" w:rsidRPr="00000000">
        <w:rPr>
          <w:rFonts w:ascii="Times New Roman" w:cs="Times New Roman" w:eastAsia="Times New Roman" w:hAnsi="Times New Roman"/>
          <w:color w:val="0a0a0a"/>
          <w:sz w:val="28"/>
          <w:szCs w:val="28"/>
          <w:rtl w:val="0"/>
        </w:rPr>
        <w:t xml:space="preserve">: Малюнкові тести або інтерпретація стимулів (наприклад, плями Роршаха) для аналізу підсвідомих установок.</w:t>
      </w:r>
    </w:p>
    <w:p w:rsidR="00000000" w:rsidDel="00000000" w:rsidP="00000000" w:rsidRDefault="00000000" w:rsidRPr="00000000" w14:paraId="00000016">
      <w:pPr>
        <w:numPr>
          <w:ilvl w:val="0"/>
          <w:numId w:val="10"/>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Біографічний метод: Аналіз життєвого шляху особистості, що дозволяє зрозуміти динаміку розвитку розладів та вплив соціального середовища.</w:t>
      </w:r>
    </w:p>
    <w:p w:rsidR="00000000" w:rsidDel="00000000" w:rsidP="00000000" w:rsidRDefault="00000000" w:rsidRPr="00000000" w14:paraId="00000017">
      <w:pPr>
        <w:numPr>
          <w:ilvl w:val="0"/>
          <w:numId w:val="10"/>
        </w:numPr>
        <w:pBdr>
          <w:top w:color="auto" w:space="0" w:sz="0" w:val="none"/>
          <w:bottom w:color="auto" w:space="0" w:sz="0" w:val="none"/>
          <w:right w:color="auto" w:space="0" w:sz="0" w:val="none"/>
          <w:between w:color="auto" w:space="0" w:sz="0" w:val="none"/>
        </w:pBdr>
        <w:spacing w:after="0" w:before="0" w:line="360" w:lineRule="auto"/>
        <w:ind w:left="720" w:right="1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a0a0a"/>
          <w:sz w:val="28"/>
          <w:szCs w:val="28"/>
          <w:rtl w:val="0"/>
        </w:rPr>
        <w:t xml:space="preserve">Аналіз продуктів діяльності: Вивчення малюнків, щоденників чи творчих робіт пацієнта для отримання додаткових даних про його внутрішній світ. </w:t>
      </w:r>
    </w:p>
    <w:p w:rsidR="00000000" w:rsidDel="00000000" w:rsidP="00000000" w:rsidRDefault="00000000" w:rsidRPr="00000000" w14:paraId="00000018">
      <w:pPr>
        <w:spacing w:after="0" w:before="0" w:line="360" w:lineRule="auto"/>
        <w:jc w:val="both"/>
        <w:rPr>
          <w:rFonts w:ascii="Times New Roman" w:cs="Times New Roman" w:eastAsia="Times New Roman" w:hAnsi="Times New Roman"/>
          <w:color w:val="0a0a0a"/>
          <w:sz w:val="28"/>
          <w:szCs w:val="28"/>
        </w:rPr>
      </w:pPr>
      <w:r w:rsidDel="00000000" w:rsidR="00000000" w:rsidRPr="00000000">
        <w:rPr>
          <w:rFonts w:ascii="Times New Roman" w:cs="Times New Roman" w:eastAsia="Times New Roman" w:hAnsi="Times New Roman"/>
          <w:color w:val="0a0a0a"/>
          <w:sz w:val="28"/>
          <w:szCs w:val="28"/>
          <w:rtl w:val="0"/>
        </w:rPr>
        <w:t xml:space="preserve">За результатами дослідження фахівець складає протокол діагностики, де фіксує результати, структуру виявленого синдрому та надає відповідні рекомендації. </w:t>
      </w:r>
    </w:p>
    <w:p w:rsidR="00000000" w:rsidDel="00000000" w:rsidP="00000000" w:rsidRDefault="00000000" w:rsidRPr="00000000" w14:paraId="00000019">
      <w:pPr>
        <w:spacing w:after="0" w:before="0" w:line="360" w:lineRule="auto"/>
        <w:ind w:lef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A">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b w:val="1"/>
          <w:bCs w:val="1"/>
          <w:color w:val="333333"/>
          <w:sz w:val="28"/>
          <w:szCs w:val="28"/>
          <w:highlight w:val="white"/>
          <w:rtl w:val="0"/>
        </w:rPr>
        <w:t xml:space="preserve">Інтерв'ю </w:t>
      </w:r>
      <w:r w:rsidDel="00000000" w:rsidR="00000000" w:rsidRPr="00000000">
        <w:rPr>
          <w:rFonts w:ascii="Times New Roman" w:cs="Times New Roman" w:eastAsia="Times New Roman" w:hAnsi="Times New Roman"/>
          <w:color w:val="333333"/>
          <w:sz w:val="28"/>
          <w:szCs w:val="28"/>
          <w:highlight w:val="white"/>
          <w:rtl w:val="0"/>
        </w:rPr>
        <w:t xml:space="preserve">має певні переваги та недоліки. По-перше, інтерв'ю надає можливість більш глибоко проникнути у соціально-психологічні причини людської поведінки. По-друге, під час його проведення можливо встановити ступінь відвертості респондента. По-третє, інформація, що збирається за допомогою інтерв'ю, надходить більш швидко й повно; вона, зазвичай, є безпосередньою та яскравою.</w:t>
      </w:r>
    </w:p>
    <w:p w:rsidR="00000000" w:rsidDel="00000000" w:rsidP="00000000" w:rsidRDefault="00000000" w:rsidRPr="00000000" w14:paraId="0000001B">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Під час інтерв'ю контакт між дослідником і респондентом здійснюється за допомогою інтерв'юера, котрий ставить запитання, передбачені дослідженням, організовує та спрямовує бесіду з кожною людиною, фіксує одержані відповіді згідно з інструкцією. Для одержання одного й того ж обсягу інформації при використанні методу інтерв'ю дослідник витрачає більше часу та засобів, ніж при анкетуванні. Додаткових витрат вимагають добір і навчання інтерв'юерів, контроль за якістю їхньої роботи.</w:t>
      </w:r>
    </w:p>
    <w:p w:rsidR="00000000" w:rsidDel="00000000" w:rsidP="00000000" w:rsidRDefault="00000000" w:rsidRPr="00000000" w14:paraId="0000001C">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За технікою проведення розрізняють:</w:t>
      </w:r>
    </w:p>
    <w:p w:rsidR="00000000" w:rsidDel="00000000" w:rsidP="00000000" w:rsidRDefault="00000000" w:rsidRPr="00000000" w14:paraId="0000001D">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 вільне - тривала бесіда за загальною програмою без чіткої деталізації запитань;</w:t>
      </w:r>
    </w:p>
    <w:p w:rsidR="00000000" w:rsidDel="00000000" w:rsidP="00000000" w:rsidRDefault="00000000" w:rsidRPr="00000000" w14:paraId="0000001E">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 спрямоване (стандартизоване) - спілкування інтерв'юера та респондента регламентовано детально розробленим питальником й інструкцією інтерв'юера, котрий зобов'язаний точно дотримуватися сформульованих запитань та їх послідовності. У стандартизованому інтерв'ю, звичайно, переважають закриті запитання;</w:t>
      </w:r>
    </w:p>
    <w:p w:rsidR="00000000" w:rsidDel="00000000" w:rsidP="00000000" w:rsidRDefault="00000000" w:rsidRPr="00000000" w14:paraId="0000001F">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 напівстандартизоване - поєднує в собі особливості двох попередніх видів.</w:t>
      </w:r>
    </w:p>
    <w:p w:rsidR="00000000" w:rsidDel="00000000" w:rsidP="00000000" w:rsidRDefault="00000000" w:rsidRPr="00000000" w14:paraId="00000020">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За процедурою проведення розрізняють такі типи інтерв'ю:</w:t>
      </w:r>
    </w:p>
    <w:p w:rsidR="00000000" w:rsidDel="00000000" w:rsidP="00000000" w:rsidRDefault="00000000" w:rsidRPr="00000000" w14:paraId="00000021">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 панельне - багаторазове інтерв'ю одних і тих же респондентів щодо однієї і тієї ж проблеми через певні проміжки часу;</w:t>
      </w:r>
    </w:p>
    <w:p w:rsidR="00000000" w:rsidDel="00000000" w:rsidP="00000000" w:rsidRDefault="00000000" w:rsidRPr="00000000" w14:paraId="00000022">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 групове - запланована бесіда, у процесі якої дослідник прагне започаткувати дискусію в групі;</w:t>
      </w:r>
    </w:p>
    <w:p w:rsidR="00000000" w:rsidDel="00000000" w:rsidP="00000000" w:rsidRDefault="00000000" w:rsidRPr="00000000" w14:paraId="00000023">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 клінічне інтерв'ю — тривала, глибока бесіда, мета якої полягає в одержанні інформації про внутрішні спонукання, мотиви, схильності респондентів;</w:t>
      </w:r>
    </w:p>
    <w:p w:rsidR="00000000" w:rsidDel="00000000" w:rsidP="00000000" w:rsidRDefault="00000000" w:rsidRPr="00000000" w14:paraId="00000024">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 фокусоване інтерв'ю — короткочасна бесіда, мета якої полягає в отриманні інформації про конкретну проблему, процес або явище, про реакції суб'єкта на задану дію.</w:t>
      </w:r>
    </w:p>
    <w:p w:rsidR="00000000" w:rsidDel="00000000" w:rsidP="00000000" w:rsidRDefault="00000000" w:rsidRPr="00000000" w14:paraId="00000025">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За типом респондентів інтерв'ю бувають: з відповідальною особою, з експертом, з рядовим респондентом.</w:t>
      </w:r>
    </w:p>
    <w:p w:rsidR="00000000" w:rsidDel="00000000" w:rsidP="00000000" w:rsidRDefault="00000000" w:rsidRPr="00000000" w14:paraId="00000026">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Одна з основних умов, які впливають на достовірність і надійність інформації, наявність якісного питальника та дотримання правил його застосування.</w:t>
      </w:r>
    </w:p>
    <w:p w:rsidR="00000000" w:rsidDel="00000000" w:rsidP="00000000" w:rsidRDefault="00000000" w:rsidRPr="00000000" w14:paraId="00000027">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Питальник—документ, у якому сформульовано й тематично згруповано запитання, передбачено місце для записів відповідей на них.</w:t>
      </w:r>
    </w:p>
    <w:p w:rsidR="00000000" w:rsidDel="00000000" w:rsidP="00000000" w:rsidRDefault="00000000" w:rsidRPr="00000000" w14:paraId="00000028">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До питальників додають, так звані, протоколи інтерв'юера, що містять основні відомості про процес інтерв'ю.</w:t>
      </w:r>
    </w:p>
    <w:p w:rsidR="00000000" w:rsidDel="00000000" w:rsidP="00000000" w:rsidRDefault="00000000" w:rsidRPr="00000000" w14:paraId="00000029">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На інтерв'ю впливають місце, конкретні обставини, тривалість його проведення (найчастіше респондент погоджується на нетривале інтерв'ю).</w:t>
      </w:r>
    </w:p>
    <w:p w:rsidR="00000000" w:rsidDel="00000000" w:rsidP="00000000" w:rsidRDefault="00000000" w:rsidRPr="00000000" w14:paraId="0000002A">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Метод інтерв'ю дає змогу одержати глибинну інформацію про думки, погляди, мотиви, уявлення респондентів. Суттєвою його особливістю є, здебільшого, зацікавленість респондента опитуванням, яка забезпечується особистим контактом учасників інтерв'ю.</w:t>
      </w:r>
    </w:p>
    <w:p w:rsidR="00000000" w:rsidDel="00000000" w:rsidP="00000000" w:rsidRDefault="00000000" w:rsidRPr="00000000" w14:paraId="0000002B">
      <w:pPr>
        <w:spacing w:after="0" w:before="0" w:line="360" w:lineRule="auto"/>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Однак організація та проведення інтерв'ю наштовхуються на певні труднощі, пов'язані з пошуком психологічного контакту з респондентом; значними матеріальними та часовими затратами; трудомісткістю підготовки інтерв'юерів; забезпеченням анонімності інтерв'ю.</w:t>
      </w:r>
    </w:p>
    <w:p w:rsidR="00000000" w:rsidDel="00000000" w:rsidP="00000000" w:rsidRDefault="00000000" w:rsidRPr="00000000" w14:paraId="0000002C">
      <w:pPr>
        <w:spacing w:after="0" w:before="0" w:line="360" w:lineRule="auto"/>
        <w:ind w:left="0" w:firstLine="0"/>
        <w:jc w:val="both"/>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   Особливості інтерв'ю зумовили його широке використання в проблемних дослідженнях, при вивченні громадської думки, контрольних, вибіркових і експертних опитуваннях.</w:t>
      </w:r>
    </w:p>
    <w:p w:rsidR="00000000" w:rsidDel="00000000" w:rsidP="00000000" w:rsidRDefault="00000000" w:rsidRPr="00000000" w14:paraId="0000002D">
      <w:pPr>
        <w:spacing w:after="0" w:before="0" w:line="360" w:lineRule="auto"/>
        <w:ind w:left="0" w:firstLine="0"/>
        <w:jc w:val="both"/>
        <w:rPr>
          <w:rFonts w:ascii="Times New Roman" w:cs="Times New Roman" w:eastAsia="Times New Roman" w:hAnsi="Times New Roman"/>
          <w:color w:val="333333"/>
          <w:sz w:val="28"/>
          <w:szCs w:val="28"/>
          <w:highlight w:val="white"/>
        </w:rPr>
      </w:pPr>
      <w:r w:rsidDel="00000000" w:rsidR="00000000" w:rsidRPr="00000000">
        <w:rPr>
          <w:rtl w:val="0"/>
        </w:rPr>
      </w:r>
    </w:p>
    <w:p w:rsidR="00000000" w:rsidDel="00000000" w:rsidP="00000000" w:rsidRDefault="00000000" w:rsidRPr="00000000" w14:paraId="0000002E">
      <w:pPr>
        <w:spacing w:after="0" w:before="0" w:line="360" w:lineRule="auto"/>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Спостереження в психології</w:t>
      </w:r>
      <w:r w:rsidDel="00000000" w:rsidR="00000000" w:rsidRPr="00000000">
        <w:rPr>
          <w:rFonts w:ascii="Times New Roman" w:cs="Times New Roman" w:eastAsia="Times New Roman" w:hAnsi="Times New Roman"/>
          <w:color w:val="0a0a0a"/>
          <w:sz w:val="28"/>
          <w:szCs w:val="28"/>
          <w:highlight w:val="white"/>
          <w:rtl w:val="0"/>
        </w:rPr>
        <w:t xml:space="preserve"> — це  метод цілеспрямованого, систематичного та планомірного сприйняття психічних явищ, поведінки чи діяльності об'єкта без втручання в них. Воно використовується для збору якісних і кількісних даних, фіксуючи зовнішні прояви для розуміння внутрішніх психічних процесів у природних або лабораторних умовах. </w:t>
      </w:r>
    </w:p>
    <w:p w:rsidR="00000000" w:rsidDel="00000000" w:rsidP="00000000" w:rsidRDefault="00000000" w:rsidRPr="00000000" w14:paraId="0000002F">
      <w:pPr>
        <w:spacing w:after="0" w:before="0" w:line="360" w:lineRule="auto"/>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Основні характеристики та види спостереження:</w:t>
      </w:r>
    </w:p>
    <w:p w:rsidR="00000000" w:rsidDel="00000000" w:rsidP="00000000" w:rsidRDefault="00000000" w:rsidRPr="00000000" w14:paraId="00000030">
      <w:pPr>
        <w:numPr>
          <w:ilvl w:val="0"/>
          <w:numId w:val="2"/>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Принципи: науковість, цілеспрямованість, об'єктивність, систематичність.</w:t>
      </w:r>
    </w:p>
    <w:p w:rsidR="00000000" w:rsidDel="00000000" w:rsidP="00000000" w:rsidRDefault="00000000" w:rsidRPr="00000000" w14:paraId="00000031">
      <w:pPr>
        <w:numPr>
          <w:ilvl w:val="0"/>
          <w:numId w:val="2"/>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Види за ступенем включеності:</w:t>
      </w:r>
    </w:p>
    <w:p w:rsidR="00000000" w:rsidDel="00000000" w:rsidP="00000000" w:rsidRDefault="00000000" w:rsidRPr="00000000" w14:paraId="00000032">
      <w:pPr>
        <w:numPr>
          <w:ilvl w:val="1"/>
          <w:numId w:val="2"/>
        </w:numPr>
        <w:pBdr>
          <w:top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Включене</w:t>
      </w:r>
      <w:r w:rsidDel="00000000" w:rsidR="00000000" w:rsidRPr="00000000">
        <w:rPr>
          <w:rFonts w:ascii="Times New Roman" w:cs="Times New Roman" w:eastAsia="Times New Roman" w:hAnsi="Times New Roman"/>
          <w:color w:val="0a0a0a"/>
          <w:sz w:val="28"/>
          <w:szCs w:val="28"/>
          <w:highlight w:val="white"/>
          <w:rtl w:val="0"/>
        </w:rPr>
        <w:t xml:space="preserve">: дослідник стає членом групи.</w:t>
      </w:r>
    </w:p>
    <w:p w:rsidR="00000000" w:rsidDel="00000000" w:rsidP="00000000" w:rsidRDefault="00000000" w:rsidRPr="00000000" w14:paraId="00000033">
      <w:pPr>
        <w:numPr>
          <w:ilvl w:val="1"/>
          <w:numId w:val="2"/>
        </w:numPr>
        <w:pBdr>
          <w:top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Невключене</w:t>
      </w:r>
      <w:r w:rsidDel="00000000" w:rsidR="00000000" w:rsidRPr="00000000">
        <w:rPr>
          <w:rFonts w:ascii="Times New Roman" w:cs="Times New Roman" w:eastAsia="Times New Roman" w:hAnsi="Times New Roman"/>
          <w:color w:val="0a0a0a"/>
          <w:sz w:val="28"/>
          <w:szCs w:val="28"/>
          <w:highlight w:val="white"/>
          <w:rtl w:val="0"/>
        </w:rPr>
        <w:t xml:space="preserve">: спостереження «зі сторони».</w:t>
      </w:r>
    </w:p>
    <w:p w:rsidR="00000000" w:rsidDel="00000000" w:rsidP="00000000" w:rsidRDefault="00000000" w:rsidRPr="00000000" w14:paraId="00000034">
      <w:pPr>
        <w:numPr>
          <w:ilvl w:val="0"/>
          <w:numId w:val="2"/>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Види за умовами:</w:t>
      </w:r>
    </w:p>
    <w:p w:rsidR="00000000" w:rsidDel="00000000" w:rsidP="00000000" w:rsidRDefault="00000000" w:rsidRPr="00000000" w14:paraId="00000035">
      <w:pPr>
        <w:numPr>
          <w:ilvl w:val="1"/>
          <w:numId w:val="2"/>
        </w:numPr>
        <w:pBdr>
          <w:top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Польове</w:t>
      </w:r>
      <w:r w:rsidDel="00000000" w:rsidR="00000000" w:rsidRPr="00000000">
        <w:rPr>
          <w:rFonts w:ascii="Times New Roman" w:cs="Times New Roman" w:eastAsia="Times New Roman" w:hAnsi="Times New Roman"/>
          <w:color w:val="0a0a0a"/>
          <w:sz w:val="28"/>
          <w:szCs w:val="28"/>
          <w:highlight w:val="white"/>
          <w:rtl w:val="0"/>
        </w:rPr>
        <w:t xml:space="preserve">: у природних умовах.</w:t>
      </w:r>
    </w:p>
    <w:p w:rsidR="00000000" w:rsidDel="00000000" w:rsidP="00000000" w:rsidRDefault="00000000" w:rsidRPr="00000000" w14:paraId="00000036">
      <w:pPr>
        <w:numPr>
          <w:ilvl w:val="1"/>
          <w:numId w:val="2"/>
        </w:numPr>
        <w:pBdr>
          <w:top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Лабораторне</w:t>
      </w:r>
      <w:r w:rsidDel="00000000" w:rsidR="00000000" w:rsidRPr="00000000">
        <w:rPr>
          <w:rFonts w:ascii="Times New Roman" w:cs="Times New Roman" w:eastAsia="Times New Roman" w:hAnsi="Times New Roman"/>
          <w:color w:val="0a0a0a"/>
          <w:sz w:val="28"/>
          <w:szCs w:val="28"/>
          <w:highlight w:val="white"/>
          <w:rtl w:val="0"/>
        </w:rPr>
        <w:t xml:space="preserve">: у спеціально створених умовах.</w:t>
      </w:r>
    </w:p>
    <w:p w:rsidR="00000000" w:rsidDel="00000000" w:rsidP="00000000" w:rsidRDefault="00000000" w:rsidRPr="00000000" w14:paraId="00000037">
      <w:pPr>
        <w:numPr>
          <w:ilvl w:val="0"/>
          <w:numId w:val="2"/>
        </w:numPr>
        <w:pBdr>
          <w:top w:color="auto" w:space="0" w:sz="0" w:val="none"/>
          <w:bottom w:color="auto" w:space="0" w:sz="0" w:val="none"/>
          <w:right w:color="auto" w:space="0" w:sz="0" w:val="none"/>
          <w:between w:color="auto" w:space="0" w:sz="0" w:val="none"/>
        </w:pBdr>
        <w:spacing w:after="0" w:before="0" w:line="360" w:lineRule="auto"/>
        <w:ind w:left="720" w:right="10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За регулярністю: систематичні, епізодичні, випадкові. </w:t>
      </w:r>
    </w:p>
    <w:p w:rsidR="00000000" w:rsidDel="00000000" w:rsidP="00000000" w:rsidRDefault="00000000" w:rsidRPr="00000000" w14:paraId="00000038">
      <w:pPr>
        <w:spacing w:after="0" w:before="0" w:line="360" w:lineRule="auto"/>
        <w:jc w:val="both"/>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Етапи методу:</w:t>
      </w:r>
    </w:p>
    <w:p w:rsidR="00000000" w:rsidDel="00000000" w:rsidP="00000000" w:rsidRDefault="00000000" w:rsidRPr="00000000" w14:paraId="00000039">
      <w:pPr>
        <w:numPr>
          <w:ilvl w:val="0"/>
          <w:numId w:val="6"/>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Визначення мети та об'єкта.</w:t>
      </w:r>
    </w:p>
    <w:p w:rsidR="00000000" w:rsidDel="00000000" w:rsidP="00000000" w:rsidRDefault="00000000" w:rsidRPr="00000000" w14:paraId="0000003A">
      <w:pPr>
        <w:numPr>
          <w:ilvl w:val="0"/>
          <w:numId w:val="6"/>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Розробка програми (схеми, одиниць спостереження).</w:t>
      </w:r>
    </w:p>
    <w:p w:rsidR="00000000" w:rsidDel="00000000" w:rsidP="00000000" w:rsidRDefault="00000000" w:rsidRPr="00000000" w14:paraId="0000003B">
      <w:pPr>
        <w:numPr>
          <w:ilvl w:val="0"/>
          <w:numId w:val="6"/>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Безпосереднє спостереження та фіксація результатів (щоденники, відео/аудіо, протоколи).</w:t>
      </w:r>
    </w:p>
    <w:p w:rsidR="00000000" w:rsidDel="00000000" w:rsidP="00000000" w:rsidRDefault="00000000" w:rsidRPr="00000000" w14:paraId="0000003C">
      <w:pPr>
        <w:numPr>
          <w:ilvl w:val="0"/>
          <w:numId w:val="6"/>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Аналіз та інтерпретація отриманих даних. </w:t>
      </w:r>
    </w:p>
    <w:p w:rsidR="00000000" w:rsidDel="00000000" w:rsidP="00000000" w:rsidRDefault="00000000" w:rsidRPr="00000000" w14:paraId="0000003D">
      <w:pPr>
        <w:spacing w:after="0" w:before="0" w:line="360" w:lineRule="auto"/>
        <w:jc w:val="both"/>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Переваги: дозволяє вивчати поведінку в природному контексті, зберігає цілісність явища.</w:t>
      </w:r>
    </w:p>
    <w:p w:rsidR="00000000" w:rsidDel="00000000" w:rsidP="00000000" w:rsidRDefault="00000000" w:rsidRPr="00000000" w14:paraId="0000003E">
      <w:pPr>
        <w:spacing w:after="0" w:before="0" w:line="360" w:lineRule="auto"/>
        <w:ind w:right="100"/>
        <w:jc w:val="both"/>
        <w:rPr>
          <w:rFonts w:ascii="Times New Roman" w:cs="Times New Roman" w:eastAsia="Times New Roman" w:hAnsi="Times New Roman"/>
          <w:color w:val="001d35"/>
          <w:sz w:val="28"/>
          <w:szCs w:val="28"/>
          <w:highlight w:val="white"/>
        </w:rPr>
      </w:pPr>
      <w:r w:rsidDel="00000000" w:rsidR="00000000" w:rsidRPr="00000000">
        <w:rPr>
          <w:rFonts w:ascii="Times New Roman" w:cs="Times New Roman" w:eastAsia="Times New Roman" w:hAnsi="Times New Roman"/>
          <w:color w:val="001d35"/>
          <w:sz w:val="28"/>
          <w:szCs w:val="28"/>
          <w:highlight w:val="white"/>
          <w:rtl w:val="0"/>
        </w:rPr>
        <w:t xml:space="preserve">Недоліки: суб'єктивність спостерігача, неможливість повторення, складність проникнення в причини поведінки. </w:t>
      </w:r>
    </w:p>
    <w:p w:rsidR="00000000" w:rsidDel="00000000" w:rsidP="00000000" w:rsidRDefault="00000000" w:rsidRPr="00000000" w14:paraId="0000003F">
      <w:pP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Аналіз медичного анамнезу та документації</w:t>
      </w:r>
      <w:r w:rsidDel="00000000" w:rsidR="00000000" w:rsidRPr="00000000">
        <w:rPr>
          <w:rFonts w:ascii="Times New Roman" w:cs="Times New Roman" w:eastAsia="Times New Roman" w:hAnsi="Times New Roman"/>
          <w:color w:val="0a0a0a"/>
          <w:sz w:val="28"/>
          <w:szCs w:val="28"/>
          <w:highlight w:val="white"/>
          <w:rtl w:val="0"/>
        </w:rPr>
        <w:t xml:space="preserve"> - це критичний етап для встановлення точного діагнозу та вибору стратегії лікування.</w:t>
      </w:r>
    </w:p>
    <w:p w:rsidR="00000000" w:rsidDel="00000000" w:rsidP="00000000" w:rsidRDefault="00000000" w:rsidRPr="00000000" w14:paraId="00000040">
      <w:pP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Оскільки ви не надали конкретних документів, я можу допомогти вам структурувати цей процес або проаналізувати ключові показники, якщо ви їх випишете.</w:t>
      </w:r>
    </w:p>
    <w:p w:rsidR="00000000" w:rsidDel="00000000" w:rsidP="00000000" w:rsidRDefault="00000000" w:rsidRPr="00000000" w14:paraId="00000041">
      <w:pP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Що зазвичай входить у професійний аналіз анамнезу:</w:t>
      </w:r>
    </w:p>
    <w:p w:rsidR="00000000" w:rsidDel="00000000" w:rsidP="00000000" w:rsidRDefault="00000000" w:rsidRPr="00000000" w14:paraId="00000042">
      <w:pPr>
        <w:numPr>
          <w:ilvl w:val="0"/>
          <w:numId w:val="9"/>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Систематизація скарг:</w:t>
      </w:r>
      <w:r w:rsidDel="00000000" w:rsidR="00000000" w:rsidRPr="00000000">
        <w:rPr>
          <w:rFonts w:ascii="Times New Roman" w:cs="Times New Roman" w:eastAsia="Times New Roman" w:hAnsi="Times New Roman"/>
          <w:color w:val="0a0a0a"/>
          <w:sz w:val="28"/>
          <w:szCs w:val="28"/>
          <w:highlight w:val="white"/>
          <w:rtl w:val="0"/>
        </w:rPr>
        <w:t xml:space="preserve"> Поділ на основні (що турбує найбільше) та другорядні.</w:t>
      </w:r>
    </w:p>
    <w:p w:rsidR="00000000" w:rsidDel="00000000" w:rsidP="00000000" w:rsidRDefault="00000000" w:rsidRPr="00000000" w14:paraId="00000043">
      <w:pPr>
        <w:numPr>
          <w:ilvl w:val="0"/>
          <w:numId w:val="9"/>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Анамнез життя (Anamnesis vitae):</w:t>
      </w:r>
      <w:r w:rsidDel="00000000" w:rsidR="00000000" w:rsidRPr="00000000">
        <w:rPr>
          <w:rFonts w:ascii="Times New Roman" w:cs="Times New Roman" w:eastAsia="Times New Roman" w:hAnsi="Times New Roman"/>
          <w:color w:val="0a0a0a"/>
          <w:sz w:val="28"/>
          <w:szCs w:val="28"/>
          <w:highlight w:val="white"/>
          <w:rtl w:val="0"/>
        </w:rPr>
        <w:t xml:space="preserve"> Хронічні хвороби, спадковість, алергічні реакції та перенесені операції.</w:t>
      </w:r>
    </w:p>
    <w:p w:rsidR="00000000" w:rsidDel="00000000" w:rsidP="00000000" w:rsidRDefault="00000000" w:rsidRPr="00000000" w14:paraId="00000044">
      <w:pPr>
        <w:numPr>
          <w:ilvl w:val="0"/>
          <w:numId w:val="9"/>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Анамнез хвороби (Anamnesis morbi):</w:t>
      </w:r>
      <w:r w:rsidDel="00000000" w:rsidR="00000000" w:rsidRPr="00000000">
        <w:rPr>
          <w:rFonts w:ascii="Times New Roman" w:cs="Times New Roman" w:eastAsia="Times New Roman" w:hAnsi="Times New Roman"/>
          <w:color w:val="0a0a0a"/>
          <w:sz w:val="28"/>
          <w:szCs w:val="28"/>
          <w:highlight w:val="white"/>
          <w:rtl w:val="0"/>
        </w:rPr>
        <w:t xml:space="preserve"> Коли з’явилися перші симптоми, як розвивалися та яке лікування вже проводилося.</w:t>
      </w:r>
    </w:p>
    <w:p w:rsidR="00000000" w:rsidDel="00000000" w:rsidP="00000000" w:rsidRDefault="00000000" w:rsidRPr="00000000" w14:paraId="00000045">
      <w:pPr>
        <w:numPr>
          <w:ilvl w:val="0"/>
          <w:numId w:val="9"/>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Інтерпретація досліджень:</w:t>
      </w:r>
    </w:p>
    <w:p w:rsidR="00000000" w:rsidDel="00000000" w:rsidP="00000000" w:rsidRDefault="00000000" w:rsidRPr="00000000" w14:paraId="00000046">
      <w:pPr>
        <w:numPr>
          <w:ilvl w:val="1"/>
          <w:numId w:val="9"/>
        </w:numPr>
        <w:pBdr>
          <w:top w:color="auto" w:space="0" w:sz="0" w:val="none"/>
          <w:bottom w:color="auto" w:space="0" w:sz="0" w:val="none"/>
          <w:right w:color="auto" w:space="0" w:sz="0" w:val="none"/>
          <w:between w:color="auto" w:space="0" w:sz="0" w:val="none"/>
        </w:pBdr>
        <w:spacing w:after="0" w:before="0" w:line="360" w:lineRule="auto"/>
        <w:ind w:left="144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Лабораторні дані:</w:t>
      </w:r>
      <w:r w:rsidDel="00000000" w:rsidR="00000000" w:rsidRPr="00000000">
        <w:rPr>
          <w:rFonts w:ascii="Times New Roman" w:cs="Times New Roman" w:eastAsia="Times New Roman" w:hAnsi="Times New Roman"/>
          <w:color w:val="0a0a0a"/>
          <w:sz w:val="28"/>
          <w:szCs w:val="28"/>
          <w:highlight w:val="white"/>
          <w:rtl w:val="0"/>
        </w:rPr>
        <w:t xml:space="preserve"> Аналізи крові, сечі, гормональні панелі, онкомаркери.</w:t>
      </w:r>
    </w:p>
    <w:p w:rsidR="00000000" w:rsidDel="00000000" w:rsidP="00000000" w:rsidRDefault="00000000" w:rsidRPr="00000000" w14:paraId="00000047">
      <w:pPr>
        <w:numPr>
          <w:ilvl w:val="1"/>
          <w:numId w:val="9"/>
        </w:numPr>
        <w:pBdr>
          <w:top w:color="auto" w:space="0" w:sz="0" w:val="none"/>
          <w:bottom w:color="auto" w:space="0" w:sz="0" w:val="none"/>
          <w:right w:color="auto" w:space="0" w:sz="0" w:val="none"/>
          <w:between w:color="auto" w:space="0" w:sz="0" w:val="none"/>
        </w:pBdr>
        <w:spacing w:after="0" w:before="0" w:line="360" w:lineRule="auto"/>
        <w:ind w:left="144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Інструментальні дані:</w:t>
      </w:r>
      <w:r w:rsidDel="00000000" w:rsidR="00000000" w:rsidRPr="00000000">
        <w:rPr>
          <w:rFonts w:ascii="Times New Roman" w:cs="Times New Roman" w:eastAsia="Times New Roman" w:hAnsi="Times New Roman"/>
          <w:color w:val="0a0a0a"/>
          <w:sz w:val="28"/>
          <w:szCs w:val="28"/>
          <w:highlight w:val="white"/>
          <w:rtl w:val="0"/>
        </w:rPr>
        <w:t xml:space="preserve"> МРТ, КТ, УЗД, ЕКГ (пошук відхилень від норми).</w:t>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pacing w:after="0" w:before="0" w:line="360" w:lineRule="auto"/>
        <w:ind w:left="283.46456692913375" w:firstLine="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Експериментально-психологічний (патопсихологічний) метод - </w:t>
      </w:r>
      <w:r w:rsidDel="00000000" w:rsidR="00000000" w:rsidRPr="00000000">
        <w:rPr>
          <w:rFonts w:ascii="Times New Roman" w:cs="Times New Roman" w:eastAsia="Times New Roman" w:hAnsi="Times New Roman"/>
          <w:color w:val="0a0a0a"/>
          <w:sz w:val="28"/>
          <w:szCs w:val="28"/>
          <w:highlight w:val="white"/>
          <w:rtl w:val="0"/>
        </w:rPr>
        <w:t xml:space="preserve">це система наукових прийомів, що використовуються в клінічній практиці для якісного аналізу порушень психічної діяльності. На відміну від класичного тестування, він фокусується не лише на результаті, а й на </w:t>
      </w:r>
      <w:r w:rsidDel="00000000" w:rsidR="00000000" w:rsidRPr="00000000">
        <w:rPr>
          <w:rFonts w:ascii="Times New Roman" w:cs="Times New Roman" w:eastAsia="Times New Roman" w:hAnsi="Times New Roman"/>
          <w:b w:val="1"/>
          <w:bCs w:val="1"/>
          <w:color w:val="0a0a0a"/>
          <w:sz w:val="28"/>
          <w:szCs w:val="28"/>
          <w:highlight w:val="white"/>
          <w:rtl w:val="0"/>
        </w:rPr>
        <w:t xml:space="preserve">процесі</w:t>
      </w:r>
      <w:r w:rsidDel="00000000" w:rsidR="00000000" w:rsidRPr="00000000">
        <w:rPr>
          <w:rFonts w:ascii="Times New Roman" w:cs="Times New Roman" w:eastAsia="Times New Roman" w:hAnsi="Times New Roman"/>
          <w:color w:val="0a0a0a"/>
          <w:sz w:val="28"/>
          <w:szCs w:val="28"/>
          <w:highlight w:val="white"/>
          <w:rtl w:val="0"/>
        </w:rPr>
        <w:t xml:space="preserve"> виконання завдання хворим. </w:t>
      </w:r>
    </w:p>
    <w:p w:rsidR="00000000" w:rsidDel="00000000" w:rsidP="00000000" w:rsidRDefault="00000000" w:rsidRPr="00000000" w14:paraId="00000049">
      <w:pPr>
        <w:pBdr>
          <w:top w:color="auto" w:space="0" w:sz="0" w:val="none"/>
          <w:bottom w:color="auto" w:space="0" w:sz="0" w:val="none"/>
          <w:right w:color="auto" w:space="0" w:sz="0" w:val="none"/>
          <w:between w:color="auto" w:space="0" w:sz="0" w:val="none"/>
        </w:pBdr>
        <w:spacing w:after="0" w:before="0" w:line="360" w:lineRule="auto"/>
        <w:ind w:left="720" w:firstLine="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Основні принципи (за Б. Зейгарник)</w:t>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Згідно з теоретичними засадами </w:t>
      </w:r>
      <w:r w:rsidDel="00000000" w:rsidR="00000000" w:rsidRPr="00000000">
        <w:rPr>
          <w:rFonts w:ascii="Times New Roman" w:cs="Times New Roman" w:eastAsia="Times New Roman" w:hAnsi="Times New Roman"/>
          <w:color w:val="0a0a0a"/>
          <w:sz w:val="28"/>
          <w:szCs w:val="28"/>
          <w:highlight w:val="white"/>
          <w:rtl w:val="0"/>
        </w:rPr>
        <w:t xml:space="preserve">Б. Зейгарник</w:t>
      </w:r>
      <w:r w:rsidDel="00000000" w:rsidR="00000000" w:rsidRPr="00000000">
        <w:rPr>
          <w:rFonts w:ascii="Times New Roman" w:cs="Times New Roman" w:eastAsia="Times New Roman" w:hAnsi="Times New Roman"/>
          <w:color w:val="0a0a0a"/>
          <w:sz w:val="28"/>
          <w:szCs w:val="28"/>
          <w:highlight w:val="white"/>
          <w:rtl w:val="0"/>
        </w:rPr>
        <w:t xml:space="preserve">, патопсихологічний експеримент будується на таких принципах: </w:t>
      </w:r>
    </w:p>
    <w:p w:rsidR="00000000" w:rsidDel="00000000" w:rsidP="00000000" w:rsidRDefault="00000000" w:rsidRPr="00000000" w14:paraId="0000004B">
      <w:pPr>
        <w:numPr>
          <w:ilvl w:val="0"/>
          <w:numId w:val="3"/>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Якісний аналіз</w:t>
      </w:r>
      <w:r w:rsidDel="00000000" w:rsidR="00000000" w:rsidRPr="00000000">
        <w:rPr>
          <w:rFonts w:ascii="Times New Roman" w:cs="Times New Roman" w:eastAsia="Times New Roman" w:hAnsi="Times New Roman"/>
          <w:color w:val="0a0a0a"/>
          <w:sz w:val="28"/>
          <w:szCs w:val="28"/>
          <w:highlight w:val="white"/>
          <w:rtl w:val="0"/>
        </w:rPr>
        <w:t xml:space="preserve">: дослідження механізмів розпаду психіки, а не просто констатація успіху чи невдачі.</w:t>
      </w:r>
    </w:p>
    <w:p w:rsidR="00000000" w:rsidDel="00000000" w:rsidP="00000000" w:rsidRDefault="00000000" w:rsidRPr="00000000" w14:paraId="0000004C">
      <w:pPr>
        <w:numPr>
          <w:ilvl w:val="0"/>
          <w:numId w:val="3"/>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Виявлення збережених функцій</w:t>
      </w:r>
      <w:r w:rsidDel="00000000" w:rsidR="00000000" w:rsidRPr="00000000">
        <w:rPr>
          <w:rFonts w:ascii="Times New Roman" w:cs="Times New Roman" w:eastAsia="Times New Roman" w:hAnsi="Times New Roman"/>
          <w:color w:val="0a0a0a"/>
          <w:sz w:val="28"/>
          <w:szCs w:val="28"/>
          <w:highlight w:val="white"/>
          <w:rtl w:val="0"/>
        </w:rPr>
        <w:t xml:space="preserve">: визначення ресурсів психіки, на які можна спиратися під час реабілітації.</w:t>
      </w:r>
    </w:p>
    <w:p w:rsidR="00000000" w:rsidDel="00000000" w:rsidP="00000000" w:rsidRDefault="00000000" w:rsidRPr="00000000" w14:paraId="0000004D">
      <w:pPr>
        <w:numPr>
          <w:ilvl w:val="0"/>
          <w:numId w:val="3"/>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Особистісне ставлення</w:t>
      </w:r>
      <w:r w:rsidDel="00000000" w:rsidR="00000000" w:rsidRPr="00000000">
        <w:rPr>
          <w:rFonts w:ascii="Times New Roman" w:cs="Times New Roman" w:eastAsia="Times New Roman" w:hAnsi="Times New Roman"/>
          <w:color w:val="0a0a0a"/>
          <w:sz w:val="28"/>
          <w:szCs w:val="28"/>
          <w:highlight w:val="white"/>
          <w:rtl w:val="0"/>
        </w:rPr>
        <w:t xml:space="preserve">: врахування мотивації хворого та його реакції на успіх/невдачу під час дослідження.</w:t>
      </w:r>
    </w:p>
    <w:p w:rsidR="00000000" w:rsidDel="00000000" w:rsidP="00000000" w:rsidRDefault="00000000" w:rsidRPr="00000000" w14:paraId="0000004E">
      <w:pPr>
        <w:numPr>
          <w:ilvl w:val="0"/>
          <w:numId w:val="3"/>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Використання набору методик</w:t>
      </w:r>
      <w:r w:rsidDel="00000000" w:rsidR="00000000" w:rsidRPr="00000000">
        <w:rPr>
          <w:rFonts w:ascii="Times New Roman" w:cs="Times New Roman" w:eastAsia="Times New Roman" w:hAnsi="Times New Roman"/>
          <w:color w:val="0a0a0a"/>
          <w:sz w:val="28"/>
          <w:szCs w:val="28"/>
          <w:highlight w:val="white"/>
          <w:rtl w:val="0"/>
        </w:rPr>
        <w:t xml:space="preserve">: комбінування завдань для перехресної перевірки результатів та виключення симуляції. </w:t>
      </w:r>
    </w:p>
    <w:p w:rsidR="00000000" w:rsidDel="00000000" w:rsidP="00000000" w:rsidRDefault="00000000" w:rsidRPr="00000000" w14:paraId="0000004F">
      <w:pPr>
        <w:pBdr>
          <w:top w:color="auto" w:space="0" w:sz="0" w:val="none"/>
          <w:bottom w:color="auto" w:space="0" w:sz="0" w:val="none"/>
          <w:right w:color="auto" w:space="0" w:sz="0" w:val="none"/>
          <w:between w:color="auto" w:space="0" w:sz="0" w:val="none"/>
        </w:pBdr>
        <w:spacing w:after="0" w:before="0" w:line="360" w:lineRule="auto"/>
        <w:ind w:left="720" w:firstLine="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Класичні методики</w:t>
      </w:r>
    </w:p>
    <w:p w:rsidR="00000000" w:rsidDel="00000000" w:rsidP="00000000" w:rsidRDefault="00000000" w:rsidRPr="00000000" w14:paraId="00000050">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У клініці зазвичай використовують </w:t>
      </w:r>
      <w:r w:rsidDel="00000000" w:rsidR="00000000" w:rsidRPr="00000000">
        <w:rPr>
          <w:rFonts w:ascii="Times New Roman" w:cs="Times New Roman" w:eastAsia="Times New Roman" w:hAnsi="Times New Roman"/>
          <w:color w:val="0a0a0a"/>
          <w:sz w:val="28"/>
          <w:szCs w:val="28"/>
          <w:highlight w:val="white"/>
          <w:rtl w:val="0"/>
        </w:rPr>
        <w:t xml:space="preserve">нестандартизовані методики</w:t>
      </w:r>
      <w:r w:rsidDel="00000000" w:rsidR="00000000" w:rsidRPr="00000000">
        <w:rPr>
          <w:rFonts w:ascii="Times New Roman" w:cs="Times New Roman" w:eastAsia="Times New Roman" w:hAnsi="Times New Roman"/>
          <w:color w:val="0a0a0a"/>
          <w:sz w:val="28"/>
          <w:szCs w:val="28"/>
          <w:highlight w:val="white"/>
          <w:rtl w:val="0"/>
        </w:rPr>
        <w:t xml:space="preserve">, описані С. Рубінштейн: </w:t>
      </w:r>
    </w:p>
    <w:p w:rsidR="00000000" w:rsidDel="00000000" w:rsidP="00000000" w:rsidRDefault="00000000" w:rsidRPr="00000000" w14:paraId="00000051">
      <w:pPr>
        <w:numPr>
          <w:ilvl w:val="0"/>
          <w:numId w:val="8"/>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Дослідження мислення</w:t>
      </w:r>
      <w:r w:rsidDel="00000000" w:rsidR="00000000" w:rsidRPr="00000000">
        <w:rPr>
          <w:rFonts w:ascii="Times New Roman" w:cs="Times New Roman" w:eastAsia="Times New Roman" w:hAnsi="Times New Roman"/>
          <w:color w:val="0a0a0a"/>
          <w:sz w:val="28"/>
          <w:szCs w:val="28"/>
          <w:highlight w:val="white"/>
          <w:rtl w:val="0"/>
        </w:rPr>
        <w:t xml:space="preserve">: "Виключення зайвого", "Класифікація предметів", "Тлумачення прислів'їв", "Піктограма".</w:t>
      </w:r>
    </w:p>
    <w:p w:rsidR="00000000" w:rsidDel="00000000" w:rsidP="00000000" w:rsidRDefault="00000000" w:rsidRPr="00000000" w14:paraId="00000052">
      <w:pPr>
        <w:numPr>
          <w:ilvl w:val="0"/>
          <w:numId w:val="8"/>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Дослідження пам'яті</w:t>
      </w:r>
      <w:r w:rsidDel="00000000" w:rsidR="00000000" w:rsidRPr="00000000">
        <w:rPr>
          <w:rFonts w:ascii="Times New Roman" w:cs="Times New Roman" w:eastAsia="Times New Roman" w:hAnsi="Times New Roman"/>
          <w:color w:val="0a0a0a"/>
          <w:sz w:val="28"/>
          <w:szCs w:val="28"/>
          <w:highlight w:val="white"/>
          <w:rtl w:val="0"/>
        </w:rPr>
        <w:t xml:space="preserve">: "10 слів" (за О. Лурія), "Опосередковане запам'ятовування".</w:t>
      </w:r>
    </w:p>
    <w:p w:rsidR="00000000" w:rsidDel="00000000" w:rsidP="00000000" w:rsidRDefault="00000000" w:rsidRPr="00000000" w14:paraId="00000053">
      <w:pPr>
        <w:numPr>
          <w:ilvl w:val="0"/>
          <w:numId w:val="8"/>
        </w:numPr>
        <w:pBdr>
          <w:top w:color="auto" w:space="0" w:sz="0" w:val="none"/>
          <w:bottom w:color="auto" w:space="0" w:sz="0" w:val="none"/>
          <w:right w:color="auto" w:space="0" w:sz="0" w:val="none"/>
          <w:between w:color="auto" w:space="0" w:sz="0" w:val="none"/>
        </w:pBdr>
        <w:spacing w:after="0" w:before="0" w:line="360" w:lineRule="auto"/>
        <w:ind w:left="72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Дослідження уваги</w:t>
      </w:r>
      <w:r w:rsidDel="00000000" w:rsidR="00000000" w:rsidRPr="00000000">
        <w:rPr>
          <w:rFonts w:ascii="Times New Roman" w:cs="Times New Roman" w:eastAsia="Times New Roman" w:hAnsi="Times New Roman"/>
          <w:color w:val="0a0a0a"/>
          <w:sz w:val="28"/>
          <w:szCs w:val="28"/>
          <w:highlight w:val="white"/>
          <w:rtl w:val="0"/>
        </w:rPr>
        <w:t xml:space="preserve">: "Таблиці Шульте", "Коректурна проба".</w:t>
      </w:r>
    </w:p>
    <w:p w:rsidR="00000000" w:rsidDel="00000000" w:rsidP="00000000" w:rsidRDefault="00000000" w:rsidRPr="00000000" w14:paraId="00000054">
      <w:pPr>
        <w:numPr>
          <w:ilvl w:val="0"/>
          <w:numId w:val="8"/>
        </w:numPr>
        <w:pBdr>
          <w:top w:color="auto" w:space="0" w:sz="0" w:val="none"/>
          <w:bottom w:color="auto" w:space="0" w:sz="0" w:val="none"/>
          <w:right w:color="auto" w:space="0" w:sz="0" w:val="none"/>
          <w:between w:color="auto" w:space="0" w:sz="0" w:val="none"/>
        </w:pBdr>
        <w:spacing w:after="0" w:before="0" w:line="360" w:lineRule="auto"/>
        <w:ind w:left="720" w:right="100" w:hanging="360"/>
        <w:jc w:val="both"/>
        <w:rPr>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Дослідження інтелекту</w:t>
      </w:r>
      <w:r w:rsidDel="00000000" w:rsidR="00000000" w:rsidRPr="00000000">
        <w:rPr>
          <w:rFonts w:ascii="Times New Roman" w:cs="Times New Roman" w:eastAsia="Times New Roman" w:hAnsi="Times New Roman"/>
          <w:color w:val="0a0a0a"/>
          <w:sz w:val="28"/>
          <w:szCs w:val="28"/>
          <w:highlight w:val="white"/>
          <w:rtl w:val="0"/>
        </w:rPr>
        <w:t xml:space="preserve">: "Кубики Кооса", прогресивні матриці Равена. </w:t>
      </w:r>
    </w:p>
    <w:p w:rsidR="00000000" w:rsidDel="00000000" w:rsidP="00000000" w:rsidRDefault="00000000" w:rsidRPr="00000000" w14:paraId="00000055">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Нейропсихологічне</w:t>
      </w:r>
      <w:r w:rsidDel="00000000" w:rsidR="00000000" w:rsidRPr="00000000">
        <w:rPr>
          <w:rFonts w:ascii="Times New Roman" w:cs="Times New Roman" w:eastAsia="Times New Roman" w:hAnsi="Times New Roman"/>
          <w:b w:val="1"/>
          <w:bCs w:val="1"/>
          <w:color w:val="0a0a0a"/>
          <w:sz w:val="28"/>
          <w:szCs w:val="28"/>
          <w:highlight w:val="white"/>
          <w:rtl w:val="0"/>
        </w:rPr>
        <w:t xml:space="preserve"> та патопсихологічне дослідження</w:t>
      </w:r>
      <w:r w:rsidDel="00000000" w:rsidR="00000000" w:rsidRPr="00000000">
        <w:rPr>
          <w:rFonts w:ascii="Times New Roman" w:cs="Times New Roman" w:eastAsia="Times New Roman" w:hAnsi="Times New Roman"/>
          <w:color w:val="0a0a0a"/>
          <w:sz w:val="28"/>
          <w:szCs w:val="28"/>
          <w:highlight w:val="white"/>
          <w:rtl w:val="0"/>
        </w:rPr>
        <w:t xml:space="preserve"> спрямовані на діагностику вищих психічних функцій (ВПФ) та емоційно-вольової сфери. Нейропсихологія фокусується на локалізації уражень мозку та їх впливі на пам'ять, увагу, мовлення, а патопсихологія — на структурі порушень психічних процесів, рівні інтелектуального дефекту та оцінці особистості для диференціальної діагностики</w:t>
      </w:r>
    </w:p>
    <w:p w:rsidR="00000000" w:rsidDel="00000000" w:rsidP="00000000" w:rsidRDefault="00000000" w:rsidRPr="00000000" w14:paraId="00000056">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Основні завдання нейропсихологічного дослідження:</w:t>
      </w:r>
    </w:p>
    <w:p w:rsidR="00000000" w:rsidDel="00000000" w:rsidP="00000000" w:rsidRDefault="00000000" w:rsidRPr="00000000" w14:paraId="00000057">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Топічна діагностика: визначення локалізації ураження головного мозку на основі аналізу порушень ВПФ (пам'яті, уваги, мовлення, мислення, праксису, гнозису).</w:t>
      </w:r>
    </w:p>
    <w:p w:rsidR="00000000" w:rsidDel="00000000" w:rsidP="00000000" w:rsidRDefault="00000000" w:rsidRPr="00000000" w14:paraId="00000058">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Аналіз структури дефекту: з'ясування, який саме нейропсихологічний фактор (наприклад, кінетичний, слуховий, зоровий) призвів до порушення певної функції.</w:t>
      </w:r>
    </w:p>
    <w:p w:rsidR="00000000" w:rsidDel="00000000" w:rsidP="00000000" w:rsidRDefault="00000000" w:rsidRPr="00000000" w14:paraId="00000059">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Оцінка збережених функцій: виявлення збережених структур мозку для розробки реабілітаційної програми.</w:t>
      </w:r>
    </w:p>
    <w:p w:rsidR="00000000" w:rsidDel="00000000" w:rsidP="00000000" w:rsidRDefault="00000000" w:rsidRPr="00000000" w14:paraId="0000005A">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Діагностика функціонального стану мозку: визначення рівня зрілості мозкових структур у дітей або динаміки відновлення після інсультів/травм.</w:t>
      </w:r>
    </w:p>
    <w:p w:rsidR="00000000" w:rsidDel="00000000" w:rsidP="00000000" w:rsidRDefault="00000000" w:rsidRPr="00000000" w14:paraId="0000005B">
      <w:pPr>
        <w:numPr>
          <w:ilvl w:val="0"/>
          <w:numId w:val="1"/>
        </w:numPr>
        <w:pBdr>
          <w:top w:color="auto" w:space="0" w:sz="0" w:val="none"/>
          <w:bottom w:color="auto" w:space="0" w:sz="0" w:val="none"/>
          <w:right w:color="auto" w:space="0" w:sz="0" w:val="none"/>
          <w:between w:color="auto" w:space="0" w:sz="0" w:val="none"/>
        </w:pBdr>
        <w:spacing w:after="0" w:before="0" w:line="360" w:lineRule="auto"/>
        <w:ind w:left="720" w:right="10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Моніторинг динаміки: порівняння результатів до і після лікування/реабілітації. </w:t>
      </w:r>
    </w:p>
    <w:p w:rsidR="00000000" w:rsidDel="00000000" w:rsidP="00000000" w:rsidRDefault="00000000" w:rsidRPr="00000000" w14:paraId="0000005C">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b w:val="1"/>
          <w:bCs w:val="1"/>
          <w:color w:val="0a0a0a"/>
          <w:sz w:val="28"/>
          <w:szCs w:val="28"/>
          <w:highlight w:val="white"/>
        </w:rPr>
      </w:pPr>
      <w:r w:rsidDel="00000000" w:rsidR="00000000" w:rsidRPr="00000000">
        <w:rPr>
          <w:rFonts w:ascii="Times New Roman" w:cs="Times New Roman" w:eastAsia="Times New Roman" w:hAnsi="Times New Roman"/>
          <w:b w:val="1"/>
          <w:bCs w:val="1"/>
          <w:color w:val="0a0a0a"/>
          <w:sz w:val="28"/>
          <w:szCs w:val="28"/>
          <w:highlight w:val="white"/>
          <w:rtl w:val="0"/>
        </w:rPr>
        <w:t xml:space="preserve">Основні завдання патопсихологічного дослідження:</w:t>
      </w:r>
    </w:p>
    <w:p w:rsidR="00000000" w:rsidDel="00000000" w:rsidP="00000000" w:rsidRDefault="00000000" w:rsidRPr="00000000" w14:paraId="0000005D">
      <w:pPr>
        <w:numPr>
          <w:ilvl w:val="0"/>
          <w:numId w:val="7"/>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Диференціальна діагностика: розмежування схожих клінічних симптомів, визначення нозологічної приналежності захворювання (наприклад, диференціація шизофренії, деменції, неврозу).</w:t>
      </w:r>
    </w:p>
    <w:p w:rsidR="00000000" w:rsidDel="00000000" w:rsidP="00000000" w:rsidRDefault="00000000" w:rsidRPr="00000000" w14:paraId="0000005E">
      <w:pPr>
        <w:numPr>
          <w:ilvl w:val="0"/>
          <w:numId w:val="7"/>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Структурний аналіз дефекту: встановлення патопсихологічних механізмів, що лежать в основі порушень (наприклад, зниження рівня узагальнення, спотворення процесу мислення, емоційно-вольові порушення).</w:t>
      </w:r>
    </w:p>
    <w:p w:rsidR="00000000" w:rsidDel="00000000" w:rsidP="00000000" w:rsidRDefault="00000000" w:rsidRPr="00000000" w14:paraId="0000005F">
      <w:pPr>
        <w:numPr>
          <w:ilvl w:val="0"/>
          <w:numId w:val="7"/>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Оцінка інтелекту та когнітивних функцій: визначення структури та ступеня зниження пам'яті, уваги та мислення.</w:t>
      </w:r>
    </w:p>
    <w:p w:rsidR="00000000" w:rsidDel="00000000" w:rsidP="00000000" w:rsidRDefault="00000000" w:rsidRPr="00000000" w14:paraId="00000060">
      <w:pPr>
        <w:numPr>
          <w:ilvl w:val="0"/>
          <w:numId w:val="7"/>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Виявлення особистісних особливостей: діагностика емоційних та мотиваційних змін, психологічних причин поведінкових розладів.</w:t>
      </w:r>
    </w:p>
    <w:p w:rsidR="00000000" w:rsidDel="00000000" w:rsidP="00000000" w:rsidRDefault="00000000" w:rsidRPr="00000000" w14:paraId="00000061">
      <w:pPr>
        <w:numPr>
          <w:ilvl w:val="0"/>
          <w:numId w:val="7"/>
        </w:numPr>
        <w:pBdr>
          <w:top w:color="auto" w:space="0" w:sz="0" w:val="none"/>
          <w:bottom w:color="auto" w:space="0" w:sz="0" w:val="none"/>
          <w:right w:color="auto" w:space="0" w:sz="0" w:val="none"/>
          <w:between w:color="auto" w:space="0" w:sz="0" w:val="none"/>
        </w:pBdr>
        <w:spacing w:after="0" w:before="0" w:line="360" w:lineRule="auto"/>
        <w:ind w:left="720" w:right="10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Експертна оцінка: участь у медико-соціальній, судово-психіатричній або військовій експертизі (визначення працездатності, осудності). </w:t>
      </w:r>
    </w:p>
    <w:p w:rsidR="00000000" w:rsidDel="00000000" w:rsidP="00000000" w:rsidRDefault="00000000" w:rsidRPr="00000000" w14:paraId="00000062">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Спільна мета: отримання об'єктивних даних про роботу психіки, які допомагають лікарю-психіатру або неврологу поставити правильний діагноз та призначити ефективне лікування чи реабілітацію. </w:t>
      </w:r>
    </w:p>
    <w:p w:rsidR="00000000" w:rsidDel="00000000" w:rsidP="00000000" w:rsidRDefault="00000000" w:rsidRPr="00000000" w14:paraId="00000063">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Проективна психодіагностика у клінічній психології — це метод дослідження особистості через аналіз її реакцій на невизначені стимули (картинки, плями, малюнки), що дозволяє виявити несвідомі конфлікти, мотиви та емоційні переживання. Вона допомагає клініцистам діагностувати психічні стани, проводити диференційну діагностику та коригувати психотерапевтичну програму. </w:t>
      </w:r>
    </w:p>
    <w:p w:rsidR="00000000" w:rsidDel="00000000" w:rsidP="00000000" w:rsidRDefault="00000000" w:rsidRPr="00000000" w14:paraId="00000064">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Основні характеристики та методи:</w:t>
      </w:r>
    </w:p>
    <w:p w:rsidR="00000000" w:rsidDel="00000000" w:rsidP="00000000" w:rsidRDefault="00000000" w:rsidRPr="00000000" w14:paraId="00000065">
      <w:pPr>
        <w:numPr>
          <w:ilvl w:val="0"/>
          <w:numId w:val="4"/>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Принцип проекції: Пацієнт проектує свій внутрішній світ, страхи та установки на невизначений матеріал.</w:t>
      </w:r>
    </w:p>
    <w:p w:rsidR="00000000" w:rsidDel="00000000" w:rsidP="00000000" w:rsidRDefault="00000000" w:rsidRPr="00000000" w14:paraId="00000066">
      <w:pPr>
        <w:numPr>
          <w:ilvl w:val="0"/>
          <w:numId w:val="4"/>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Особливості: Відсутність обмежень у відповіді, оцінка результатів не є «правильною» чи «помилковою», що знижує свідомий контроль та захисні механізми.</w:t>
      </w:r>
    </w:p>
    <w:p w:rsidR="00000000" w:rsidDel="00000000" w:rsidP="00000000" w:rsidRDefault="00000000" w:rsidRPr="00000000" w14:paraId="00000067">
      <w:pPr>
        <w:numPr>
          <w:ilvl w:val="0"/>
          <w:numId w:val="4"/>
        </w:numPr>
        <w:pBdr>
          <w:top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Основні методики:</w:t>
      </w:r>
    </w:p>
    <w:p w:rsidR="00000000" w:rsidDel="00000000" w:rsidP="00000000" w:rsidRDefault="00000000" w:rsidRPr="00000000" w14:paraId="00000068">
      <w:pPr>
        <w:numPr>
          <w:ilvl w:val="1"/>
          <w:numId w:val="4"/>
        </w:numPr>
        <w:pBdr>
          <w:top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Тематичний аперцептивний тест (ТАТ)</w:t>
      </w:r>
      <w:r w:rsidDel="00000000" w:rsidR="00000000" w:rsidRPr="00000000">
        <w:rPr>
          <w:rFonts w:ascii="Times New Roman" w:cs="Times New Roman" w:eastAsia="Times New Roman" w:hAnsi="Times New Roman"/>
          <w:color w:val="0a0a0a"/>
          <w:sz w:val="28"/>
          <w:szCs w:val="28"/>
          <w:highlight w:val="white"/>
          <w:rtl w:val="0"/>
        </w:rPr>
        <w:t xml:space="preserve">: Складання історій за сюжетними картинками для виявлення прихованих конфліктів.</w:t>
      </w:r>
    </w:p>
    <w:p w:rsidR="00000000" w:rsidDel="00000000" w:rsidP="00000000" w:rsidRDefault="00000000" w:rsidRPr="00000000" w14:paraId="00000069">
      <w:pPr>
        <w:numPr>
          <w:ilvl w:val="1"/>
          <w:numId w:val="4"/>
        </w:numPr>
        <w:pBdr>
          <w:top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Тест Роршаха</w:t>
      </w:r>
      <w:r w:rsidDel="00000000" w:rsidR="00000000" w:rsidRPr="00000000">
        <w:rPr>
          <w:rFonts w:ascii="Times New Roman" w:cs="Times New Roman" w:eastAsia="Times New Roman" w:hAnsi="Times New Roman"/>
          <w:color w:val="0a0a0a"/>
          <w:sz w:val="28"/>
          <w:szCs w:val="28"/>
          <w:highlight w:val="white"/>
          <w:rtl w:val="0"/>
        </w:rPr>
        <w:t xml:space="preserve">: Інтерпретація плям для оцінки структурних особливостей особистості.</w:t>
      </w:r>
    </w:p>
    <w:p w:rsidR="00000000" w:rsidDel="00000000" w:rsidP="00000000" w:rsidRDefault="00000000" w:rsidRPr="00000000" w14:paraId="0000006A">
      <w:pPr>
        <w:numPr>
          <w:ilvl w:val="1"/>
          <w:numId w:val="4"/>
        </w:numPr>
        <w:pBdr>
          <w:top w:color="auto" w:space="0" w:sz="0" w:val="none"/>
          <w:bottom w:color="auto" w:space="0" w:sz="0" w:val="none"/>
          <w:right w:color="auto" w:space="0" w:sz="0" w:val="none"/>
          <w:between w:color="auto" w:space="0" w:sz="0" w:val="none"/>
        </w:pBdr>
        <w:spacing w:after="0" w:before="0" w:line="360" w:lineRule="auto"/>
        <w:ind w:left="1440" w:right="10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Малюнкові тести</w:t>
      </w:r>
      <w:r w:rsidDel="00000000" w:rsidR="00000000" w:rsidRPr="00000000">
        <w:rPr>
          <w:rFonts w:ascii="Times New Roman" w:cs="Times New Roman" w:eastAsia="Times New Roman" w:hAnsi="Times New Roman"/>
          <w:color w:val="0a0a0a"/>
          <w:sz w:val="28"/>
          <w:szCs w:val="28"/>
          <w:highlight w:val="white"/>
          <w:rtl w:val="0"/>
        </w:rPr>
        <w:t xml:space="preserve"> (напр., «Дім-Дерево-Людина»): Аналіз особистісних особливостей через творчість. </w:t>
      </w:r>
    </w:p>
    <w:p w:rsidR="00000000" w:rsidDel="00000000" w:rsidP="00000000" w:rsidRDefault="00000000" w:rsidRPr="00000000" w14:paraId="0000006B">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Fonts w:ascii="Times New Roman" w:cs="Times New Roman" w:eastAsia="Times New Roman" w:hAnsi="Times New Roman"/>
          <w:color w:val="0a0a0a"/>
          <w:sz w:val="28"/>
          <w:szCs w:val="28"/>
          <w:highlight w:val="white"/>
          <w:rtl w:val="0"/>
        </w:rPr>
        <w:t xml:space="preserve">Проективні методи є незамінними для роботи з дітьми, а також пацієнтами, які не можуть вербалізувати свій стан, дозволяючи отримати глибинну інформацію для клініко-психологічного висновку.</w:t>
      </w:r>
    </w:p>
    <w:p w:rsidR="00000000" w:rsidDel="00000000" w:rsidP="00000000" w:rsidRDefault="00000000" w:rsidRPr="00000000" w14:paraId="0000006C">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tl w:val="0"/>
        </w:rPr>
      </w:r>
    </w:p>
    <w:p w:rsidR="00000000" w:rsidDel="00000000" w:rsidP="00000000" w:rsidRDefault="00000000" w:rsidRPr="00000000" w14:paraId="0000006D">
      <w:pPr>
        <w:pBdr>
          <w:top w:color="auto" w:space="0" w:sz="0" w:val="none"/>
          <w:bottom w:color="auto" w:space="0" w:sz="0" w:val="none"/>
          <w:right w:color="auto" w:space="0" w:sz="0" w:val="none"/>
          <w:between w:color="auto" w:space="0" w:sz="0" w:val="none"/>
        </w:pBdr>
        <w:spacing w:after="0" w:before="0" w:line="360" w:lineRule="auto"/>
        <w:ind w:right="100"/>
        <w:jc w:val="both"/>
        <w:rPr>
          <w:rFonts w:ascii="Times New Roman" w:cs="Times New Roman" w:eastAsia="Times New Roman" w:hAnsi="Times New Roman"/>
          <w:color w:val="0a0a0a"/>
          <w:sz w:val="28"/>
          <w:szCs w:val="28"/>
          <w:highlight w:val="white"/>
        </w:rPr>
      </w:pPr>
      <w:r w:rsidDel="00000000" w:rsidR="00000000" w:rsidRPr="00000000">
        <w:rPr>
          <w:rtl w:val="0"/>
        </w:rPr>
      </w:r>
    </w:p>
    <w:p w:rsidR="00000000" w:rsidDel="00000000" w:rsidP="00000000" w:rsidRDefault="00000000" w:rsidRPr="00000000" w14:paraId="0000006E">
      <w:pPr>
        <w:pBdr>
          <w:top w:color="auto" w:space="0" w:sz="0" w:val="none"/>
          <w:bottom w:color="auto" w:space="0" w:sz="0" w:val="none"/>
          <w:right w:color="auto" w:space="0" w:sz="0" w:val="none"/>
          <w:between w:color="auto" w:space="0" w:sz="0" w:val="none"/>
        </w:pBdr>
        <w:spacing w:after="0" w:before="0" w:line="360" w:lineRule="auto"/>
        <w:ind w:left="720" w:firstLine="0"/>
        <w:jc w:val="both"/>
        <w:rPr>
          <w:rFonts w:ascii="Times New Roman" w:cs="Times New Roman" w:eastAsia="Times New Roman" w:hAnsi="Times New Roman"/>
          <w:color w:val="0a0a0a"/>
          <w:sz w:val="28"/>
          <w:szCs w:val="28"/>
          <w:highlight w:val="white"/>
        </w:rPr>
      </w:pPr>
      <w:r w:rsidDel="00000000" w:rsidR="00000000" w:rsidRPr="00000000">
        <w:rPr>
          <w:rtl w:val="0"/>
        </w:rPr>
      </w:r>
    </w:p>
    <w:p w:rsidR="00000000" w:rsidDel="00000000" w:rsidP="00000000" w:rsidRDefault="00000000" w:rsidRPr="00000000" w14:paraId="0000006F">
      <w:pPr>
        <w:spacing w:after="0" w:before="0" w:line="360" w:lineRule="auto"/>
        <w:ind w:right="100"/>
        <w:jc w:val="both"/>
        <w:rPr>
          <w:rFonts w:ascii="Times New Roman" w:cs="Times New Roman" w:eastAsia="Times New Roman" w:hAnsi="Times New Roman"/>
          <w:color w:val="001d35"/>
          <w:sz w:val="28"/>
          <w:szCs w:val="28"/>
          <w:highlight w:val="white"/>
        </w:rPr>
      </w:pPr>
      <w:r w:rsidDel="00000000" w:rsidR="00000000" w:rsidRPr="00000000">
        <w:rPr>
          <w:rtl w:val="0"/>
        </w:rPr>
      </w:r>
    </w:p>
    <w:p w:rsidR="00000000" w:rsidDel="00000000" w:rsidP="00000000" w:rsidRDefault="00000000" w:rsidRPr="00000000" w14:paraId="00000070">
      <w:pPr>
        <w:spacing w:after="0" w:before="0" w:line="360" w:lineRule="auto"/>
        <w:ind w:right="100"/>
        <w:jc w:val="both"/>
        <w:rPr>
          <w:rFonts w:ascii="Times New Roman" w:cs="Times New Roman" w:eastAsia="Times New Roman" w:hAnsi="Times New Roman"/>
          <w:color w:val="001d35"/>
          <w:sz w:val="28"/>
          <w:szCs w:val="28"/>
          <w:highlight w:val="white"/>
        </w:rPr>
      </w:pPr>
      <w:r w:rsidDel="00000000" w:rsidR="00000000" w:rsidRPr="00000000">
        <w:rPr>
          <w:rtl w:val="0"/>
        </w:rPr>
      </w:r>
    </w:p>
    <w:p w:rsidR="00000000" w:rsidDel="00000000" w:rsidP="00000000" w:rsidRDefault="00000000" w:rsidRPr="00000000" w14:paraId="00000071">
      <w:pPr>
        <w:spacing w:after="0" w:before="0" w:line="360" w:lineRule="auto"/>
        <w:ind w:right="100"/>
        <w:jc w:val="both"/>
        <w:rPr>
          <w:rFonts w:ascii="Times New Roman" w:cs="Times New Roman" w:eastAsia="Times New Roman" w:hAnsi="Times New Roman"/>
          <w:color w:val="001d35"/>
          <w:sz w:val="28"/>
          <w:szCs w:val="28"/>
          <w:highlight w:val="white"/>
        </w:rPr>
      </w:pPr>
      <w:r w:rsidDel="00000000" w:rsidR="00000000" w:rsidRPr="00000000">
        <w:rPr>
          <w:rtl w:val="0"/>
        </w:rPr>
      </w:r>
    </w:p>
    <w:p w:rsidR="00000000" w:rsidDel="00000000" w:rsidP="00000000" w:rsidRDefault="00000000" w:rsidRPr="00000000" w14:paraId="00000072">
      <w:pPr>
        <w:spacing w:after="0" w:before="0" w:line="360" w:lineRule="auto"/>
        <w:ind w:left="0" w:firstLine="0"/>
        <w:jc w:val="both"/>
        <w:rPr>
          <w:rFonts w:ascii="Times New Roman" w:cs="Times New Roman" w:eastAsia="Times New Roman" w:hAnsi="Times New Roman"/>
          <w:color w:val="333333"/>
          <w:sz w:val="28"/>
          <w:szCs w:val="28"/>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rFonts w:ascii="Arial" w:cs="Arial" w:eastAsia="Arial" w:hAnsi="Arial"/>
        <w:color w:val="0a0a0a"/>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rFonts w:ascii="Arial" w:cs="Arial" w:eastAsia="Arial" w:hAnsi="Arial"/>
        <w:color w:val="0a0a0a"/>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color w:val="0a0a0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color w:val="0a0a0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color w:val="0a0a0a"/>
        <w:sz w:val="24"/>
        <w:szCs w:val="24"/>
        <w:u w:val="none"/>
      </w:rPr>
    </w:lvl>
    <w:lvl w:ilvl="1">
      <w:start w:val="1"/>
      <w:numFmt w:val="decimal"/>
      <w:lvlText w:val="%2."/>
      <w:lvlJc w:val="left"/>
      <w:pPr>
        <w:ind w:left="1440" w:hanging="360"/>
      </w:pPr>
      <w:rPr>
        <w:rFonts w:ascii="Arial" w:cs="Arial" w:eastAsia="Arial" w:hAnsi="Arial"/>
        <w:color w:val="0a0a0a"/>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0a0a0a"/>
        <w:sz w:val="24"/>
        <w:szCs w:val="24"/>
        <w:u w:val="none"/>
      </w:rPr>
    </w:lvl>
    <w:lvl w:ilvl="1">
      <w:start w:val="1"/>
      <w:numFmt w:val="bullet"/>
      <w:lvlText w:val="○"/>
      <w:lvlJc w:val="left"/>
      <w:pPr>
        <w:ind w:left="1440" w:hanging="360"/>
      </w:pPr>
      <w:rPr>
        <w:rFonts w:ascii="Arial" w:cs="Arial" w:eastAsia="Arial" w:hAnsi="Arial"/>
        <w:color w:val="0a0a0a"/>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