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0C55" w14:textId="52F43D11" w:rsid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jc w:val="center"/>
        <w:rPr>
          <w:rStyle w:val="af"/>
          <w:rFonts w:eastAsiaTheme="majorEastAsia"/>
          <w:sz w:val="28"/>
          <w:szCs w:val="28"/>
        </w:rPr>
      </w:pPr>
      <w:r w:rsidRPr="009A223B">
        <w:rPr>
          <w:rStyle w:val="af"/>
          <w:rFonts w:eastAsiaTheme="majorEastAsia"/>
          <w:sz w:val="28"/>
          <w:szCs w:val="28"/>
        </w:rPr>
        <w:t>Аналітико-ситуаційна вправа</w:t>
      </w:r>
    </w:p>
    <w:p w14:paraId="7ED786D8" w14:textId="77777777" w:rsidR="009A223B" w:rsidRP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682CF710" w14:textId="4EF2462B" w:rsidR="009A223B" w:rsidRP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 w:rsidRPr="009A223B">
        <w:rPr>
          <w:sz w:val="28"/>
          <w:szCs w:val="28"/>
        </w:rPr>
        <w:t xml:space="preserve"> є керівником підрозділу у сфері безпеки, який функціонує в умовах нестабільного </w:t>
      </w:r>
      <w:proofErr w:type="spellStart"/>
      <w:r w:rsidRPr="009A223B">
        <w:rPr>
          <w:sz w:val="28"/>
          <w:szCs w:val="28"/>
        </w:rPr>
        <w:t>безпекового</w:t>
      </w:r>
      <w:proofErr w:type="spellEnd"/>
      <w:r w:rsidRPr="009A223B">
        <w:rPr>
          <w:sz w:val="28"/>
          <w:szCs w:val="28"/>
        </w:rPr>
        <w:t xml:space="preserve"> середовища (воєнні ризики, інформаційні загрози, економічні обмеження).</w:t>
      </w:r>
    </w:p>
    <w:p w14:paraId="200F0704" w14:textId="77777777" w:rsidR="009A223B" w:rsidRPr="009A223B" w:rsidRDefault="009A223B" w:rsidP="009A223B">
      <w:pPr>
        <w:pStyle w:val="4"/>
        <w:tabs>
          <w:tab w:val="left" w:pos="851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A223B">
        <w:rPr>
          <w:rFonts w:ascii="Times New Roman" w:hAnsi="Times New Roman" w:cs="Times New Roman"/>
          <w:i w:val="0"/>
          <w:color w:val="auto"/>
          <w:sz w:val="28"/>
          <w:szCs w:val="28"/>
        </w:rPr>
        <w:t>Необхідно:</w:t>
      </w:r>
    </w:p>
    <w:p w14:paraId="7B8CF4FF" w14:textId="77777777" w:rsidR="009A223B" w:rsidRPr="009A223B" w:rsidRDefault="009A223B" w:rsidP="009A223B">
      <w:pPr>
        <w:pStyle w:val="ae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Визначити відмінності між стратегічним, тактичним та оперативним рівнями управління на прикладі діяльності вашого підрозділу.</w:t>
      </w:r>
    </w:p>
    <w:p w14:paraId="699FE4F4" w14:textId="77777777" w:rsidR="009A223B" w:rsidRPr="009A223B" w:rsidRDefault="009A223B" w:rsidP="009A223B">
      <w:pPr>
        <w:pStyle w:val="ae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Сформулювати стратегічне бачення розвитку підрозділу на 5 років.</w:t>
      </w:r>
    </w:p>
    <w:p w14:paraId="361F4A78" w14:textId="77777777" w:rsidR="009A223B" w:rsidRPr="009A223B" w:rsidRDefault="009A223B" w:rsidP="009A223B">
      <w:pPr>
        <w:pStyle w:val="ae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Визначити місію та 3–5 стратегічних цілей.</w:t>
      </w:r>
    </w:p>
    <w:p w14:paraId="6978B1A9" w14:textId="77777777" w:rsidR="009A223B" w:rsidRPr="009A223B" w:rsidRDefault="009A223B" w:rsidP="009A223B">
      <w:pPr>
        <w:pStyle w:val="ae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Описати приклад стратегічного рішення, яке потребує довгострокового бачення.</w:t>
      </w:r>
    </w:p>
    <w:p w14:paraId="564498F4" w14:textId="77777777" w:rsidR="009A223B" w:rsidRPr="009A223B" w:rsidRDefault="009A223B" w:rsidP="009A223B">
      <w:pPr>
        <w:pStyle w:val="ae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Пояснити, які риси стратегічного мислення повинен демонструвати керівник у запропонованій ситуації.</w:t>
      </w:r>
    </w:p>
    <w:p w14:paraId="20ACAC73" w14:textId="6EA6F2F1" w:rsidR="009A223B" w:rsidRDefault="009A223B" w:rsidP="009A223B">
      <w:pPr>
        <w:pStyle w:val="ae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Визначити можливі ризики реалізації обраного стратегічного курсу.</w:t>
      </w:r>
    </w:p>
    <w:p w14:paraId="15C308E1" w14:textId="763866FE" w:rsid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CD41482" w14:textId="1F23B158" w:rsid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7574906" w14:textId="0DCAE394" w:rsidR="009A223B" w:rsidRDefault="009A223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sz w:val="28"/>
          <w:szCs w:val="28"/>
        </w:rPr>
        <w:br w:type="page"/>
      </w:r>
    </w:p>
    <w:p w14:paraId="3B895099" w14:textId="77777777" w:rsid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6441D45" w14:textId="77777777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Приклад ситуації</w:t>
      </w:r>
    </w:p>
    <w:p w14:paraId="5E23D4CE" w14:textId="77777777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Керівник підрозділу </w:t>
      </w:r>
      <w:proofErr w:type="spellStart"/>
      <w:r w:rsidRPr="009A223B">
        <w:rPr>
          <w:sz w:val="28"/>
          <w:szCs w:val="28"/>
        </w:rPr>
        <w:t>кібербезпеки</w:t>
      </w:r>
      <w:proofErr w:type="spellEnd"/>
      <w:r w:rsidRPr="009A223B">
        <w:rPr>
          <w:sz w:val="28"/>
          <w:szCs w:val="28"/>
        </w:rPr>
        <w:t xml:space="preserve"> обласної військової адміністрації працює в умовах зростання кібератак на об’єкти критичної інфраструктури регіону.</w:t>
      </w:r>
    </w:p>
    <w:p w14:paraId="1FA7BC87" w14:textId="1DE5E164" w:rsidR="009A223B" w:rsidRPr="009A223B" w:rsidRDefault="009A223B" w:rsidP="009A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F84AC8" w14:textId="77777777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1. Відмінність рівнів управління</w:t>
      </w:r>
    </w:p>
    <w:p w14:paraId="4C5F8010" w14:textId="77777777" w:rsid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rStyle w:val="af"/>
          <w:rFonts w:eastAsiaTheme="majorEastAsia"/>
          <w:sz w:val="28"/>
          <w:szCs w:val="28"/>
        </w:rPr>
      </w:pPr>
      <w:r w:rsidRPr="009A223B">
        <w:rPr>
          <w:rStyle w:val="af"/>
          <w:rFonts w:eastAsiaTheme="majorEastAsia"/>
          <w:sz w:val="28"/>
          <w:szCs w:val="28"/>
        </w:rPr>
        <w:t>Стратегічний рівень:</w:t>
      </w:r>
    </w:p>
    <w:p w14:paraId="505995ED" w14:textId="2B517DAB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f"/>
          <w:rFonts w:eastAsiaTheme="majorEastAsia"/>
          <w:sz w:val="28"/>
          <w:szCs w:val="28"/>
        </w:rPr>
        <w:t xml:space="preserve"> </w:t>
      </w:r>
      <w:r w:rsidRPr="009A223B">
        <w:rPr>
          <w:sz w:val="28"/>
          <w:szCs w:val="28"/>
        </w:rPr>
        <w:t xml:space="preserve">Розроблення регіональної стратегії </w:t>
      </w:r>
      <w:proofErr w:type="spellStart"/>
      <w:r w:rsidRPr="009A223B">
        <w:rPr>
          <w:sz w:val="28"/>
          <w:szCs w:val="28"/>
        </w:rPr>
        <w:t>кіберзахисту</w:t>
      </w:r>
      <w:proofErr w:type="spellEnd"/>
      <w:r w:rsidRPr="009A223B">
        <w:rPr>
          <w:sz w:val="28"/>
          <w:szCs w:val="28"/>
        </w:rPr>
        <w:t xml:space="preserve"> на 5 років, формування </w:t>
      </w:r>
      <w:proofErr w:type="spellStart"/>
      <w:r w:rsidRPr="009A223B">
        <w:rPr>
          <w:sz w:val="28"/>
          <w:szCs w:val="28"/>
        </w:rPr>
        <w:t>партнерств</w:t>
      </w:r>
      <w:proofErr w:type="spellEnd"/>
      <w:r w:rsidRPr="009A223B">
        <w:rPr>
          <w:sz w:val="28"/>
          <w:szCs w:val="28"/>
        </w:rPr>
        <w:t xml:space="preserve"> із національними органами та міжнародними структурами.</w:t>
      </w:r>
    </w:p>
    <w:p w14:paraId="1CF2CE37" w14:textId="77777777" w:rsid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rStyle w:val="af"/>
          <w:rFonts w:eastAsiaTheme="majorEastAsia"/>
          <w:sz w:val="28"/>
          <w:szCs w:val="28"/>
        </w:rPr>
      </w:pPr>
      <w:r w:rsidRPr="009A223B">
        <w:rPr>
          <w:rStyle w:val="af"/>
          <w:rFonts w:eastAsiaTheme="majorEastAsia"/>
          <w:sz w:val="28"/>
          <w:szCs w:val="28"/>
        </w:rPr>
        <w:t>Тактичний рівень:</w:t>
      </w:r>
    </w:p>
    <w:p w14:paraId="17D97294" w14:textId="3DE31209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f"/>
          <w:rFonts w:eastAsiaTheme="majorEastAsia"/>
          <w:sz w:val="28"/>
          <w:szCs w:val="28"/>
        </w:rPr>
        <w:t xml:space="preserve"> </w:t>
      </w:r>
      <w:r w:rsidRPr="009A223B">
        <w:rPr>
          <w:sz w:val="28"/>
          <w:szCs w:val="28"/>
        </w:rPr>
        <w:t>Розроблення щорічного плану модернізації ІТ-систем, проведення навчань персоналу, впровадження нових протоколів реагування.</w:t>
      </w:r>
    </w:p>
    <w:p w14:paraId="34E2E6E5" w14:textId="77777777" w:rsid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rStyle w:val="af"/>
          <w:rFonts w:eastAsiaTheme="majorEastAsia"/>
          <w:sz w:val="28"/>
          <w:szCs w:val="28"/>
        </w:rPr>
      </w:pPr>
      <w:r w:rsidRPr="009A223B">
        <w:rPr>
          <w:rStyle w:val="af"/>
          <w:rFonts w:eastAsiaTheme="majorEastAsia"/>
          <w:sz w:val="28"/>
          <w:szCs w:val="28"/>
        </w:rPr>
        <w:t>Оперативний рівень:</w:t>
      </w:r>
    </w:p>
    <w:p w14:paraId="0C0D4FAA" w14:textId="1FCC367A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f"/>
          <w:rFonts w:eastAsiaTheme="majorEastAsia"/>
          <w:sz w:val="28"/>
          <w:szCs w:val="28"/>
        </w:rPr>
        <w:t xml:space="preserve"> </w:t>
      </w:r>
      <w:r w:rsidRPr="009A223B">
        <w:rPr>
          <w:sz w:val="28"/>
          <w:szCs w:val="28"/>
        </w:rPr>
        <w:t xml:space="preserve">Щоденний моніторинг мережі, реагування на конкретні </w:t>
      </w:r>
      <w:proofErr w:type="spellStart"/>
      <w:r w:rsidRPr="009A223B">
        <w:rPr>
          <w:sz w:val="28"/>
          <w:szCs w:val="28"/>
        </w:rPr>
        <w:t>кіберінциденти</w:t>
      </w:r>
      <w:proofErr w:type="spellEnd"/>
      <w:r w:rsidRPr="009A223B">
        <w:rPr>
          <w:sz w:val="28"/>
          <w:szCs w:val="28"/>
        </w:rPr>
        <w:t>, усунення технічних збоїв.</w:t>
      </w:r>
    </w:p>
    <w:p w14:paraId="16445D5E" w14:textId="77777777" w:rsid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604DCE1A" w14:textId="57BE9B04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2. Стратегічне бачення (на 5 років)</w:t>
      </w:r>
    </w:p>
    <w:p w14:paraId="23E89FC7" w14:textId="77777777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Створення регіональної системи </w:t>
      </w:r>
      <w:proofErr w:type="spellStart"/>
      <w:r w:rsidRPr="009A223B">
        <w:rPr>
          <w:sz w:val="28"/>
          <w:szCs w:val="28"/>
        </w:rPr>
        <w:t>кібербезпеки</w:t>
      </w:r>
      <w:proofErr w:type="spellEnd"/>
      <w:r w:rsidRPr="009A223B">
        <w:rPr>
          <w:sz w:val="28"/>
          <w:szCs w:val="28"/>
        </w:rPr>
        <w:t xml:space="preserve">, здатної ефективно попереджати, виявляти та нейтралізувати </w:t>
      </w:r>
      <w:proofErr w:type="spellStart"/>
      <w:r w:rsidRPr="009A223B">
        <w:rPr>
          <w:sz w:val="28"/>
          <w:szCs w:val="28"/>
        </w:rPr>
        <w:t>кіберзагрози</w:t>
      </w:r>
      <w:proofErr w:type="spellEnd"/>
      <w:r w:rsidRPr="009A223B">
        <w:rPr>
          <w:sz w:val="28"/>
          <w:szCs w:val="28"/>
        </w:rPr>
        <w:t>, забезпечуючи безперебійну роботу критичної інфраструктури.</w:t>
      </w:r>
    </w:p>
    <w:p w14:paraId="3AB62F70" w14:textId="77777777" w:rsid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5AA190E2" w14:textId="30E42041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3. Місія</w:t>
      </w:r>
    </w:p>
    <w:p w14:paraId="03400A6B" w14:textId="77777777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Забезпечення надійного </w:t>
      </w:r>
      <w:proofErr w:type="spellStart"/>
      <w:r w:rsidRPr="009A223B">
        <w:rPr>
          <w:sz w:val="28"/>
          <w:szCs w:val="28"/>
        </w:rPr>
        <w:t>кіберзахисту</w:t>
      </w:r>
      <w:proofErr w:type="spellEnd"/>
      <w:r w:rsidRPr="009A223B">
        <w:rPr>
          <w:sz w:val="28"/>
          <w:szCs w:val="28"/>
        </w:rPr>
        <w:t xml:space="preserve"> органів влади та об’єктів критичної інфраструктури регіону в інтересах безпеки громадян і держави.</w:t>
      </w:r>
    </w:p>
    <w:p w14:paraId="01F478A8" w14:textId="77777777" w:rsid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01DA5C7F" w14:textId="7A469CA6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4. Стратегічні цілі</w:t>
      </w:r>
    </w:p>
    <w:p w14:paraId="311B1901" w14:textId="77777777" w:rsidR="009A223B" w:rsidRPr="009A223B" w:rsidRDefault="009A223B" w:rsidP="009A223B">
      <w:pPr>
        <w:pStyle w:val="ae"/>
        <w:numPr>
          <w:ilvl w:val="0"/>
          <w:numId w:val="2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Підвищення рівня технічного захисту інформаційних систем.</w:t>
      </w:r>
    </w:p>
    <w:p w14:paraId="779AFCED" w14:textId="77777777" w:rsidR="009A223B" w:rsidRPr="009A223B" w:rsidRDefault="009A223B" w:rsidP="009A223B">
      <w:pPr>
        <w:pStyle w:val="ae"/>
        <w:numPr>
          <w:ilvl w:val="0"/>
          <w:numId w:val="2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Формування професійної команди фахівців з </w:t>
      </w:r>
      <w:proofErr w:type="spellStart"/>
      <w:r w:rsidRPr="009A223B">
        <w:rPr>
          <w:sz w:val="28"/>
          <w:szCs w:val="28"/>
        </w:rPr>
        <w:t>кібербезпеки</w:t>
      </w:r>
      <w:proofErr w:type="spellEnd"/>
      <w:r w:rsidRPr="009A223B">
        <w:rPr>
          <w:sz w:val="28"/>
          <w:szCs w:val="28"/>
        </w:rPr>
        <w:t>.</w:t>
      </w:r>
    </w:p>
    <w:p w14:paraId="0FE5FE78" w14:textId="77777777" w:rsidR="009A223B" w:rsidRPr="009A223B" w:rsidRDefault="009A223B" w:rsidP="009A223B">
      <w:pPr>
        <w:pStyle w:val="ae"/>
        <w:numPr>
          <w:ilvl w:val="0"/>
          <w:numId w:val="2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Створення системи оперативного реагування на </w:t>
      </w:r>
      <w:proofErr w:type="spellStart"/>
      <w:r w:rsidRPr="009A223B">
        <w:rPr>
          <w:sz w:val="28"/>
          <w:szCs w:val="28"/>
        </w:rPr>
        <w:t>кіберінциденти</w:t>
      </w:r>
      <w:proofErr w:type="spellEnd"/>
      <w:r w:rsidRPr="009A223B">
        <w:rPr>
          <w:sz w:val="28"/>
          <w:szCs w:val="28"/>
        </w:rPr>
        <w:t>.</w:t>
      </w:r>
    </w:p>
    <w:p w14:paraId="05600A81" w14:textId="77777777" w:rsidR="009A223B" w:rsidRPr="009A223B" w:rsidRDefault="009A223B" w:rsidP="009A223B">
      <w:pPr>
        <w:pStyle w:val="ae"/>
        <w:numPr>
          <w:ilvl w:val="0"/>
          <w:numId w:val="2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Розвиток співпраці з національними структурами та міжнародними партнерами.</w:t>
      </w:r>
    </w:p>
    <w:p w14:paraId="472E87E2" w14:textId="77777777" w:rsidR="009A223B" w:rsidRDefault="009A223B" w:rsidP="009A223B">
      <w:pPr>
        <w:pStyle w:val="3"/>
        <w:tabs>
          <w:tab w:val="num" w:pos="567"/>
          <w:tab w:val="left" w:pos="85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14:paraId="4B328EBC" w14:textId="432D980A" w:rsidR="009A223B" w:rsidRPr="009A223B" w:rsidRDefault="009A223B" w:rsidP="009A223B">
      <w:pPr>
        <w:pStyle w:val="3"/>
        <w:tabs>
          <w:tab w:val="num" w:pos="567"/>
          <w:tab w:val="left" w:pos="851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5. Приклад стратегічного рішення</w:t>
      </w:r>
    </w:p>
    <w:p w14:paraId="62363BED" w14:textId="5DDD27DF" w:rsidR="009A223B" w:rsidRPr="009A223B" w:rsidRDefault="009A223B" w:rsidP="009A223B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Прийняття рішення про створення регіонального центру моніторингу </w:t>
      </w:r>
      <w:proofErr w:type="spellStart"/>
      <w:r w:rsidRPr="009A223B">
        <w:rPr>
          <w:sz w:val="28"/>
          <w:szCs w:val="28"/>
        </w:rPr>
        <w:t>кіберзагроз</w:t>
      </w:r>
      <w:proofErr w:type="spellEnd"/>
      <w:r w:rsidRPr="009A223B">
        <w:rPr>
          <w:sz w:val="28"/>
          <w:szCs w:val="28"/>
        </w:rPr>
        <w:t xml:space="preserve"> із централізованою системою обміну інформацією.</w:t>
      </w:r>
      <w:r>
        <w:rPr>
          <w:sz w:val="28"/>
          <w:szCs w:val="28"/>
        </w:rPr>
        <w:t xml:space="preserve"> </w:t>
      </w:r>
      <w:r w:rsidRPr="009A223B">
        <w:rPr>
          <w:sz w:val="28"/>
          <w:szCs w:val="28"/>
        </w:rPr>
        <w:t>Це рішення має довгостроковий характер, потребує значних ресурсів, змін у структурі управління та міжвідомчої координації.</w:t>
      </w:r>
    </w:p>
    <w:p w14:paraId="55A5CDFC" w14:textId="49E0768C" w:rsidR="009A223B" w:rsidRPr="009A223B" w:rsidRDefault="009A223B" w:rsidP="009A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DC230C" w14:textId="77777777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t>6. Риси стратегічного мислення керівника</w:t>
      </w:r>
    </w:p>
    <w:p w14:paraId="1C396FC8" w14:textId="77777777" w:rsidR="009A223B" w:rsidRPr="009A223B" w:rsidRDefault="009A223B" w:rsidP="009A223B">
      <w:pPr>
        <w:pStyle w:val="ae"/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 xml:space="preserve">здатність прогнозувати розвиток </w:t>
      </w:r>
      <w:proofErr w:type="spellStart"/>
      <w:r w:rsidRPr="009A223B">
        <w:rPr>
          <w:sz w:val="28"/>
          <w:szCs w:val="28"/>
        </w:rPr>
        <w:t>кіберзагроз</w:t>
      </w:r>
      <w:proofErr w:type="spellEnd"/>
      <w:r w:rsidRPr="009A223B">
        <w:rPr>
          <w:sz w:val="28"/>
          <w:szCs w:val="28"/>
        </w:rPr>
        <w:t>;</w:t>
      </w:r>
    </w:p>
    <w:p w14:paraId="62821F20" w14:textId="77777777" w:rsidR="009A223B" w:rsidRPr="009A223B" w:rsidRDefault="009A223B" w:rsidP="009A223B">
      <w:pPr>
        <w:pStyle w:val="ae"/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системне бачення проблеми;</w:t>
      </w:r>
    </w:p>
    <w:p w14:paraId="34F0F5CD" w14:textId="77777777" w:rsidR="009A223B" w:rsidRPr="009A223B" w:rsidRDefault="009A223B" w:rsidP="009A223B">
      <w:pPr>
        <w:pStyle w:val="ae"/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орієнтація на довгостроковий результат;</w:t>
      </w:r>
    </w:p>
    <w:p w14:paraId="1B1297E3" w14:textId="77777777" w:rsidR="009A223B" w:rsidRPr="009A223B" w:rsidRDefault="009A223B" w:rsidP="009A223B">
      <w:pPr>
        <w:pStyle w:val="ae"/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готовність до інновацій;</w:t>
      </w:r>
    </w:p>
    <w:p w14:paraId="33598DD9" w14:textId="77777777" w:rsidR="009A223B" w:rsidRPr="009A223B" w:rsidRDefault="009A223B" w:rsidP="009A223B">
      <w:pPr>
        <w:pStyle w:val="ae"/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вміння працювати в умовах невизначеності.</w:t>
      </w:r>
    </w:p>
    <w:p w14:paraId="0DA38205" w14:textId="4330A656" w:rsidR="009A223B" w:rsidRPr="009A223B" w:rsidRDefault="009A223B" w:rsidP="009A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FB888" w14:textId="77777777" w:rsidR="009A223B" w:rsidRPr="009A223B" w:rsidRDefault="009A223B" w:rsidP="009A223B">
      <w:pPr>
        <w:pStyle w:val="3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9A223B">
        <w:rPr>
          <w:rFonts w:ascii="Times New Roman" w:hAnsi="Times New Roman" w:cs="Times New Roman"/>
          <w:color w:val="auto"/>
        </w:rPr>
        <w:lastRenderedPageBreak/>
        <w:t>7. Можливі ризики</w:t>
      </w:r>
    </w:p>
    <w:p w14:paraId="5A171485" w14:textId="77777777" w:rsidR="009A223B" w:rsidRPr="009A223B" w:rsidRDefault="009A223B" w:rsidP="009A223B">
      <w:pPr>
        <w:pStyle w:val="ae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недостатнє фінансування;</w:t>
      </w:r>
    </w:p>
    <w:p w14:paraId="427B075C" w14:textId="77777777" w:rsidR="009A223B" w:rsidRPr="009A223B" w:rsidRDefault="009A223B" w:rsidP="009A223B">
      <w:pPr>
        <w:pStyle w:val="ae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кадровий дефіцит;</w:t>
      </w:r>
    </w:p>
    <w:p w14:paraId="04D6347C" w14:textId="77777777" w:rsidR="009A223B" w:rsidRPr="009A223B" w:rsidRDefault="009A223B" w:rsidP="009A223B">
      <w:pPr>
        <w:pStyle w:val="ae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швидка зміна технологій;</w:t>
      </w:r>
    </w:p>
    <w:p w14:paraId="28A82748" w14:textId="77777777" w:rsidR="009A223B" w:rsidRPr="009A223B" w:rsidRDefault="009A223B" w:rsidP="009A223B">
      <w:pPr>
        <w:pStyle w:val="ae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23B">
        <w:rPr>
          <w:sz w:val="28"/>
          <w:szCs w:val="28"/>
        </w:rPr>
        <w:t>низький рівень координації між структурами.</w:t>
      </w:r>
    </w:p>
    <w:p w14:paraId="51536C85" w14:textId="77777777" w:rsidR="009A223B" w:rsidRPr="009A223B" w:rsidRDefault="009A223B" w:rsidP="009A223B">
      <w:pPr>
        <w:pStyle w:val="ae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F594642" w14:textId="327718CF" w:rsidR="003E052E" w:rsidRDefault="003E052E"/>
    <w:p w14:paraId="1DFF8475" w14:textId="6E894C60" w:rsidR="004F2727" w:rsidRDefault="004F2727"/>
    <w:p w14:paraId="2443F0D8" w14:textId="5D7B4C95" w:rsidR="004F2727" w:rsidRDefault="004F2727"/>
    <w:p w14:paraId="5E35E038" w14:textId="53E7BA5B" w:rsidR="004F2727" w:rsidRDefault="004F2727"/>
    <w:p w14:paraId="7BE5121E" w14:textId="1DF4F9AB" w:rsidR="004F2727" w:rsidRDefault="004F2727"/>
    <w:p w14:paraId="5A1AD6D5" w14:textId="52B08EAE" w:rsidR="004F2727" w:rsidRDefault="004F2727"/>
    <w:p w14:paraId="5A5E993A" w14:textId="7A29351C" w:rsidR="004F2727" w:rsidRDefault="004F2727"/>
    <w:p w14:paraId="19E77AB8" w14:textId="605BAEF2" w:rsidR="004F2727" w:rsidRDefault="004F2727"/>
    <w:p w14:paraId="38536C68" w14:textId="73729A3C" w:rsidR="004F2727" w:rsidRDefault="004F2727"/>
    <w:p w14:paraId="0E93E271" w14:textId="5A62B93A" w:rsidR="004F2727" w:rsidRDefault="004F2727"/>
    <w:p w14:paraId="1868DE68" w14:textId="0A290AAF" w:rsidR="004F2727" w:rsidRDefault="004F2727"/>
    <w:p w14:paraId="638B9950" w14:textId="7D8585AC" w:rsidR="004F2727" w:rsidRDefault="004F2727"/>
    <w:p w14:paraId="0666221B" w14:textId="17371AC9" w:rsidR="004F2727" w:rsidRDefault="004F2727"/>
    <w:p w14:paraId="380B549B" w14:textId="25B99201" w:rsidR="004F2727" w:rsidRDefault="004F2727"/>
    <w:p w14:paraId="5B230614" w14:textId="69AD25AC" w:rsidR="004F2727" w:rsidRDefault="004F2727"/>
    <w:p w14:paraId="328B33B7" w14:textId="214BD377" w:rsidR="004F2727" w:rsidRDefault="004F2727"/>
    <w:p w14:paraId="74FC49DA" w14:textId="0DAA374B" w:rsidR="004F2727" w:rsidRDefault="004F2727"/>
    <w:p w14:paraId="5617FEE7" w14:textId="719AC8C5" w:rsidR="004F2727" w:rsidRDefault="004F2727"/>
    <w:p w14:paraId="5A151A23" w14:textId="76989232" w:rsidR="004F2727" w:rsidRDefault="004F2727"/>
    <w:p w14:paraId="562D6E11" w14:textId="27E45D37" w:rsidR="004F2727" w:rsidRDefault="004F2727"/>
    <w:p w14:paraId="7ED8D50D" w14:textId="5F725E43" w:rsidR="004F2727" w:rsidRDefault="004F2727"/>
    <w:p w14:paraId="41972AFF" w14:textId="5F595FBD" w:rsidR="004F2727" w:rsidRDefault="004F2727"/>
    <w:p w14:paraId="02BAAD1B" w14:textId="4E8F974F" w:rsidR="004F2727" w:rsidRDefault="004F2727"/>
    <w:p w14:paraId="75AC9BDF" w14:textId="79E4B99D" w:rsidR="004F2727" w:rsidRDefault="004F2727"/>
    <w:p w14:paraId="56B1A2C3" w14:textId="77BDEDE0" w:rsidR="004F2727" w:rsidRDefault="004F2727"/>
    <w:p w14:paraId="4C5B9ED0" w14:textId="71E875E4" w:rsidR="004F2727" w:rsidRDefault="004F2727"/>
    <w:p w14:paraId="7DFF8DFB" w14:textId="4FF6D496" w:rsidR="004F2727" w:rsidRDefault="004F2727"/>
    <w:p w14:paraId="4B4668D1" w14:textId="521BB603" w:rsidR="004F2727" w:rsidRDefault="00BA34DA" w:rsidP="00BA34DA">
      <w:pPr>
        <w:jc w:val="center"/>
      </w:pPr>
      <w:r>
        <w:lastRenderedPageBreak/>
        <w:t>Перелік структурних підрозділів</w:t>
      </w:r>
      <w:bookmarkStart w:id="0" w:name="_GoBack"/>
      <w:bookmarkEnd w:id="0"/>
    </w:p>
    <w:p w14:paraId="54A6518F" w14:textId="77777777" w:rsidR="004F2727" w:rsidRDefault="004F2727" w:rsidP="004F2727">
      <w:pPr>
        <w:pStyle w:val="ae"/>
        <w:numPr>
          <w:ilvl w:val="0"/>
          <w:numId w:val="26"/>
        </w:numPr>
      </w:pPr>
      <w:r>
        <w:t xml:space="preserve">Департамент стратегічного планування та аналізу </w:t>
      </w:r>
      <w:proofErr w:type="spellStart"/>
      <w:r>
        <w:t>безпекової</w:t>
      </w:r>
      <w:proofErr w:type="spellEnd"/>
      <w:r>
        <w:t xml:space="preserve"> політики</w:t>
      </w:r>
    </w:p>
    <w:p w14:paraId="4F862E38" w14:textId="77777777" w:rsidR="004F2727" w:rsidRDefault="004F2727" w:rsidP="004F2727">
      <w:pPr>
        <w:pStyle w:val="ae"/>
        <w:numPr>
          <w:ilvl w:val="0"/>
          <w:numId w:val="26"/>
        </w:numPr>
      </w:pPr>
      <w:r>
        <w:t>Управління цивільного захисту та надзвичайних ситуацій</w:t>
      </w:r>
    </w:p>
    <w:p w14:paraId="69A7F262" w14:textId="77777777" w:rsidR="004F2727" w:rsidRDefault="004F2727" w:rsidP="004F2727">
      <w:pPr>
        <w:pStyle w:val="ae"/>
        <w:numPr>
          <w:ilvl w:val="0"/>
          <w:numId w:val="26"/>
        </w:numPr>
      </w:pPr>
      <w:r>
        <w:t xml:space="preserve">Департамент оборонного планування та розвитку </w:t>
      </w:r>
      <w:proofErr w:type="spellStart"/>
      <w:r>
        <w:t>спроможностей</w:t>
      </w:r>
      <w:proofErr w:type="spellEnd"/>
    </w:p>
    <w:p w14:paraId="6B0A83D9" w14:textId="77777777" w:rsidR="004F2727" w:rsidRDefault="004F2727" w:rsidP="004F2727">
      <w:pPr>
        <w:pStyle w:val="ae"/>
        <w:numPr>
          <w:ilvl w:val="0"/>
          <w:numId w:val="26"/>
        </w:numPr>
      </w:pPr>
      <w:r>
        <w:t>Управління інформаційної безпеки та стратегічних комунікацій</w:t>
      </w:r>
    </w:p>
    <w:p w14:paraId="0D710B67" w14:textId="77777777" w:rsidR="004F2727" w:rsidRDefault="004F2727" w:rsidP="004F2727">
      <w:pPr>
        <w:pStyle w:val="ae"/>
        <w:numPr>
          <w:ilvl w:val="0"/>
          <w:numId w:val="26"/>
        </w:numPr>
      </w:pPr>
      <w:r>
        <w:t>Відділ безпеки критичної інфраструктури</w:t>
      </w:r>
    </w:p>
    <w:p w14:paraId="44CF33BA" w14:textId="77777777" w:rsidR="004F2727" w:rsidRDefault="004F2727" w:rsidP="004F2727">
      <w:pPr>
        <w:pStyle w:val="ae"/>
        <w:numPr>
          <w:ilvl w:val="0"/>
          <w:numId w:val="26"/>
        </w:numPr>
      </w:pPr>
      <w:r>
        <w:t>Управління прикордонної та міграційної безпеки</w:t>
      </w:r>
    </w:p>
    <w:p w14:paraId="5C004115" w14:textId="77777777" w:rsidR="004F2727" w:rsidRDefault="004F2727" w:rsidP="004F2727">
      <w:pPr>
        <w:pStyle w:val="ae"/>
        <w:numPr>
          <w:ilvl w:val="0"/>
          <w:numId w:val="26"/>
        </w:numPr>
      </w:pPr>
      <w:r>
        <w:t>Департамент внутрішньої безпеки та протидії диверсійним загрозам</w:t>
      </w:r>
    </w:p>
    <w:p w14:paraId="10CDACA8" w14:textId="77777777" w:rsidR="004F2727" w:rsidRDefault="004F2727" w:rsidP="004F2727">
      <w:pPr>
        <w:pStyle w:val="ae"/>
        <w:numPr>
          <w:ilvl w:val="0"/>
          <w:numId w:val="26"/>
        </w:numPr>
      </w:pPr>
      <w:r>
        <w:t xml:space="preserve">Аналітичний центр оцінювання ризиків та прогнозування </w:t>
      </w:r>
      <w:proofErr w:type="spellStart"/>
      <w:r>
        <w:t>безпекового</w:t>
      </w:r>
      <w:proofErr w:type="spellEnd"/>
      <w:r>
        <w:t xml:space="preserve"> середовища</w:t>
      </w:r>
    </w:p>
    <w:p w14:paraId="3434A88F" w14:textId="77777777" w:rsidR="004F2727" w:rsidRDefault="004F2727"/>
    <w:sectPr w:rsidR="004F2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FA"/>
    <w:multiLevelType w:val="multilevel"/>
    <w:tmpl w:val="471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A01DA"/>
    <w:multiLevelType w:val="multilevel"/>
    <w:tmpl w:val="4DE2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C6744"/>
    <w:multiLevelType w:val="multilevel"/>
    <w:tmpl w:val="E4D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11374"/>
    <w:multiLevelType w:val="multilevel"/>
    <w:tmpl w:val="09E0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D0ED5"/>
    <w:multiLevelType w:val="multilevel"/>
    <w:tmpl w:val="4EDE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53A2"/>
    <w:multiLevelType w:val="multilevel"/>
    <w:tmpl w:val="56F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0043C"/>
    <w:multiLevelType w:val="multilevel"/>
    <w:tmpl w:val="245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B39CC"/>
    <w:multiLevelType w:val="multilevel"/>
    <w:tmpl w:val="20E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C2B01"/>
    <w:multiLevelType w:val="multilevel"/>
    <w:tmpl w:val="F50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87934"/>
    <w:multiLevelType w:val="multilevel"/>
    <w:tmpl w:val="1916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71372"/>
    <w:multiLevelType w:val="multilevel"/>
    <w:tmpl w:val="6ED4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775BF"/>
    <w:multiLevelType w:val="multilevel"/>
    <w:tmpl w:val="010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7705C"/>
    <w:multiLevelType w:val="multilevel"/>
    <w:tmpl w:val="7D14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84DDE"/>
    <w:multiLevelType w:val="multilevel"/>
    <w:tmpl w:val="1424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B2E43"/>
    <w:multiLevelType w:val="multilevel"/>
    <w:tmpl w:val="DCAE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36CB5"/>
    <w:multiLevelType w:val="multilevel"/>
    <w:tmpl w:val="7A8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82083"/>
    <w:multiLevelType w:val="multilevel"/>
    <w:tmpl w:val="E63C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C2BD6"/>
    <w:multiLevelType w:val="multilevel"/>
    <w:tmpl w:val="B88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E56C5"/>
    <w:multiLevelType w:val="multilevel"/>
    <w:tmpl w:val="0678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84B38"/>
    <w:multiLevelType w:val="multilevel"/>
    <w:tmpl w:val="B1A4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D0D15"/>
    <w:multiLevelType w:val="multilevel"/>
    <w:tmpl w:val="1E6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7639D"/>
    <w:multiLevelType w:val="multilevel"/>
    <w:tmpl w:val="ADBC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C3456"/>
    <w:multiLevelType w:val="multilevel"/>
    <w:tmpl w:val="28CA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525AC1"/>
    <w:multiLevelType w:val="multilevel"/>
    <w:tmpl w:val="E876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E0357"/>
    <w:multiLevelType w:val="multilevel"/>
    <w:tmpl w:val="9D12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96022"/>
    <w:multiLevelType w:val="multilevel"/>
    <w:tmpl w:val="9E0A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21"/>
  </w:num>
  <w:num w:numId="9">
    <w:abstractNumId w:val="22"/>
  </w:num>
  <w:num w:numId="10">
    <w:abstractNumId w:val="20"/>
  </w:num>
  <w:num w:numId="11">
    <w:abstractNumId w:val="24"/>
  </w:num>
  <w:num w:numId="12">
    <w:abstractNumId w:val="14"/>
  </w:num>
  <w:num w:numId="13">
    <w:abstractNumId w:val="25"/>
  </w:num>
  <w:num w:numId="14">
    <w:abstractNumId w:val="4"/>
  </w:num>
  <w:num w:numId="15">
    <w:abstractNumId w:val="2"/>
  </w:num>
  <w:num w:numId="16">
    <w:abstractNumId w:val="0"/>
  </w:num>
  <w:num w:numId="17">
    <w:abstractNumId w:val="15"/>
  </w:num>
  <w:num w:numId="18">
    <w:abstractNumId w:val="19"/>
  </w:num>
  <w:num w:numId="19">
    <w:abstractNumId w:val="6"/>
  </w:num>
  <w:num w:numId="20">
    <w:abstractNumId w:val="23"/>
  </w:num>
  <w:num w:numId="21">
    <w:abstractNumId w:val="16"/>
  </w:num>
  <w:num w:numId="22">
    <w:abstractNumId w:val="13"/>
  </w:num>
  <w:num w:numId="23">
    <w:abstractNumId w:val="7"/>
  </w:num>
  <w:num w:numId="24">
    <w:abstractNumId w:val="1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2E"/>
    <w:rsid w:val="003E052E"/>
    <w:rsid w:val="004F2727"/>
    <w:rsid w:val="009A223B"/>
    <w:rsid w:val="00BA34DA"/>
    <w:rsid w:val="00D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8501"/>
  <w15:chartTrackingRefBased/>
  <w15:docId w15:val="{8158D7C5-4DEE-4A2A-871E-50C49257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5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5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0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5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05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052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A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9A2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0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2026-02-18T12:08:00Z</dcterms:created>
  <dcterms:modified xsi:type="dcterms:W3CDTF">2026-02-18T12:08:00Z</dcterms:modified>
</cp:coreProperties>
</file>