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DD30EA" w:rsidRDefault="00D75397" w:rsidP="00BA277A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D30E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A3CF9" w:rsidRPr="00DD30E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D30EA" w:rsidRPr="00DD30E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D30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D30EA" w:rsidRPr="00DD30EA">
        <w:rPr>
          <w:rFonts w:ascii="Times New Roman" w:hAnsi="Times New Roman" w:cs="Times New Roman"/>
          <w:b/>
          <w:bCs/>
          <w:sz w:val="28"/>
          <w:szCs w:val="28"/>
        </w:rPr>
        <w:t>ПРАВОВІ МЕХАНІЗМИ ПРОТИДІЇ ПОРУШЕННЯМ ПРАВИЛ ДЕРЖАВНОГО ЕКСПОРТНОГО КОНТРОЛЮ</w:t>
      </w:r>
    </w:p>
    <w:p w:rsidR="00936DD0" w:rsidRDefault="00936DD0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77A" w:rsidRDefault="00BA277A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BA277A" w:rsidRDefault="00BA277A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три ключові функції</w:t>
      </w:r>
      <w:r w:rsid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на Вашу думку,</w:t>
      </w: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виконує ДЕК у системі національної безпеки? </w:t>
      </w:r>
    </w:p>
    <w:p w:rsidR="00644551" w:rsidRPr="006E645D" w:rsidRDefault="006E645D" w:rsidP="006E645D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Згідно Положення про </w:t>
      </w:r>
      <w:r w:rsidR="00644551" w:rsidRPr="00644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Державну служ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бу експортного контролю України</w:t>
      </w:r>
      <w:r w:rsidR="00644551" w:rsidRPr="00644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на даний суб’єкт державного управління покладаються наступні повноваження, згруповані за сукупністю методів (контрольні, організаційні, регуляторні)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Надайте їх характеристику.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полягає «</w:t>
      </w:r>
      <w:proofErr w:type="spellStart"/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бланкетність</w:t>
      </w:r>
      <w:proofErr w:type="spellEnd"/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диспозиції статті 333 КК України? 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Чим «міжнародна передача товарів» юридично відрізняється від звичайного «експорту» в розумінні ДЕК?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Яка особливість експортного контролю США (режими ITAR/EAR) створює найбільші виклики для українських IT-компаній?</w:t>
      </w:r>
    </w:p>
    <w:p w:rsidR="008E56E5" w:rsidRDefault="008E56E5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0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50F6F" w:rsidRPr="00E50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Яку роль відіграють «міжнародні режими нерозповсюдження» (напр. Вассенаарська домовленість), якщо вони не мають статусу міжнародного договору? 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0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Як ДСЕКУ може юридично заблокувати угоду, якщо експортер виконав усі формальні вимоги? 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 чому полягає складність доказування «нематеріальної передачі технологій» (ITT) через хмарні сховища? 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Який юридичний документ є «гарантією» для держави-експортера, що товар не буде використаний у терористичних цілях?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Чому для кваліфікації злочину за ст. 333 КК важливо розрізняти «фундаментальне наукове дослідження» та «прикладну технологію»?</w:t>
      </w:r>
    </w:p>
    <w:p w:rsidR="008E56E5" w:rsidRDefault="00E50F6F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Чи вважається експортом завантаження креслення військового двигуна на особисту сторінку у </w:t>
      </w:r>
      <w:proofErr w:type="spellStart"/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Facebook</w:t>
      </w:r>
      <w:proofErr w:type="spellEnd"/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 доступом "лише для друзів", якщо серед друзів є іноземець?</w:t>
      </w:r>
    </w:p>
    <w:p w:rsidR="00B113B4" w:rsidRPr="008E56E5" w:rsidRDefault="00B113B4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5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Якщо іноземний аспірант працює в українській лабораторії над подвійними технологіями, чи є момент надання йому доступу до ПЗ фактичним експортом? Хто має нести відповідальність: університет чи науковий керівник?</w:t>
      </w:r>
    </w:p>
    <w:p w:rsidR="00B113B4" w:rsidRPr="00B113B4" w:rsidRDefault="00B113B4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Чи можна притягнути до відповідальності розробника, який виклав вихідний код алгоритму подвійного призначення на </w:t>
      </w:r>
      <w:proofErr w:type="spellStart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GitHub</w:t>
      </w:r>
      <w:proofErr w:type="spellEnd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Open</w:t>
      </w:r>
      <w:proofErr w:type="spellEnd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Source</w:t>
      </w:r>
      <w:proofErr w:type="spellEnd"/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якщо він не мав на меті передачу конкретній державі?</w:t>
      </w:r>
    </w:p>
    <w:p w:rsidR="00B113B4" w:rsidRPr="00B113B4" w:rsidRDefault="00B113B4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 збалансувати право на свободу наукової творчості та конституційне право на інформацію з жорсткими обмеженнями ДЕК? Де закінчується «фундаментальне наукове дослідження» (яке не контролюється) і починається «прикладна технологія» (яка контролюється)?</w:t>
      </w:r>
    </w:p>
    <w:p w:rsidR="00B113B4" w:rsidRPr="00B113B4" w:rsidRDefault="00B113B4" w:rsidP="00644551">
      <w:pPr>
        <w:pStyle w:val="a4"/>
        <w:numPr>
          <w:ilvl w:val="0"/>
          <w:numId w:val="6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11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повинна Україна визнавати докази, зібрані іноземними спецслужбами щодо порушення правил експортного контролю третіх країн (наприклад, санкцій США), як підставу для порушення справи за ст. 333 КК?</w:t>
      </w:r>
    </w:p>
    <w:p w:rsidR="00BA277A" w:rsidRDefault="00BA277A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77A" w:rsidRDefault="00BA277A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77A" w:rsidRPr="00DD30EA" w:rsidRDefault="00BA277A" w:rsidP="00BA277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Системний аналіз експортного контролю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місце державного експортного контролю в системі національної безпеки.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Порівняльний аналіз міжнародних режимів</w:t>
      </w:r>
    </w:p>
    <w:p w:rsid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основні міжнародні режими експортного контролю та їх правову природу.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Суб’єктна структура контролю</w:t>
      </w:r>
    </w:p>
    <w:p w:rsidR="00644551" w:rsidRPr="00DD30EA" w:rsidRDefault="00DD30EA" w:rsidP="0064455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систему суб’єктів державного експортного контролю та їх повноваження.</w:t>
      </w:r>
      <w:r w:rsidR="00644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Порівняйте </w:t>
      </w:r>
      <w:r w:rsidR="00644551"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систему суб’єктів державного експортного контролю та їх повноваження</w:t>
      </w:r>
      <w:r w:rsidR="00644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України та закордоном (країна на вибір)</w:t>
      </w:r>
      <w:r w:rsidR="00644551"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44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Кримінально-правові механізми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Оцінити ефективність кримінально-правових та процесуальних механізмів протидії порушенням експортного контролю.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5. Кейс </w:t>
      </w:r>
    </w:p>
    <w:p w:rsidR="004F1B6F" w:rsidRDefault="004F1B6F" w:rsidP="004F1B6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Українська компанія виробила систему РЕБ, де 15% компонентів (мікросхеми) є виробництва США та підпадають під американський режим EAR (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Export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Administration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Regulations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). Компанія продала систему до країни А, маючи дозвіл ДСЕКУ. Проте влада США заявила про порушення, оскільки Україна не отримала 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реекспортний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дозвіл від американського Бюро промисловості та безпеки (BIS), а країна А знаходиться під санкціями США.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Оцініть правові наслідки для української компанії. Чи може порушення правил ДЕК США бути підставою для юридичних санкцій в Україні, якщо українське законодавство порушено не було?</w:t>
      </w:r>
    </w:p>
    <w:p w:rsidR="004F1B6F" w:rsidRPr="00DD30EA" w:rsidRDefault="004F1B6F" w:rsidP="004F1B6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Кейс </w:t>
      </w:r>
    </w:p>
    <w:p w:rsidR="004F1B6F" w:rsidRPr="00186269" w:rsidRDefault="004F1B6F" w:rsidP="004F1B6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Головний конструктор приватного КБ «Орлан», що розробляє системи навігації для БПЛА, завантажив технічну документацію нового алгоритму на сервіс 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Google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Drive</w:t>
      </w:r>
      <w:proofErr w:type="spellEnd"/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Він надав доступ за посиланням своєму колишньому колезі, який зараз працює в університеті ОАЕ, для «наукових консультацій». ДСЕКУ не надавала дозволу на передачу цієї технології.</w:t>
      </w:r>
    </w:p>
    <w:p w:rsidR="004F1B6F" w:rsidRPr="00186269" w:rsidRDefault="004F1B6F" w:rsidP="004F1B6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62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Сформулюйте позицію сторони обвинувачення (СБУ) щодо моменту завершення злочину за ст. 333 КК. Як довести, що інформація не була «фундаментальним науковим дослідженням»?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4F1B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DD3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Модель удосконалення контролю</w:t>
      </w:r>
    </w:p>
    <w:p w:rsidR="00DD30EA" w:rsidRPr="00DD30EA" w:rsidRDefault="00DD30EA" w:rsidP="00BA277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3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Запропонувати правові шляхи вдосконалення системи експортного контролю.</w:t>
      </w:r>
    </w:p>
    <w:p w:rsidR="00B51714" w:rsidRDefault="00B51714" w:rsidP="00BA277A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3B4" w:rsidRPr="00DD30EA" w:rsidRDefault="00B113B4" w:rsidP="00BA277A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13B4" w:rsidRPr="00DD3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96C"/>
    <w:multiLevelType w:val="multilevel"/>
    <w:tmpl w:val="9F0C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3DE7"/>
    <w:multiLevelType w:val="multilevel"/>
    <w:tmpl w:val="2E5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93EB5"/>
    <w:multiLevelType w:val="multilevel"/>
    <w:tmpl w:val="B796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73010"/>
    <w:multiLevelType w:val="multilevel"/>
    <w:tmpl w:val="0CC8C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90922"/>
    <w:multiLevelType w:val="multilevel"/>
    <w:tmpl w:val="120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852D7"/>
    <w:multiLevelType w:val="multilevel"/>
    <w:tmpl w:val="B524C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5593B"/>
    <w:multiLevelType w:val="hybridMultilevel"/>
    <w:tmpl w:val="F9B41C7E"/>
    <w:lvl w:ilvl="0" w:tplc="E16CA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522E5"/>
    <w:multiLevelType w:val="multilevel"/>
    <w:tmpl w:val="DAB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186269"/>
    <w:rsid w:val="003641F9"/>
    <w:rsid w:val="004F1B6F"/>
    <w:rsid w:val="00644551"/>
    <w:rsid w:val="006E645D"/>
    <w:rsid w:val="00756231"/>
    <w:rsid w:val="007D1F39"/>
    <w:rsid w:val="00877863"/>
    <w:rsid w:val="008E56E5"/>
    <w:rsid w:val="00936DD0"/>
    <w:rsid w:val="00A600E1"/>
    <w:rsid w:val="00AD666F"/>
    <w:rsid w:val="00B113B4"/>
    <w:rsid w:val="00B51714"/>
    <w:rsid w:val="00BA277A"/>
    <w:rsid w:val="00D75397"/>
    <w:rsid w:val="00DD30EA"/>
    <w:rsid w:val="00E159C2"/>
    <w:rsid w:val="00E22077"/>
    <w:rsid w:val="00E50F6F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8E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Барановська Тетяна Василiвна</cp:lastModifiedBy>
  <cp:revision>2</cp:revision>
  <dcterms:created xsi:type="dcterms:W3CDTF">2026-02-17T11:49:00Z</dcterms:created>
  <dcterms:modified xsi:type="dcterms:W3CDTF">2026-02-17T11:49:00Z</dcterms:modified>
</cp:coreProperties>
</file>