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FAECE7" w14:textId="77777777" w:rsidR="003D1A95" w:rsidRPr="003D1A95" w:rsidRDefault="003D1A95" w:rsidP="003D1A95">
      <w:pPr>
        <w:rPr>
          <w:rFonts w:ascii="Times New Roman" w:hAnsi="Times New Roman" w:cs="Times New Roman"/>
          <w:sz w:val="28"/>
          <w:szCs w:val="28"/>
        </w:rPr>
      </w:pPr>
      <w:r w:rsidRPr="003D1A95">
        <w:rPr>
          <w:rFonts w:ascii="Times New Roman" w:hAnsi="Times New Roman" w:cs="Times New Roman"/>
          <w:b/>
          <w:bCs/>
          <w:iCs/>
          <w:sz w:val="28"/>
          <w:szCs w:val="28"/>
        </w:rPr>
        <w:t>Тема 8. Реформування транспортної політики в Україні до стандартів ЄС</w:t>
      </w:r>
    </w:p>
    <w:p w14:paraId="215F3D33" w14:textId="77777777" w:rsidR="003D1A95" w:rsidRPr="003D1A95" w:rsidRDefault="003D1A95" w:rsidP="003D1A95">
      <w:pPr>
        <w:numPr>
          <w:ilvl w:val="0"/>
          <w:numId w:val="7"/>
        </w:numPr>
        <w:rPr>
          <w:rFonts w:ascii="Times New Roman" w:hAnsi="Times New Roman" w:cs="Times New Roman"/>
          <w:iCs/>
          <w:sz w:val="28"/>
          <w:szCs w:val="28"/>
        </w:rPr>
      </w:pPr>
      <w:r w:rsidRPr="003D1A95">
        <w:rPr>
          <w:rFonts w:ascii="Times New Roman" w:hAnsi="Times New Roman" w:cs="Times New Roman"/>
          <w:iCs/>
          <w:sz w:val="28"/>
          <w:szCs w:val="28"/>
        </w:rPr>
        <w:t xml:space="preserve">Інтеграція в TEN-T. </w:t>
      </w:r>
    </w:p>
    <w:p w14:paraId="5DBB9ADA" w14:textId="77777777" w:rsidR="003D1A95" w:rsidRPr="003D1A95" w:rsidRDefault="003D1A95" w:rsidP="003D1A95">
      <w:pPr>
        <w:numPr>
          <w:ilvl w:val="0"/>
          <w:numId w:val="7"/>
        </w:numPr>
        <w:rPr>
          <w:rFonts w:ascii="Times New Roman" w:hAnsi="Times New Roman" w:cs="Times New Roman"/>
          <w:iCs/>
          <w:sz w:val="28"/>
          <w:szCs w:val="28"/>
        </w:rPr>
      </w:pPr>
      <w:r w:rsidRPr="003D1A95">
        <w:rPr>
          <w:rFonts w:ascii="Times New Roman" w:hAnsi="Times New Roman" w:cs="Times New Roman"/>
          <w:iCs/>
          <w:sz w:val="28"/>
          <w:szCs w:val="28"/>
        </w:rPr>
        <w:t xml:space="preserve">Розширення європейських транспортних коридорів на територію України. </w:t>
      </w:r>
    </w:p>
    <w:p w14:paraId="532A9DAC" w14:textId="0BAD4B8D" w:rsidR="003D1A95" w:rsidRPr="003D1A95" w:rsidRDefault="003D1A95" w:rsidP="0099551C">
      <w:pPr>
        <w:numPr>
          <w:ilvl w:val="0"/>
          <w:numId w:val="7"/>
        </w:numPr>
        <w:rPr>
          <w:rFonts w:ascii="Times New Roman" w:hAnsi="Times New Roman" w:cs="Times New Roman"/>
          <w:iCs/>
          <w:sz w:val="28"/>
          <w:szCs w:val="28"/>
        </w:rPr>
      </w:pPr>
      <w:r w:rsidRPr="003D1A95">
        <w:rPr>
          <w:rFonts w:ascii="Times New Roman" w:hAnsi="Times New Roman" w:cs="Times New Roman"/>
          <w:iCs/>
          <w:sz w:val="28"/>
          <w:szCs w:val="28"/>
        </w:rPr>
        <w:t>Імплементація стандартів ЄС у сфері морського, автомобільного та залізничного транспорту.</w:t>
      </w:r>
    </w:p>
    <w:p w14:paraId="232342D1" w14:textId="13A8F0CD" w:rsidR="0099551C" w:rsidRPr="0099551C" w:rsidRDefault="0099551C" w:rsidP="0099551C">
      <w:pPr>
        <w:rPr>
          <w:rFonts w:ascii="Times New Roman" w:hAnsi="Times New Roman" w:cs="Times New Roman"/>
          <w:b/>
          <w:bCs/>
          <w:sz w:val="28"/>
          <w:szCs w:val="28"/>
        </w:rPr>
      </w:pPr>
      <w:r w:rsidRPr="0099551C">
        <w:rPr>
          <w:rFonts w:ascii="Times New Roman" w:hAnsi="Times New Roman" w:cs="Times New Roman"/>
          <w:b/>
          <w:bCs/>
          <w:sz w:val="28"/>
          <w:szCs w:val="28"/>
        </w:rPr>
        <w:t>1. Інтеграція України до мережі TEN-T</w:t>
      </w:r>
    </w:p>
    <w:p w14:paraId="1AC709BF" w14:textId="77777777" w:rsidR="0099551C" w:rsidRPr="0099551C" w:rsidRDefault="0099551C" w:rsidP="00034C47">
      <w:pPr>
        <w:spacing w:line="240" w:lineRule="auto"/>
        <w:rPr>
          <w:rFonts w:ascii="Times New Roman" w:hAnsi="Times New Roman" w:cs="Times New Roman"/>
          <w:sz w:val="28"/>
          <w:szCs w:val="28"/>
        </w:rPr>
      </w:pPr>
      <w:r w:rsidRPr="0099551C">
        <w:rPr>
          <w:rFonts w:ascii="Times New Roman" w:hAnsi="Times New Roman" w:cs="Times New Roman"/>
          <w:sz w:val="28"/>
          <w:szCs w:val="28"/>
        </w:rPr>
        <w:t>Ситуація:</w:t>
      </w:r>
    </w:p>
    <w:p w14:paraId="60CD9DBE" w14:textId="77777777" w:rsidR="0099551C" w:rsidRPr="0099551C" w:rsidRDefault="0099551C" w:rsidP="00034C47">
      <w:pPr>
        <w:spacing w:line="240" w:lineRule="auto"/>
        <w:ind w:firstLine="708"/>
        <w:rPr>
          <w:rFonts w:ascii="Times New Roman" w:hAnsi="Times New Roman" w:cs="Times New Roman"/>
          <w:sz w:val="28"/>
          <w:szCs w:val="28"/>
        </w:rPr>
      </w:pPr>
      <w:r w:rsidRPr="0099551C">
        <w:rPr>
          <w:rFonts w:ascii="Times New Roman" w:hAnsi="Times New Roman" w:cs="Times New Roman"/>
          <w:sz w:val="28"/>
          <w:szCs w:val="28"/>
        </w:rPr>
        <w:t xml:space="preserve">Україна офіційно приєднана до розширеної мережі TEN-T. Разом з тим, частина інфраструктурних об’єктів (залізничні вузли, автомобільні магістралі, порти) не відповідає технічним та екологічним стандартам ЄС. Європейська Комісія ставить умову приведення законодавства та практик управління інфраструктурою у відповідність до </w:t>
      </w:r>
      <w:proofErr w:type="spellStart"/>
      <w:r w:rsidRPr="0099551C">
        <w:rPr>
          <w:rFonts w:ascii="Times New Roman" w:hAnsi="Times New Roman" w:cs="Times New Roman"/>
          <w:sz w:val="28"/>
          <w:szCs w:val="28"/>
        </w:rPr>
        <w:t>acquis</w:t>
      </w:r>
      <w:proofErr w:type="spellEnd"/>
      <w:r w:rsidRPr="0099551C">
        <w:rPr>
          <w:rFonts w:ascii="Times New Roman" w:hAnsi="Times New Roman" w:cs="Times New Roman"/>
          <w:sz w:val="28"/>
          <w:szCs w:val="28"/>
        </w:rPr>
        <w:t xml:space="preserve"> </w:t>
      </w:r>
      <w:proofErr w:type="spellStart"/>
      <w:r w:rsidRPr="0099551C">
        <w:rPr>
          <w:rFonts w:ascii="Times New Roman" w:hAnsi="Times New Roman" w:cs="Times New Roman"/>
          <w:sz w:val="28"/>
          <w:szCs w:val="28"/>
        </w:rPr>
        <w:t>communautaire</w:t>
      </w:r>
      <w:proofErr w:type="spellEnd"/>
      <w:r w:rsidRPr="0099551C">
        <w:rPr>
          <w:rFonts w:ascii="Times New Roman" w:hAnsi="Times New Roman" w:cs="Times New Roman"/>
          <w:sz w:val="28"/>
          <w:szCs w:val="28"/>
        </w:rPr>
        <w:t>.</w:t>
      </w:r>
    </w:p>
    <w:p w14:paraId="4B2970CE" w14:textId="77777777" w:rsidR="0099551C" w:rsidRPr="0099551C" w:rsidRDefault="0099551C" w:rsidP="00904EC9">
      <w:pPr>
        <w:spacing w:line="240" w:lineRule="auto"/>
        <w:ind w:firstLine="708"/>
        <w:rPr>
          <w:rFonts w:ascii="Times New Roman" w:hAnsi="Times New Roman" w:cs="Times New Roman"/>
          <w:sz w:val="28"/>
          <w:szCs w:val="28"/>
        </w:rPr>
      </w:pPr>
      <w:r w:rsidRPr="0099551C">
        <w:rPr>
          <w:rFonts w:ascii="Times New Roman" w:hAnsi="Times New Roman" w:cs="Times New Roman"/>
          <w:sz w:val="28"/>
          <w:szCs w:val="28"/>
        </w:rPr>
        <w:t>Питання для аналізу:</w:t>
      </w:r>
    </w:p>
    <w:p w14:paraId="0FD96ADA" w14:textId="77777777" w:rsidR="0099551C" w:rsidRPr="0099551C" w:rsidRDefault="0099551C" w:rsidP="002E5497">
      <w:pPr>
        <w:spacing w:line="240" w:lineRule="auto"/>
        <w:rPr>
          <w:rFonts w:ascii="Times New Roman" w:hAnsi="Times New Roman" w:cs="Times New Roman"/>
          <w:sz w:val="28"/>
          <w:szCs w:val="28"/>
        </w:rPr>
      </w:pPr>
      <w:r w:rsidRPr="0099551C">
        <w:rPr>
          <w:rFonts w:ascii="Times New Roman" w:hAnsi="Times New Roman" w:cs="Times New Roman"/>
          <w:sz w:val="28"/>
          <w:szCs w:val="28"/>
        </w:rPr>
        <w:t>Який правовий статус TEN-T у системі права ЄС?</w:t>
      </w:r>
    </w:p>
    <w:p w14:paraId="22E4E2C5" w14:textId="77777777" w:rsidR="0099551C" w:rsidRPr="0099551C" w:rsidRDefault="0099551C" w:rsidP="002E5497">
      <w:pPr>
        <w:spacing w:line="240" w:lineRule="auto"/>
        <w:rPr>
          <w:rFonts w:ascii="Times New Roman" w:hAnsi="Times New Roman" w:cs="Times New Roman"/>
          <w:sz w:val="28"/>
          <w:szCs w:val="28"/>
        </w:rPr>
      </w:pPr>
      <w:r w:rsidRPr="0099551C">
        <w:rPr>
          <w:rFonts w:ascii="Times New Roman" w:hAnsi="Times New Roman" w:cs="Times New Roman"/>
          <w:sz w:val="28"/>
          <w:szCs w:val="28"/>
        </w:rPr>
        <w:t>Які зобов’язання виникають у держави, що інтегрується до мережі TEN-T?</w:t>
      </w:r>
    </w:p>
    <w:p w14:paraId="41DC7489" w14:textId="77777777" w:rsidR="0099551C" w:rsidRPr="0099551C" w:rsidRDefault="0099551C" w:rsidP="002E5497">
      <w:pPr>
        <w:spacing w:line="240" w:lineRule="auto"/>
        <w:rPr>
          <w:rFonts w:ascii="Times New Roman" w:hAnsi="Times New Roman" w:cs="Times New Roman"/>
          <w:sz w:val="28"/>
          <w:szCs w:val="28"/>
        </w:rPr>
      </w:pPr>
      <w:r w:rsidRPr="0099551C">
        <w:rPr>
          <w:rFonts w:ascii="Times New Roman" w:hAnsi="Times New Roman" w:cs="Times New Roman"/>
          <w:sz w:val="28"/>
          <w:szCs w:val="28"/>
        </w:rPr>
        <w:t>Які органи державної влади України є ключовими суб’єктами імплементації вимог TEN-T?</w:t>
      </w:r>
    </w:p>
    <w:p w14:paraId="416F84DC" w14:textId="77777777" w:rsidR="0099551C" w:rsidRPr="0099551C" w:rsidRDefault="0099551C" w:rsidP="002E5497">
      <w:pPr>
        <w:spacing w:line="240" w:lineRule="auto"/>
        <w:rPr>
          <w:rFonts w:ascii="Times New Roman" w:hAnsi="Times New Roman" w:cs="Times New Roman"/>
          <w:sz w:val="28"/>
          <w:szCs w:val="28"/>
        </w:rPr>
      </w:pPr>
      <w:r w:rsidRPr="0099551C">
        <w:rPr>
          <w:rFonts w:ascii="Times New Roman" w:hAnsi="Times New Roman" w:cs="Times New Roman"/>
          <w:sz w:val="28"/>
          <w:szCs w:val="28"/>
        </w:rPr>
        <w:t>Чи можна розглядати TEN-T як інструмент «м’якої інтеграції» України до ЄС?</w:t>
      </w:r>
    </w:p>
    <w:p w14:paraId="6E48C4A2" w14:textId="2001A422" w:rsidR="0099551C" w:rsidRPr="0099551C" w:rsidRDefault="0099551C" w:rsidP="00904EC9">
      <w:pPr>
        <w:spacing w:line="240" w:lineRule="auto"/>
        <w:ind w:firstLine="360"/>
        <w:rPr>
          <w:rFonts w:ascii="Times New Roman" w:hAnsi="Times New Roman" w:cs="Times New Roman"/>
          <w:sz w:val="28"/>
          <w:szCs w:val="28"/>
        </w:rPr>
      </w:pPr>
      <w:r w:rsidRPr="0099551C">
        <w:rPr>
          <w:rFonts w:ascii="Times New Roman" w:hAnsi="Times New Roman" w:cs="Times New Roman"/>
          <w:sz w:val="28"/>
          <w:szCs w:val="28"/>
        </w:rPr>
        <w:t>Завдання:</w:t>
      </w:r>
    </w:p>
    <w:p w14:paraId="78AC7D73" w14:textId="77777777" w:rsidR="0099551C" w:rsidRPr="00034C47" w:rsidRDefault="0099551C" w:rsidP="0043024B">
      <w:pPr>
        <w:pStyle w:val="a9"/>
        <w:numPr>
          <w:ilvl w:val="0"/>
          <w:numId w:val="6"/>
        </w:numPr>
        <w:spacing w:line="240" w:lineRule="auto"/>
        <w:rPr>
          <w:rFonts w:ascii="Times New Roman" w:hAnsi="Times New Roman" w:cs="Times New Roman"/>
          <w:sz w:val="28"/>
          <w:szCs w:val="28"/>
        </w:rPr>
      </w:pPr>
      <w:r w:rsidRPr="00034C47">
        <w:rPr>
          <w:rFonts w:ascii="Times New Roman" w:hAnsi="Times New Roman" w:cs="Times New Roman"/>
          <w:sz w:val="28"/>
          <w:szCs w:val="28"/>
        </w:rPr>
        <w:t>Провести правовий аналіз відповідності чинного законодавства України вимогам Регламенту ЄС № 1315/2013.</w:t>
      </w:r>
    </w:p>
    <w:p w14:paraId="0C5595B3" w14:textId="77777777" w:rsidR="0099551C" w:rsidRPr="00034C47" w:rsidRDefault="0099551C" w:rsidP="0043024B">
      <w:pPr>
        <w:pStyle w:val="a9"/>
        <w:numPr>
          <w:ilvl w:val="0"/>
          <w:numId w:val="6"/>
        </w:numPr>
        <w:spacing w:line="240" w:lineRule="auto"/>
        <w:rPr>
          <w:rFonts w:ascii="Times New Roman" w:hAnsi="Times New Roman" w:cs="Times New Roman"/>
          <w:sz w:val="28"/>
          <w:szCs w:val="28"/>
        </w:rPr>
      </w:pPr>
      <w:r w:rsidRPr="00034C47">
        <w:rPr>
          <w:rFonts w:ascii="Times New Roman" w:hAnsi="Times New Roman" w:cs="Times New Roman"/>
          <w:sz w:val="28"/>
          <w:szCs w:val="28"/>
        </w:rPr>
        <w:t>Визначити прогалини та колізії.</w:t>
      </w:r>
    </w:p>
    <w:p w14:paraId="4A5C9D50" w14:textId="77777777" w:rsidR="0099551C" w:rsidRPr="00034C47" w:rsidRDefault="0099551C" w:rsidP="0043024B">
      <w:pPr>
        <w:pStyle w:val="a9"/>
        <w:numPr>
          <w:ilvl w:val="0"/>
          <w:numId w:val="6"/>
        </w:numPr>
        <w:spacing w:line="240" w:lineRule="auto"/>
        <w:rPr>
          <w:rFonts w:ascii="Times New Roman" w:hAnsi="Times New Roman" w:cs="Times New Roman"/>
          <w:sz w:val="28"/>
          <w:szCs w:val="28"/>
        </w:rPr>
      </w:pPr>
      <w:r w:rsidRPr="00034C47">
        <w:rPr>
          <w:rFonts w:ascii="Times New Roman" w:hAnsi="Times New Roman" w:cs="Times New Roman"/>
          <w:sz w:val="28"/>
          <w:szCs w:val="28"/>
        </w:rPr>
        <w:t>Підготувати науково обґрунтовані пропозиції щодо змін до законодавства України (у формі тез).</w:t>
      </w:r>
    </w:p>
    <w:p w14:paraId="57371B31" w14:textId="2707EF9F" w:rsidR="00F17D27" w:rsidRPr="004D68FF" w:rsidRDefault="00F17D27" w:rsidP="00483852">
      <w:pPr>
        <w:pStyle w:val="ae"/>
        <w:ind w:firstLine="360"/>
        <w:jc w:val="both"/>
        <w:rPr>
          <w:b/>
          <w:bCs/>
          <w:sz w:val="28"/>
          <w:szCs w:val="28"/>
        </w:rPr>
      </w:pPr>
      <w:r w:rsidRPr="004D68FF">
        <w:rPr>
          <w:b/>
          <w:bCs/>
          <w:sz w:val="28"/>
          <w:szCs w:val="28"/>
        </w:rPr>
        <w:t xml:space="preserve"> 2. Розширення європейських транспортних коридорів на територію України: багаторівневе правове регулювання та конфлікт нормативних режимів</w:t>
      </w:r>
    </w:p>
    <w:p w14:paraId="19E4F424" w14:textId="77777777" w:rsidR="00A35B36" w:rsidRPr="00A35B36" w:rsidRDefault="00A35B36" w:rsidP="00904EC9">
      <w:pPr>
        <w:pStyle w:val="ae"/>
        <w:ind w:firstLine="360"/>
        <w:rPr>
          <w:sz w:val="28"/>
          <w:szCs w:val="28"/>
        </w:rPr>
      </w:pPr>
      <w:r w:rsidRPr="00A35B36">
        <w:rPr>
          <w:sz w:val="28"/>
          <w:szCs w:val="28"/>
        </w:rPr>
        <w:t>Ситуація:</w:t>
      </w:r>
    </w:p>
    <w:p w14:paraId="40CBD00A" w14:textId="77777777" w:rsidR="00F17D27" w:rsidRPr="00034C47" w:rsidRDefault="00F17D27" w:rsidP="00034C47">
      <w:pPr>
        <w:pStyle w:val="ae"/>
        <w:ind w:firstLine="708"/>
        <w:jc w:val="both"/>
        <w:rPr>
          <w:sz w:val="28"/>
          <w:szCs w:val="28"/>
        </w:rPr>
      </w:pPr>
      <w:r w:rsidRPr="00034C47">
        <w:rPr>
          <w:sz w:val="28"/>
          <w:szCs w:val="28"/>
        </w:rPr>
        <w:t>У межах оновленої політики Європейського Союзу щодо розширення транс’європейської транспортної мережі прийнято рішення про продовження кількох ключових коридорів базової та комплексної мереж TEN-T на територію України. Відповідні коридори охоплюють автомобільні та залізничні магістралі, прикордонні переходи, мультимодальні логістичні термінали та елементи портової інфраструктури.</w:t>
      </w:r>
    </w:p>
    <w:p w14:paraId="65F8F7DB" w14:textId="77777777" w:rsidR="00F17D27" w:rsidRPr="00034C47" w:rsidRDefault="00F17D27" w:rsidP="00034C47">
      <w:pPr>
        <w:pStyle w:val="ae"/>
        <w:ind w:firstLine="708"/>
        <w:jc w:val="both"/>
        <w:rPr>
          <w:sz w:val="28"/>
          <w:szCs w:val="28"/>
        </w:rPr>
      </w:pPr>
      <w:r w:rsidRPr="00034C47">
        <w:rPr>
          <w:sz w:val="28"/>
          <w:szCs w:val="28"/>
        </w:rPr>
        <w:t xml:space="preserve">Реалізація проєктів здійснюється за змішаною моделлю фінансування, що включає кошти ЄС, міжнародних фінансових організацій та державного </w:t>
      </w:r>
      <w:r w:rsidRPr="00034C47">
        <w:rPr>
          <w:sz w:val="28"/>
          <w:szCs w:val="28"/>
        </w:rPr>
        <w:lastRenderedPageBreak/>
        <w:t>бюджету України, а також залучення приватного капіталу в межах державно-приватного партнерства. При цьому застосовуються різні правові режими: право ЄС, міжнародні договори, національне законодавство України, а також умови фінансових угод.</w:t>
      </w:r>
    </w:p>
    <w:p w14:paraId="1B497FCD" w14:textId="77777777" w:rsidR="00F17D27" w:rsidRPr="00034C47" w:rsidRDefault="00F17D27" w:rsidP="00034C47">
      <w:pPr>
        <w:pStyle w:val="ae"/>
        <w:ind w:firstLine="708"/>
        <w:jc w:val="both"/>
        <w:rPr>
          <w:sz w:val="28"/>
          <w:szCs w:val="28"/>
        </w:rPr>
      </w:pPr>
      <w:r w:rsidRPr="00034C47">
        <w:rPr>
          <w:sz w:val="28"/>
          <w:szCs w:val="28"/>
        </w:rPr>
        <w:t xml:space="preserve">У процесі підготовки та реалізації одного з коридорів виникає комплекс правових проблем. Зокрема, процедури відведення земельних ділянок та оцінки впливу на довкілля здійснюються відповідно до національного законодавства, яке передбачає скорочені строки та спрощені механізми, що не повністю відповідають вимогам директив ЄС щодо стратегічної екологічної оцінки та оцінки впливу на довкілля. Крім того, порядок публічних </w:t>
      </w:r>
      <w:proofErr w:type="spellStart"/>
      <w:r w:rsidRPr="00034C47">
        <w:rPr>
          <w:sz w:val="28"/>
          <w:szCs w:val="28"/>
        </w:rPr>
        <w:t>закупівель</w:t>
      </w:r>
      <w:proofErr w:type="spellEnd"/>
      <w:r w:rsidRPr="00034C47">
        <w:rPr>
          <w:sz w:val="28"/>
          <w:szCs w:val="28"/>
        </w:rPr>
        <w:t xml:space="preserve"> для реалізації проєкту істотно відрізняється від стандартів, що застосовуються у державах-членах ЄС.</w:t>
      </w:r>
    </w:p>
    <w:p w14:paraId="6DB89CE2" w14:textId="77777777" w:rsidR="00F17D27" w:rsidRPr="00034C47" w:rsidRDefault="00F17D27" w:rsidP="00034C47">
      <w:pPr>
        <w:pStyle w:val="ae"/>
        <w:ind w:firstLine="708"/>
        <w:jc w:val="both"/>
        <w:rPr>
          <w:sz w:val="28"/>
          <w:szCs w:val="28"/>
        </w:rPr>
      </w:pPr>
      <w:r w:rsidRPr="00034C47">
        <w:rPr>
          <w:sz w:val="28"/>
          <w:szCs w:val="28"/>
        </w:rPr>
        <w:t xml:space="preserve">Європейські партнери наполягають на приведенні процедур у відповідність до </w:t>
      </w:r>
      <w:proofErr w:type="spellStart"/>
      <w:r w:rsidRPr="00034C47">
        <w:rPr>
          <w:sz w:val="28"/>
          <w:szCs w:val="28"/>
        </w:rPr>
        <w:t>acquis</w:t>
      </w:r>
      <w:proofErr w:type="spellEnd"/>
      <w:r w:rsidRPr="00034C47">
        <w:rPr>
          <w:sz w:val="28"/>
          <w:szCs w:val="28"/>
        </w:rPr>
        <w:t xml:space="preserve"> </w:t>
      </w:r>
      <w:proofErr w:type="spellStart"/>
      <w:r w:rsidRPr="00034C47">
        <w:rPr>
          <w:sz w:val="28"/>
          <w:szCs w:val="28"/>
        </w:rPr>
        <w:t>communautaire</w:t>
      </w:r>
      <w:proofErr w:type="spellEnd"/>
      <w:r w:rsidRPr="00034C47">
        <w:rPr>
          <w:sz w:val="28"/>
          <w:szCs w:val="28"/>
        </w:rPr>
        <w:t>, посилаючись на умови фінансування та положення Угоди про асоціацію. Водночас на національному рівні виникає дискусія щодо допустимості фактичного пріоритету норм права ЄС над національним законодавством у сфері, що прямо не регулюється правом ЄС для третіх держав.</w:t>
      </w:r>
    </w:p>
    <w:p w14:paraId="5E6779E5" w14:textId="64688A80" w:rsidR="00F17D27" w:rsidRPr="00CC64DC" w:rsidRDefault="00F17D27" w:rsidP="000944A3">
      <w:pPr>
        <w:pStyle w:val="ae"/>
        <w:jc w:val="both"/>
        <w:rPr>
          <w:sz w:val="28"/>
          <w:szCs w:val="28"/>
        </w:rPr>
      </w:pPr>
      <w:r w:rsidRPr="00CC64DC">
        <w:rPr>
          <w:sz w:val="28"/>
          <w:szCs w:val="28"/>
        </w:rPr>
        <w:t>Питання для аналізу</w:t>
      </w:r>
    </w:p>
    <w:p w14:paraId="3436D978" w14:textId="77777777" w:rsidR="002E5497" w:rsidRDefault="00F17D27" w:rsidP="002E5497">
      <w:pPr>
        <w:pStyle w:val="ae"/>
        <w:ind w:firstLine="360"/>
        <w:jc w:val="both"/>
        <w:rPr>
          <w:sz w:val="28"/>
          <w:szCs w:val="28"/>
        </w:rPr>
      </w:pPr>
      <w:r w:rsidRPr="00CC64DC">
        <w:rPr>
          <w:sz w:val="28"/>
          <w:szCs w:val="28"/>
        </w:rPr>
        <w:t>Якою є правова природа розширення транспортних коридорів ЄС на</w:t>
      </w:r>
      <w:r w:rsidR="00CC64DC">
        <w:rPr>
          <w:sz w:val="28"/>
          <w:szCs w:val="28"/>
        </w:rPr>
        <w:t xml:space="preserve"> </w:t>
      </w:r>
      <w:r w:rsidRPr="00CC64DC">
        <w:rPr>
          <w:sz w:val="28"/>
          <w:szCs w:val="28"/>
        </w:rPr>
        <w:t>територію третіх держав?</w:t>
      </w:r>
    </w:p>
    <w:p w14:paraId="2B170EC8" w14:textId="77777777" w:rsidR="002E5497" w:rsidRDefault="00F17D27" w:rsidP="002E5497">
      <w:pPr>
        <w:pStyle w:val="ae"/>
        <w:ind w:firstLine="360"/>
        <w:jc w:val="both"/>
        <w:rPr>
          <w:sz w:val="28"/>
          <w:szCs w:val="28"/>
        </w:rPr>
      </w:pPr>
      <w:r w:rsidRPr="00CC64DC">
        <w:rPr>
          <w:sz w:val="28"/>
          <w:szCs w:val="28"/>
        </w:rPr>
        <w:t xml:space="preserve">Які механізми правової </w:t>
      </w:r>
      <w:proofErr w:type="spellStart"/>
      <w:r w:rsidRPr="00CC64DC">
        <w:rPr>
          <w:sz w:val="28"/>
          <w:szCs w:val="28"/>
        </w:rPr>
        <w:t>екстратериторіальності</w:t>
      </w:r>
      <w:proofErr w:type="spellEnd"/>
      <w:r w:rsidRPr="00CC64DC">
        <w:rPr>
          <w:sz w:val="28"/>
          <w:szCs w:val="28"/>
        </w:rPr>
        <w:t xml:space="preserve"> або умовної дії права ЄС можуть застосовуватися у таких проєктах?</w:t>
      </w:r>
    </w:p>
    <w:p w14:paraId="4A22CB5C" w14:textId="77777777" w:rsidR="002E5497" w:rsidRDefault="00F17D27" w:rsidP="002E5497">
      <w:pPr>
        <w:pStyle w:val="ae"/>
        <w:ind w:firstLine="360"/>
        <w:jc w:val="both"/>
        <w:rPr>
          <w:sz w:val="28"/>
          <w:szCs w:val="28"/>
        </w:rPr>
      </w:pPr>
      <w:r w:rsidRPr="00CC64DC">
        <w:rPr>
          <w:sz w:val="28"/>
          <w:szCs w:val="28"/>
        </w:rPr>
        <w:t>Як співвідносяться положення Угоди про асоціацію та національне законодавство України у сфері інфраструктурних проєктів?</w:t>
      </w:r>
    </w:p>
    <w:p w14:paraId="29121458" w14:textId="77777777" w:rsidR="002E5497" w:rsidRDefault="00F17D27" w:rsidP="002E5497">
      <w:pPr>
        <w:pStyle w:val="ae"/>
        <w:ind w:firstLine="360"/>
        <w:jc w:val="both"/>
        <w:rPr>
          <w:sz w:val="28"/>
          <w:szCs w:val="28"/>
        </w:rPr>
      </w:pPr>
      <w:r w:rsidRPr="00CC64DC">
        <w:rPr>
          <w:sz w:val="28"/>
          <w:szCs w:val="28"/>
        </w:rPr>
        <w:t>Чи можливе виникнення де-факто пріоритету стандартів ЄС без формального верховенства права ЄС?</w:t>
      </w:r>
    </w:p>
    <w:p w14:paraId="42BC2055" w14:textId="436587A8" w:rsidR="00F17D27" w:rsidRPr="00CC64DC" w:rsidRDefault="00F17D27" w:rsidP="002E5497">
      <w:pPr>
        <w:pStyle w:val="ae"/>
        <w:ind w:firstLine="360"/>
        <w:jc w:val="both"/>
        <w:rPr>
          <w:sz w:val="28"/>
          <w:szCs w:val="28"/>
        </w:rPr>
      </w:pPr>
      <w:r w:rsidRPr="00CC64DC">
        <w:rPr>
          <w:sz w:val="28"/>
          <w:szCs w:val="28"/>
        </w:rPr>
        <w:t>Які правові наслідки можуть настати у разі невиконання умов, пов’язаних із дотриманням стандартів ЄС?</w:t>
      </w:r>
    </w:p>
    <w:p w14:paraId="46312410" w14:textId="21307341" w:rsidR="00F17D27" w:rsidRPr="00CC64DC" w:rsidRDefault="00F17D27" w:rsidP="00904EC9">
      <w:pPr>
        <w:pStyle w:val="ae"/>
        <w:ind w:firstLine="360"/>
        <w:jc w:val="both"/>
        <w:rPr>
          <w:sz w:val="28"/>
          <w:szCs w:val="28"/>
        </w:rPr>
      </w:pPr>
      <w:r w:rsidRPr="00CC64DC">
        <w:rPr>
          <w:sz w:val="28"/>
          <w:szCs w:val="28"/>
        </w:rPr>
        <w:t>Завдання</w:t>
      </w:r>
    </w:p>
    <w:p w14:paraId="664142B7" w14:textId="77777777" w:rsidR="00F17D27" w:rsidRPr="00CC64DC" w:rsidRDefault="00F17D27" w:rsidP="000944A3">
      <w:pPr>
        <w:pStyle w:val="ae"/>
        <w:numPr>
          <w:ilvl w:val="0"/>
          <w:numId w:val="3"/>
        </w:numPr>
        <w:jc w:val="both"/>
        <w:rPr>
          <w:sz w:val="28"/>
          <w:szCs w:val="28"/>
        </w:rPr>
      </w:pPr>
      <w:r w:rsidRPr="00CC64DC">
        <w:rPr>
          <w:sz w:val="28"/>
          <w:szCs w:val="28"/>
        </w:rPr>
        <w:t>Проаналізувати правовий режим реалізації транснаціональних транспортних коридорів з урахуванням багаторівневого регулювання (право ЄС, міжнародне право, національне право).</w:t>
      </w:r>
    </w:p>
    <w:p w14:paraId="70A95C91" w14:textId="77777777" w:rsidR="00F17D27" w:rsidRPr="00CC64DC" w:rsidRDefault="00F17D27" w:rsidP="000944A3">
      <w:pPr>
        <w:pStyle w:val="ae"/>
        <w:numPr>
          <w:ilvl w:val="0"/>
          <w:numId w:val="3"/>
        </w:numPr>
        <w:jc w:val="both"/>
        <w:rPr>
          <w:sz w:val="28"/>
          <w:szCs w:val="28"/>
        </w:rPr>
      </w:pPr>
      <w:r w:rsidRPr="00CC64DC">
        <w:rPr>
          <w:sz w:val="28"/>
          <w:szCs w:val="28"/>
        </w:rPr>
        <w:t xml:space="preserve">Дослідити концепцію умовної імплементації </w:t>
      </w:r>
      <w:proofErr w:type="spellStart"/>
      <w:r w:rsidRPr="00CC64DC">
        <w:rPr>
          <w:sz w:val="28"/>
          <w:szCs w:val="28"/>
        </w:rPr>
        <w:t>acquis</w:t>
      </w:r>
      <w:proofErr w:type="spellEnd"/>
      <w:r w:rsidRPr="00CC64DC">
        <w:rPr>
          <w:sz w:val="28"/>
          <w:szCs w:val="28"/>
        </w:rPr>
        <w:t xml:space="preserve"> </w:t>
      </w:r>
      <w:proofErr w:type="spellStart"/>
      <w:r w:rsidRPr="00CC64DC">
        <w:rPr>
          <w:sz w:val="28"/>
          <w:szCs w:val="28"/>
        </w:rPr>
        <w:t>communautaire</w:t>
      </w:r>
      <w:proofErr w:type="spellEnd"/>
      <w:r w:rsidRPr="00CC64DC">
        <w:rPr>
          <w:sz w:val="28"/>
          <w:szCs w:val="28"/>
        </w:rPr>
        <w:t xml:space="preserve"> через фінансові та інституційні механізми.</w:t>
      </w:r>
    </w:p>
    <w:p w14:paraId="2C510AB5" w14:textId="77777777" w:rsidR="00F17D27" w:rsidRPr="00CC64DC" w:rsidRDefault="00F17D27" w:rsidP="000944A3">
      <w:pPr>
        <w:pStyle w:val="ae"/>
        <w:numPr>
          <w:ilvl w:val="0"/>
          <w:numId w:val="3"/>
        </w:numPr>
        <w:jc w:val="both"/>
        <w:rPr>
          <w:sz w:val="28"/>
          <w:szCs w:val="28"/>
        </w:rPr>
      </w:pPr>
      <w:r w:rsidRPr="00CC64DC">
        <w:rPr>
          <w:sz w:val="28"/>
          <w:szCs w:val="28"/>
        </w:rPr>
        <w:t>Оцінити допустимість та межі застосування європейських стандартів у правопорядку України без прямої імплементації.</w:t>
      </w:r>
    </w:p>
    <w:p w14:paraId="3C14881D" w14:textId="77777777" w:rsidR="00F17D27" w:rsidRPr="00CC64DC" w:rsidRDefault="00F17D27" w:rsidP="000944A3">
      <w:pPr>
        <w:pStyle w:val="ae"/>
        <w:numPr>
          <w:ilvl w:val="0"/>
          <w:numId w:val="3"/>
        </w:numPr>
        <w:jc w:val="both"/>
        <w:rPr>
          <w:sz w:val="28"/>
          <w:szCs w:val="28"/>
        </w:rPr>
      </w:pPr>
      <w:r w:rsidRPr="00CC64DC">
        <w:rPr>
          <w:sz w:val="28"/>
          <w:szCs w:val="28"/>
        </w:rPr>
        <w:lastRenderedPageBreak/>
        <w:t>Запропонувати правову модель реалізації транспортного коридору, яка забезпечує баланс між державним суверенітетом та зобов’язаннями перед ЄС.</w:t>
      </w:r>
    </w:p>
    <w:p w14:paraId="7AB68983" w14:textId="77777777" w:rsidR="00F17D27" w:rsidRPr="00CC64DC" w:rsidRDefault="00F17D27" w:rsidP="000944A3">
      <w:pPr>
        <w:pStyle w:val="ae"/>
        <w:numPr>
          <w:ilvl w:val="0"/>
          <w:numId w:val="3"/>
        </w:numPr>
        <w:jc w:val="both"/>
        <w:rPr>
          <w:sz w:val="28"/>
          <w:szCs w:val="28"/>
        </w:rPr>
      </w:pPr>
      <w:r w:rsidRPr="00CC64DC">
        <w:rPr>
          <w:sz w:val="28"/>
          <w:szCs w:val="28"/>
        </w:rPr>
        <w:t>Сформулювати авторську доктринальну позицію щодо перспектив формування «інтегрованого транспортного правового простору» між Україною та ЄС.</w:t>
      </w:r>
    </w:p>
    <w:p w14:paraId="12DEB34A" w14:textId="77777777" w:rsidR="00A35B36" w:rsidRPr="004D68FF" w:rsidRDefault="00A35B36" w:rsidP="00356582">
      <w:pPr>
        <w:pStyle w:val="ae"/>
        <w:jc w:val="both"/>
        <w:rPr>
          <w:b/>
          <w:bCs/>
          <w:sz w:val="28"/>
          <w:szCs w:val="28"/>
        </w:rPr>
      </w:pPr>
      <w:r w:rsidRPr="004D68FF">
        <w:rPr>
          <w:b/>
          <w:bCs/>
          <w:sz w:val="28"/>
          <w:szCs w:val="28"/>
        </w:rPr>
        <w:t>3. Імплементація стандартів ЄС у сфері морського, автомобільного та залізничного транспорту: системні виклики та межі правової адаптації</w:t>
      </w:r>
    </w:p>
    <w:p w14:paraId="595C1512" w14:textId="77777777" w:rsidR="00356582" w:rsidRPr="00356582" w:rsidRDefault="00356582" w:rsidP="00904EC9">
      <w:pPr>
        <w:pStyle w:val="ae"/>
        <w:ind w:firstLine="708"/>
        <w:rPr>
          <w:sz w:val="28"/>
          <w:szCs w:val="28"/>
        </w:rPr>
      </w:pPr>
      <w:r w:rsidRPr="00356582">
        <w:rPr>
          <w:sz w:val="28"/>
          <w:szCs w:val="28"/>
        </w:rPr>
        <w:t>Ситуація:</w:t>
      </w:r>
    </w:p>
    <w:p w14:paraId="42550CC0" w14:textId="77777777" w:rsidR="00A35B36" w:rsidRPr="004579DC" w:rsidRDefault="00A35B36" w:rsidP="00DE0CCF">
      <w:pPr>
        <w:pStyle w:val="ae"/>
        <w:ind w:firstLine="708"/>
        <w:rPr>
          <w:sz w:val="28"/>
          <w:szCs w:val="28"/>
        </w:rPr>
      </w:pPr>
      <w:r w:rsidRPr="004579DC">
        <w:rPr>
          <w:sz w:val="28"/>
          <w:szCs w:val="28"/>
        </w:rPr>
        <w:t xml:space="preserve">У межах виконання Угоди про асоціацію Україна зобов’язалася поступово </w:t>
      </w:r>
      <w:proofErr w:type="spellStart"/>
      <w:r w:rsidRPr="004579DC">
        <w:rPr>
          <w:sz w:val="28"/>
          <w:szCs w:val="28"/>
        </w:rPr>
        <w:t>імплементувати</w:t>
      </w:r>
      <w:proofErr w:type="spellEnd"/>
      <w:r w:rsidRPr="004579DC">
        <w:rPr>
          <w:sz w:val="28"/>
          <w:szCs w:val="28"/>
        </w:rPr>
        <w:t xml:space="preserve"> значну кількість директив і регламентів ЄС у сфері транспорту. Це стосується, зокрема, безпеки мореплавства, управління портами, доступу до ринку автомобільних перевезень, соціальних стандартів для перевізників, а також структурної реформи залізничного транспорту відповідно до положень пакетів залізничного законодавства ЄС.</w:t>
      </w:r>
    </w:p>
    <w:p w14:paraId="3E56A9CF" w14:textId="77777777" w:rsidR="00904EC9" w:rsidRDefault="00A35B36" w:rsidP="00DE0CCF">
      <w:pPr>
        <w:pStyle w:val="ae"/>
        <w:ind w:firstLine="708"/>
        <w:rPr>
          <w:sz w:val="28"/>
          <w:szCs w:val="28"/>
        </w:rPr>
      </w:pPr>
      <w:r w:rsidRPr="004579DC">
        <w:rPr>
          <w:sz w:val="28"/>
          <w:szCs w:val="28"/>
        </w:rPr>
        <w:t>На законодавчому рівні Україна прийняла низку нормативно-правових актів, які формально відтворюють положення директив ЄС. Однак у процесі практичного застосування виявляються істотні розбіжності: інституційна структура не відповідає європейській моделі, незалежні регулятори не мають достатніх повноважень, а судова практика не забезпечує належного рівня правового захисту.</w:t>
      </w:r>
    </w:p>
    <w:p w14:paraId="78A9EB18" w14:textId="331EC41F" w:rsidR="00A35B36" w:rsidRPr="004579DC" w:rsidRDefault="00A35B36" w:rsidP="00904EC9">
      <w:pPr>
        <w:pStyle w:val="ae"/>
        <w:ind w:firstLine="708"/>
        <w:rPr>
          <w:sz w:val="28"/>
          <w:szCs w:val="28"/>
        </w:rPr>
      </w:pPr>
      <w:r w:rsidRPr="004579DC">
        <w:rPr>
          <w:sz w:val="28"/>
          <w:szCs w:val="28"/>
        </w:rPr>
        <w:t>Європейські інституції у своїх оцінках зазначають, що Україна демонструє переважно формальну імплементацію без досягнення функціональної еквівалентності. Це ставить під сумнів ефективність адаптації та породжує питання про допустимі межі правової гармонізації для держави, що не є членом ЄС.</w:t>
      </w:r>
    </w:p>
    <w:p w14:paraId="29ACF586" w14:textId="7B920F29" w:rsidR="00A35B36" w:rsidRPr="00386290" w:rsidRDefault="00A35B36" w:rsidP="00904EC9">
      <w:pPr>
        <w:pStyle w:val="ae"/>
        <w:ind w:firstLine="708"/>
        <w:rPr>
          <w:sz w:val="28"/>
          <w:szCs w:val="28"/>
        </w:rPr>
      </w:pPr>
      <w:r w:rsidRPr="00386290">
        <w:rPr>
          <w:sz w:val="28"/>
          <w:szCs w:val="28"/>
        </w:rPr>
        <w:t>Питання для аналізу</w:t>
      </w:r>
    </w:p>
    <w:p w14:paraId="0AA277F9" w14:textId="77777777" w:rsidR="004D68FF" w:rsidRDefault="00551C14" w:rsidP="004D68FF">
      <w:pPr>
        <w:pStyle w:val="ae"/>
        <w:ind w:firstLine="360"/>
        <w:rPr>
          <w:sz w:val="28"/>
          <w:szCs w:val="28"/>
        </w:rPr>
      </w:pPr>
      <w:r w:rsidRPr="00386290">
        <w:rPr>
          <w:sz w:val="28"/>
          <w:szCs w:val="28"/>
        </w:rPr>
        <w:t>Яке доктринальне значення має розмежування формальної, фактичної та функціональної імплементації права ЄС?</w:t>
      </w:r>
    </w:p>
    <w:p w14:paraId="1F972984" w14:textId="77777777" w:rsidR="004D68FF" w:rsidRDefault="00551C14" w:rsidP="004D68FF">
      <w:pPr>
        <w:pStyle w:val="ae"/>
        <w:ind w:firstLine="360"/>
        <w:rPr>
          <w:sz w:val="28"/>
          <w:szCs w:val="28"/>
        </w:rPr>
      </w:pPr>
      <w:r w:rsidRPr="00386290">
        <w:rPr>
          <w:sz w:val="28"/>
          <w:szCs w:val="28"/>
        </w:rPr>
        <w:t>Чи можна вважати повноцінною імплементацію без створення відповідної інституційної моделі?</w:t>
      </w:r>
    </w:p>
    <w:p w14:paraId="0C851C20" w14:textId="77777777" w:rsidR="004D68FF" w:rsidRDefault="00551C14" w:rsidP="004D68FF">
      <w:pPr>
        <w:pStyle w:val="ae"/>
        <w:ind w:firstLine="360"/>
        <w:rPr>
          <w:sz w:val="28"/>
          <w:szCs w:val="28"/>
        </w:rPr>
      </w:pPr>
      <w:r w:rsidRPr="00386290">
        <w:rPr>
          <w:sz w:val="28"/>
          <w:szCs w:val="28"/>
        </w:rPr>
        <w:t>Якими є критерії оцінки ефективності імплементації стандартів ЄС у державах-партнерах?</w:t>
      </w:r>
    </w:p>
    <w:p w14:paraId="2C8DA4B8" w14:textId="47791E1D" w:rsidR="00386290" w:rsidRPr="00386290" w:rsidRDefault="00551C14" w:rsidP="004D68FF">
      <w:pPr>
        <w:pStyle w:val="ae"/>
        <w:ind w:firstLine="360"/>
        <w:rPr>
          <w:sz w:val="28"/>
          <w:szCs w:val="28"/>
        </w:rPr>
      </w:pPr>
      <w:r w:rsidRPr="00386290">
        <w:rPr>
          <w:sz w:val="28"/>
          <w:szCs w:val="28"/>
        </w:rPr>
        <w:t xml:space="preserve">Чи існують межі правової адаптації </w:t>
      </w:r>
      <w:proofErr w:type="spellStart"/>
      <w:r w:rsidRPr="00386290">
        <w:rPr>
          <w:sz w:val="28"/>
          <w:szCs w:val="28"/>
        </w:rPr>
        <w:t>acquis</w:t>
      </w:r>
      <w:proofErr w:type="spellEnd"/>
      <w:r w:rsidRPr="00386290">
        <w:rPr>
          <w:sz w:val="28"/>
          <w:szCs w:val="28"/>
        </w:rPr>
        <w:t xml:space="preserve"> </w:t>
      </w:r>
      <w:proofErr w:type="spellStart"/>
      <w:r w:rsidRPr="00386290">
        <w:rPr>
          <w:sz w:val="28"/>
          <w:szCs w:val="28"/>
        </w:rPr>
        <w:t>communautaire</w:t>
      </w:r>
      <w:proofErr w:type="spellEnd"/>
      <w:r w:rsidRPr="00386290">
        <w:rPr>
          <w:sz w:val="28"/>
          <w:szCs w:val="28"/>
        </w:rPr>
        <w:t xml:space="preserve"> для третіх держав?</w:t>
      </w:r>
      <w:r w:rsidRPr="00386290">
        <w:rPr>
          <w:sz w:val="28"/>
          <w:szCs w:val="28"/>
        </w:rPr>
        <w:br/>
        <w:t>Яку роль відіграє судова практика у забезпеченні реальної імплементації?</w:t>
      </w:r>
    </w:p>
    <w:p w14:paraId="0DF6148B" w14:textId="1BBC9080" w:rsidR="00A35B36" w:rsidRPr="00904EC9" w:rsidRDefault="00A35B36" w:rsidP="00904EC9">
      <w:pPr>
        <w:pStyle w:val="ae"/>
        <w:ind w:firstLine="360"/>
        <w:rPr>
          <w:sz w:val="28"/>
          <w:szCs w:val="28"/>
        </w:rPr>
      </w:pPr>
      <w:r w:rsidRPr="00904EC9">
        <w:rPr>
          <w:sz w:val="28"/>
          <w:szCs w:val="28"/>
        </w:rPr>
        <w:t xml:space="preserve">Завдання </w:t>
      </w:r>
    </w:p>
    <w:p w14:paraId="6FBE5853" w14:textId="7B5C3F2D" w:rsidR="004579DC" w:rsidRPr="004579DC" w:rsidRDefault="004579DC" w:rsidP="004579DC">
      <w:pPr>
        <w:pStyle w:val="ae"/>
        <w:numPr>
          <w:ilvl w:val="0"/>
          <w:numId w:val="4"/>
        </w:numPr>
        <w:jc w:val="both"/>
        <w:rPr>
          <w:sz w:val="28"/>
          <w:szCs w:val="28"/>
        </w:rPr>
      </w:pPr>
      <w:r w:rsidRPr="004579DC">
        <w:lastRenderedPageBreak/>
        <w:t xml:space="preserve"> </w:t>
      </w:r>
      <w:r w:rsidRPr="004579DC">
        <w:rPr>
          <w:sz w:val="28"/>
          <w:szCs w:val="28"/>
        </w:rPr>
        <w:t>Обрати конкретну сферу транспорту (морський, автомобільний або залізничний) та визначити ключові директиви і регламенти ЄС, що підлягають імплементації.</w:t>
      </w:r>
    </w:p>
    <w:p w14:paraId="744F48E2" w14:textId="56AECD2D" w:rsidR="004579DC" w:rsidRPr="004579DC" w:rsidRDefault="004579DC" w:rsidP="004579DC">
      <w:pPr>
        <w:pStyle w:val="ae"/>
        <w:numPr>
          <w:ilvl w:val="0"/>
          <w:numId w:val="4"/>
        </w:numPr>
        <w:jc w:val="both"/>
        <w:rPr>
          <w:sz w:val="28"/>
          <w:szCs w:val="28"/>
        </w:rPr>
      </w:pPr>
      <w:r w:rsidRPr="004579DC">
        <w:rPr>
          <w:sz w:val="28"/>
          <w:szCs w:val="28"/>
        </w:rPr>
        <w:t xml:space="preserve"> Здійснити поглиблений порівняльно-правовий аналіз між вимогами права ЄС та законодавством України з урахуванням інституційного та правозастосовного рівнів.</w:t>
      </w:r>
    </w:p>
    <w:p w14:paraId="20ABF320" w14:textId="6D901F9C" w:rsidR="004579DC" w:rsidRPr="004579DC" w:rsidRDefault="004579DC" w:rsidP="004579DC">
      <w:pPr>
        <w:pStyle w:val="ae"/>
        <w:numPr>
          <w:ilvl w:val="0"/>
          <w:numId w:val="4"/>
        </w:numPr>
        <w:jc w:val="both"/>
        <w:rPr>
          <w:sz w:val="28"/>
          <w:szCs w:val="28"/>
        </w:rPr>
      </w:pPr>
      <w:r w:rsidRPr="004579DC">
        <w:rPr>
          <w:sz w:val="28"/>
          <w:szCs w:val="28"/>
        </w:rPr>
        <w:t xml:space="preserve"> Оцінити, чи досягнута в Україні функціональна еквівалентність із моделлю ЄС.</w:t>
      </w:r>
    </w:p>
    <w:p w14:paraId="7F9AD130" w14:textId="69FE8D93" w:rsidR="004579DC" w:rsidRPr="004579DC" w:rsidRDefault="004579DC" w:rsidP="004579DC">
      <w:pPr>
        <w:pStyle w:val="ae"/>
        <w:numPr>
          <w:ilvl w:val="0"/>
          <w:numId w:val="4"/>
        </w:numPr>
        <w:jc w:val="both"/>
        <w:rPr>
          <w:sz w:val="28"/>
          <w:szCs w:val="28"/>
        </w:rPr>
      </w:pPr>
      <w:r w:rsidRPr="004579DC">
        <w:rPr>
          <w:sz w:val="28"/>
          <w:szCs w:val="28"/>
        </w:rPr>
        <w:t xml:space="preserve"> Виявити системні причини неефективної імплементації (нормативні, інституційні, політико-правові).</w:t>
      </w:r>
    </w:p>
    <w:p w14:paraId="715811F9" w14:textId="7F51205B" w:rsidR="004579DC" w:rsidRDefault="004579DC" w:rsidP="004579DC">
      <w:pPr>
        <w:pStyle w:val="ae"/>
        <w:numPr>
          <w:ilvl w:val="0"/>
          <w:numId w:val="4"/>
        </w:numPr>
        <w:jc w:val="both"/>
        <w:rPr>
          <w:sz w:val="28"/>
          <w:szCs w:val="28"/>
        </w:rPr>
      </w:pPr>
      <w:r w:rsidRPr="004579DC">
        <w:rPr>
          <w:sz w:val="28"/>
          <w:szCs w:val="28"/>
        </w:rPr>
        <w:t xml:space="preserve"> Сформулювати науково обґрунтовану концепцію оптимальної моделі імплементації стандартів ЄС у транспортній сфері для України як держави-кандидата / асоційованого партнера.</w:t>
      </w:r>
    </w:p>
    <w:p w14:paraId="3FC89597" w14:textId="130E2FFF" w:rsidR="00DE0CCF" w:rsidRPr="00DE0CCF" w:rsidRDefault="00DE0CCF" w:rsidP="00DE0CCF">
      <w:pPr>
        <w:pStyle w:val="ae"/>
        <w:ind w:left="720"/>
        <w:jc w:val="both"/>
        <w:rPr>
          <w:b/>
          <w:bCs/>
          <w:sz w:val="28"/>
          <w:szCs w:val="28"/>
        </w:rPr>
      </w:pPr>
      <w:r w:rsidRPr="00DE0CCF">
        <w:rPr>
          <w:b/>
          <w:bCs/>
          <w:sz w:val="28"/>
          <w:szCs w:val="28"/>
        </w:rPr>
        <w:t>Література</w:t>
      </w:r>
    </w:p>
    <w:p w14:paraId="73C121C7" w14:textId="77777777" w:rsidR="00DE0CCF" w:rsidRPr="000C7258" w:rsidRDefault="00DE0CCF" w:rsidP="00DE0CCF">
      <w:pPr>
        <w:pStyle w:val="a9"/>
        <w:numPr>
          <w:ilvl w:val="2"/>
          <w:numId w:val="8"/>
        </w:numPr>
        <w:ind w:left="888"/>
        <w:jc w:val="both"/>
        <w:rPr>
          <w:rFonts w:ascii="Times New Roman" w:hAnsi="Times New Roman" w:cs="Times New Roman"/>
          <w:sz w:val="28"/>
          <w:szCs w:val="28"/>
        </w:rPr>
      </w:pPr>
      <w:proofErr w:type="spellStart"/>
      <w:r w:rsidRPr="000C7258">
        <w:rPr>
          <w:rFonts w:ascii="Times New Roman" w:hAnsi="Times New Roman" w:cs="Times New Roman"/>
          <w:sz w:val="28"/>
          <w:szCs w:val="28"/>
        </w:rPr>
        <w:t>Антощишина</w:t>
      </w:r>
      <w:proofErr w:type="spellEnd"/>
      <w:r w:rsidRPr="000C7258">
        <w:rPr>
          <w:rFonts w:ascii="Times New Roman" w:hAnsi="Times New Roman" w:cs="Times New Roman"/>
          <w:sz w:val="28"/>
          <w:szCs w:val="28"/>
        </w:rPr>
        <w:t xml:space="preserve"> Н. І. Інтеграційні процеси транспортної системи України в ЄС. Ефективна економіка. 2023. URL: </w:t>
      </w:r>
      <w:hyperlink r:id="rId5" w:history="1">
        <w:r w:rsidRPr="000C7258">
          <w:rPr>
            <w:rStyle w:val="af"/>
            <w:rFonts w:ascii="Times New Roman" w:hAnsi="Times New Roman" w:cs="Times New Roman"/>
            <w:sz w:val="28"/>
            <w:szCs w:val="28"/>
          </w:rPr>
          <w:t>http://www.economy.nayka.com.ua/?op=1&amp;z=2423</w:t>
        </w:r>
      </w:hyperlink>
      <w:r w:rsidRPr="000C7258">
        <w:rPr>
          <w:rFonts w:ascii="Times New Roman" w:hAnsi="Times New Roman" w:cs="Times New Roman"/>
          <w:sz w:val="28"/>
          <w:szCs w:val="28"/>
        </w:rPr>
        <w:t> </w:t>
      </w:r>
    </w:p>
    <w:p w14:paraId="5339B532" w14:textId="77777777" w:rsidR="00DE0CCF" w:rsidRDefault="00DE0CCF" w:rsidP="00DE0CCF">
      <w:pPr>
        <w:pStyle w:val="a9"/>
        <w:numPr>
          <w:ilvl w:val="2"/>
          <w:numId w:val="8"/>
        </w:numPr>
        <w:ind w:left="888"/>
        <w:jc w:val="both"/>
        <w:rPr>
          <w:rFonts w:ascii="Times New Roman" w:hAnsi="Times New Roman" w:cs="Times New Roman"/>
          <w:sz w:val="28"/>
          <w:szCs w:val="28"/>
        </w:rPr>
      </w:pPr>
      <w:r w:rsidRPr="000C7258">
        <w:rPr>
          <w:rFonts w:ascii="Times New Roman" w:hAnsi="Times New Roman" w:cs="Times New Roman"/>
          <w:sz w:val="28"/>
          <w:szCs w:val="28"/>
        </w:rPr>
        <w:t>Захарова О. В Особливості процесу інтеграції національних транспортних систем до світового господарства. URL: </w:t>
      </w:r>
      <w:hyperlink r:id="rId6" w:history="1">
        <w:r w:rsidRPr="000C7258">
          <w:rPr>
            <w:rStyle w:val="af"/>
            <w:rFonts w:ascii="Times New Roman" w:hAnsi="Times New Roman" w:cs="Times New Roman"/>
            <w:sz w:val="28"/>
            <w:szCs w:val="28"/>
          </w:rPr>
          <w:t>http://archive.nbuv.gov.ua/portal/soc_gum/prvs/2022_3/1294.pdf</w:t>
        </w:r>
      </w:hyperlink>
    </w:p>
    <w:p w14:paraId="67E91A33" w14:textId="77777777" w:rsidR="00DE0CCF" w:rsidRPr="00107533" w:rsidRDefault="00DE0CCF" w:rsidP="00DE0CCF">
      <w:pPr>
        <w:pStyle w:val="a9"/>
        <w:numPr>
          <w:ilvl w:val="2"/>
          <w:numId w:val="8"/>
        </w:numPr>
        <w:ind w:left="888"/>
        <w:jc w:val="both"/>
        <w:rPr>
          <w:rFonts w:ascii="Times New Roman" w:hAnsi="Times New Roman" w:cs="Times New Roman"/>
          <w:sz w:val="28"/>
          <w:szCs w:val="28"/>
        </w:rPr>
      </w:pPr>
      <w:r w:rsidRPr="004A3DBF">
        <w:rPr>
          <w:rFonts w:ascii="Times New Roman" w:hAnsi="Times New Roman" w:cs="Times New Roman"/>
          <w:sz w:val="28"/>
          <w:szCs w:val="28"/>
        </w:rPr>
        <w:t>Михайличенко К. М. Відновлення транзитного потенціалу як чинник підвищення конкурентоспроможності України. Стратегічні пріоритети. 2022. № 4.</w:t>
      </w:r>
    </w:p>
    <w:p w14:paraId="749F0AF7" w14:textId="77777777" w:rsidR="00DE0CCF" w:rsidRPr="000C7258" w:rsidRDefault="00DE0CCF" w:rsidP="00DE0CCF">
      <w:pPr>
        <w:pStyle w:val="a9"/>
        <w:numPr>
          <w:ilvl w:val="2"/>
          <w:numId w:val="8"/>
        </w:numPr>
        <w:ind w:left="888"/>
        <w:jc w:val="both"/>
        <w:rPr>
          <w:rFonts w:ascii="Times New Roman" w:hAnsi="Times New Roman" w:cs="Times New Roman"/>
          <w:sz w:val="28"/>
          <w:szCs w:val="28"/>
        </w:rPr>
      </w:pPr>
      <w:proofErr w:type="spellStart"/>
      <w:r w:rsidRPr="004A3DBF">
        <w:rPr>
          <w:rFonts w:ascii="Times New Roman" w:hAnsi="Times New Roman" w:cs="Times New Roman"/>
          <w:sz w:val="28"/>
          <w:szCs w:val="28"/>
        </w:rPr>
        <w:t>Infrastructure</w:t>
      </w:r>
      <w:proofErr w:type="spellEnd"/>
      <w:r w:rsidRPr="004A3DBF">
        <w:rPr>
          <w:rFonts w:ascii="Times New Roman" w:hAnsi="Times New Roman" w:cs="Times New Roman"/>
          <w:sz w:val="28"/>
          <w:szCs w:val="28"/>
        </w:rPr>
        <w:t xml:space="preserve"> – TEN-T – </w:t>
      </w:r>
      <w:proofErr w:type="spellStart"/>
      <w:r w:rsidRPr="004A3DBF">
        <w:rPr>
          <w:rFonts w:ascii="Times New Roman" w:hAnsi="Times New Roman" w:cs="Times New Roman"/>
          <w:sz w:val="28"/>
          <w:szCs w:val="28"/>
        </w:rPr>
        <w:t>Connecting</w:t>
      </w:r>
      <w:proofErr w:type="spellEnd"/>
      <w:r w:rsidRPr="004A3DBF">
        <w:rPr>
          <w:rFonts w:ascii="Times New Roman" w:hAnsi="Times New Roman" w:cs="Times New Roman"/>
          <w:sz w:val="28"/>
          <w:szCs w:val="28"/>
        </w:rPr>
        <w:t xml:space="preserve"> </w:t>
      </w:r>
      <w:proofErr w:type="spellStart"/>
      <w:r w:rsidRPr="004A3DBF">
        <w:rPr>
          <w:rFonts w:ascii="Times New Roman" w:hAnsi="Times New Roman" w:cs="Times New Roman"/>
          <w:sz w:val="28"/>
          <w:szCs w:val="28"/>
        </w:rPr>
        <w:t>Europe</w:t>
      </w:r>
      <w:proofErr w:type="spellEnd"/>
      <w:r w:rsidRPr="004A3DBF">
        <w:rPr>
          <w:rFonts w:ascii="Times New Roman" w:hAnsi="Times New Roman" w:cs="Times New Roman"/>
          <w:sz w:val="28"/>
          <w:szCs w:val="28"/>
        </w:rPr>
        <w:t xml:space="preserve">. </w:t>
      </w:r>
      <w:proofErr w:type="spellStart"/>
      <w:r w:rsidRPr="004A3DBF">
        <w:rPr>
          <w:rFonts w:ascii="Times New Roman" w:hAnsi="Times New Roman" w:cs="Times New Roman"/>
          <w:sz w:val="28"/>
          <w:szCs w:val="28"/>
        </w:rPr>
        <w:t>Maps</w:t>
      </w:r>
      <w:proofErr w:type="spellEnd"/>
      <w:r w:rsidRPr="004A3DBF">
        <w:rPr>
          <w:rFonts w:ascii="Times New Roman" w:hAnsi="Times New Roman" w:cs="Times New Roman"/>
          <w:sz w:val="28"/>
          <w:szCs w:val="28"/>
        </w:rPr>
        <w:t>. URL: https://ec.europa.eu/transport/themes/infrastructure/ten-t-guidelines/maps_en.</w:t>
      </w:r>
    </w:p>
    <w:p w14:paraId="147489EA" w14:textId="77777777" w:rsidR="00DE0CCF" w:rsidRPr="000C7258" w:rsidRDefault="00DE0CCF" w:rsidP="00DE0CCF">
      <w:pPr>
        <w:pStyle w:val="a9"/>
        <w:ind w:left="-1836"/>
        <w:jc w:val="both"/>
        <w:rPr>
          <w:rFonts w:ascii="Times New Roman" w:hAnsi="Times New Roman" w:cs="Times New Roman"/>
          <w:sz w:val="28"/>
          <w:szCs w:val="28"/>
          <w:lang w:val="en-US"/>
        </w:rPr>
      </w:pPr>
    </w:p>
    <w:p w14:paraId="6D8159B7" w14:textId="77777777" w:rsidR="00DE0CCF" w:rsidRPr="004579DC" w:rsidRDefault="00DE0CCF" w:rsidP="00DE0CCF">
      <w:pPr>
        <w:pStyle w:val="ae"/>
        <w:jc w:val="both"/>
        <w:rPr>
          <w:sz w:val="28"/>
          <w:szCs w:val="28"/>
        </w:rPr>
      </w:pPr>
    </w:p>
    <w:p w14:paraId="1225295E" w14:textId="77777777" w:rsidR="00EB7E68" w:rsidRDefault="00EB7E68" w:rsidP="004579DC">
      <w:pPr>
        <w:pStyle w:val="ae"/>
        <w:ind w:left="720"/>
        <w:jc w:val="both"/>
      </w:pPr>
    </w:p>
    <w:sectPr w:rsidR="00EB7E68">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1F746A"/>
    <w:multiLevelType w:val="multilevel"/>
    <w:tmpl w:val="9F10B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A1B0C36"/>
    <w:multiLevelType w:val="multilevel"/>
    <w:tmpl w:val="4546DD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62E31B6"/>
    <w:multiLevelType w:val="hybridMultilevel"/>
    <w:tmpl w:val="2CAAF30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0F">
      <w:start w:val="1"/>
      <w:numFmt w:val="decimal"/>
      <w:lvlText w:val="%3."/>
      <w:lvlJc w:val="left"/>
      <w:pPr>
        <w:ind w:left="720" w:hanging="36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393C6A07"/>
    <w:multiLevelType w:val="multilevel"/>
    <w:tmpl w:val="D26ABC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D511FD1"/>
    <w:multiLevelType w:val="hybridMultilevel"/>
    <w:tmpl w:val="77128850"/>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5" w15:restartNumberingAfterBreak="0">
    <w:nsid w:val="49BD14EC"/>
    <w:multiLevelType w:val="hybridMultilevel"/>
    <w:tmpl w:val="00168A7A"/>
    <w:lvl w:ilvl="0" w:tplc="0422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5C9B02F8"/>
    <w:multiLevelType w:val="hybridMultilevel"/>
    <w:tmpl w:val="4A7033D4"/>
    <w:lvl w:ilvl="0" w:tplc="04220001">
      <w:start w:val="1"/>
      <w:numFmt w:val="bullet"/>
      <w:lvlText w:val=""/>
      <w:lvlJc w:val="left"/>
      <w:pPr>
        <w:ind w:left="1440" w:hanging="360"/>
      </w:pPr>
      <w:rPr>
        <w:rFonts w:ascii="Symbol" w:hAnsi="Symbol"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7" w15:restartNumberingAfterBreak="0">
    <w:nsid w:val="7DCA7CD3"/>
    <w:multiLevelType w:val="multilevel"/>
    <w:tmpl w:val="11B4A1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43167287">
    <w:abstractNumId w:val="1"/>
  </w:num>
  <w:num w:numId="2" w16cid:durableId="483665032">
    <w:abstractNumId w:val="0"/>
  </w:num>
  <w:num w:numId="3" w16cid:durableId="930159307">
    <w:abstractNumId w:val="3"/>
  </w:num>
  <w:num w:numId="4" w16cid:durableId="1176115488">
    <w:abstractNumId w:val="7"/>
  </w:num>
  <w:num w:numId="5" w16cid:durableId="146367186">
    <w:abstractNumId w:val="6"/>
  </w:num>
  <w:num w:numId="6" w16cid:durableId="1495759573">
    <w:abstractNumId w:val="5"/>
  </w:num>
  <w:num w:numId="7" w16cid:durableId="1708598815">
    <w:abstractNumId w:val="4"/>
  </w:num>
  <w:num w:numId="8" w16cid:durableId="20102572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5FA"/>
    <w:rsid w:val="00034C47"/>
    <w:rsid w:val="000944A3"/>
    <w:rsid w:val="0029107F"/>
    <w:rsid w:val="002C3AA7"/>
    <w:rsid w:val="002E5497"/>
    <w:rsid w:val="00356582"/>
    <w:rsid w:val="00386290"/>
    <w:rsid w:val="003D1A95"/>
    <w:rsid w:val="0043024B"/>
    <w:rsid w:val="004579DC"/>
    <w:rsid w:val="00483852"/>
    <w:rsid w:val="004D68FF"/>
    <w:rsid w:val="00551C14"/>
    <w:rsid w:val="007145FA"/>
    <w:rsid w:val="00904EC9"/>
    <w:rsid w:val="0099551C"/>
    <w:rsid w:val="00A35B36"/>
    <w:rsid w:val="00C433D7"/>
    <w:rsid w:val="00CC64DC"/>
    <w:rsid w:val="00DE0CCF"/>
    <w:rsid w:val="00EB7E68"/>
    <w:rsid w:val="00ED536E"/>
    <w:rsid w:val="00F17D27"/>
    <w:rsid w:val="00F7610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CDB75D"/>
  <w15:chartTrackingRefBased/>
  <w15:docId w15:val="{BB14F225-B5B7-4053-8935-2E42D82A9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7145F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7145F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7145FA"/>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7145FA"/>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7145FA"/>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7145FA"/>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7145FA"/>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7145FA"/>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7145FA"/>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145FA"/>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7145FA"/>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7145FA"/>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7145FA"/>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7145FA"/>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7145FA"/>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7145FA"/>
    <w:rPr>
      <w:rFonts w:eastAsiaTheme="majorEastAsia" w:cstheme="majorBidi"/>
      <w:color w:val="595959" w:themeColor="text1" w:themeTint="A6"/>
    </w:rPr>
  </w:style>
  <w:style w:type="character" w:customStyle="1" w:styleId="80">
    <w:name w:val="Заголовок 8 Знак"/>
    <w:basedOn w:val="a0"/>
    <w:link w:val="8"/>
    <w:uiPriority w:val="9"/>
    <w:semiHidden/>
    <w:rsid w:val="007145FA"/>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7145FA"/>
    <w:rPr>
      <w:rFonts w:eastAsiaTheme="majorEastAsia" w:cstheme="majorBidi"/>
      <w:color w:val="272727" w:themeColor="text1" w:themeTint="D8"/>
    </w:rPr>
  </w:style>
  <w:style w:type="paragraph" w:styleId="a3">
    <w:name w:val="Title"/>
    <w:basedOn w:val="a"/>
    <w:next w:val="a"/>
    <w:link w:val="a4"/>
    <w:uiPriority w:val="10"/>
    <w:qFormat/>
    <w:rsid w:val="007145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7145F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145FA"/>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7145FA"/>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7145FA"/>
    <w:pPr>
      <w:spacing w:before="160"/>
      <w:jc w:val="center"/>
    </w:pPr>
    <w:rPr>
      <w:i/>
      <w:iCs/>
      <w:color w:val="404040" w:themeColor="text1" w:themeTint="BF"/>
    </w:rPr>
  </w:style>
  <w:style w:type="character" w:customStyle="1" w:styleId="a8">
    <w:name w:val="Цитата Знак"/>
    <w:basedOn w:val="a0"/>
    <w:link w:val="a7"/>
    <w:uiPriority w:val="29"/>
    <w:rsid w:val="007145FA"/>
    <w:rPr>
      <w:i/>
      <w:iCs/>
      <w:color w:val="404040" w:themeColor="text1" w:themeTint="BF"/>
    </w:rPr>
  </w:style>
  <w:style w:type="paragraph" w:styleId="a9">
    <w:name w:val="List Paragraph"/>
    <w:basedOn w:val="a"/>
    <w:uiPriority w:val="34"/>
    <w:qFormat/>
    <w:rsid w:val="007145FA"/>
    <w:pPr>
      <w:ind w:left="720"/>
      <w:contextualSpacing/>
    </w:pPr>
  </w:style>
  <w:style w:type="character" w:styleId="aa">
    <w:name w:val="Intense Emphasis"/>
    <w:basedOn w:val="a0"/>
    <w:uiPriority w:val="21"/>
    <w:qFormat/>
    <w:rsid w:val="007145FA"/>
    <w:rPr>
      <w:i/>
      <w:iCs/>
      <w:color w:val="2F5496" w:themeColor="accent1" w:themeShade="BF"/>
    </w:rPr>
  </w:style>
  <w:style w:type="paragraph" w:styleId="ab">
    <w:name w:val="Intense Quote"/>
    <w:basedOn w:val="a"/>
    <w:next w:val="a"/>
    <w:link w:val="ac"/>
    <w:uiPriority w:val="30"/>
    <w:qFormat/>
    <w:rsid w:val="007145F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Насичена цитата Знак"/>
    <w:basedOn w:val="a0"/>
    <w:link w:val="ab"/>
    <w:uiPriority w:val="30"/>
    <w:rsid w:val="007145FA"/>
    <w:rPr>
      <w:i/>
      <w:iCs/>
      <w:color w:val="2F5496" w:themeColor="accent1" w:themeShade="BF"/>
    </w:rPr>
  </w:style>
  <w:style w:type="character" w:styleId="ad">
    <w:name w:val="Intense Reference"/>
    <w:basedOn w:val="a0"/>
    <w:uiPriority w:val="32"/>
    <w:qFormat/>
    <w:rsid w:val="007145FA"/>
    <w:rPr>
      <w:b/>
      <w:bCs/>
      <w:smallCaps/>
      <w:color w:val="2F5496" w:themeColor="accent1" w:themeShade="BF"/>
      <w:spacing w:val="5"/>
    </w:rPr>
  </w:style>
  <w:style w:type="paragraph" w:styleId="ae">
    <w:name w:val="Normal (Web)"/>
    <w:basedOn w:val="a"/>
    <w:uiPriority w:val="99"/>
    <w:unhideWhenUsed/>
    <w:rsid w:val="00F17D27"/>
    <w:pPr>
      <w:spacing w:before="100" w:beforeAutospacing="1" w:after="100" w:afterAutospacing="1" w:line="240" w:lineRule="auto"/>
    </w:pPr>
    <w:rPr>
      <w:rFonts w:ascii="Times New Roman" w:eastAsia="Times New Roman" w:hAnsi="Times New Roman" w:cs="Times New Roman"/>
      <w:kern w:val="0"/>
      <w:sz w:val="24"/>
      <w:szCs w:val="24"/>
      <w:lang w:eastAsia="uk-UA"/>
      <w14:ligatures w14:val="none"/>
    </w:rPr>
  </w:style>
  <w:style w:type="character" w:styleId="af">
    <w:name w:val="Hyperlink"/>
    <w:basedOn w:val="a0"/>
    <w:uiPriority w:val="99"/>
    <w:unhideWhenUsed/>
    <w:rsid w:val="00DE0CC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archive.nbuv.gov.ua/portal/soc_gum/prvs/2022_3/1294.pdf" TargetMode="External"/><Relationship Id="rId5" Type="http://schemas.openxmlformats.org/officeDocument/2006/relationships/hyperlink" Target="http://www.economy.nayka.com.ua/?op=1&amp;z=2423"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4</Pages>
  <Words>4655</Words>
  <Characters>2654</Characters>
  <Application>Microsoft Office Word</Application>
  <DocSecurity>0</DocSecurity>
  <Lines>22</Lines>
  <Paragraphs>14</Paragraphs>
  <ScaleCrop>false</ScaleCrop>
  <Company/>
  <LinksUpToDate>false</LinksUpToDate>
  <CharactersWithSpaces>7295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 Pav</dc:creator>
  <cp:keywords/>
  <dc:description/>
  <cp:lastModifiedBy>Ir Pav</cp:lastModifiedBy>
  <cp:revision>22</cp:revision>
  <dcterms:created xsi:type="dcterms:W3CDTF">2026-02-06T13:39:00Z</dcterms:created>
  <dcterms:modified xsi:type="dcterms:W3CDTF">2026-02-06T14:01:00Z</dcterms:modified>
</cp:coreProperties>
</file>