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2E11" w14:textId="467F6662" w:rsidR="00EB7E68" w:rsidRDefault="008600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08E8"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EA08E8" w:rsidRPr="00EA08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A08E8">
        <w:rPr>
          <w:rFonts w:ascii="Times New Roman" w:hAnsi="Times New Roman" w:cs="Times New Roman"/>
          <w:b/>
          <w:bCs/>
          <w:sz w:val="28"/>
          <w:szCs w:val="28"/>
        </w:rPr>
        <w:t xml:space="preserve"> Реформування адміністративного та кримінального права</w:t>
      </w:r>
    </w:p>
    <w:p w14:paraId="1DA1E4EC" w14:textId="77777777" w:rsidR="009C258F" w:rsidRPr="008659F5" w:rsidRDefault="009C258F" w:rsidP="009C258F">
      <w:pPr>
        <w:pStyle w:val="a9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Створення спеціалізованого адміністративного суду для розгляду справ проти центральних органів влади (замість ліквідованого ОАСК). </w:t>
      </w:r>
    </w:p>
    <w:p w14:paraId="66D7E68F" w14:textId="77777777" w:rsidR="009C258F" w:rsidRPr="008659F5" w:rsidRDefault="009C258F" w:rsidP="009C258F">
      <w:pPr>
        <w:pStyle w:val="a9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Характеристика запуску оновленого е-суду з використанням ШІ для адміністративних справ. </w:t>
      </w:r>
    </w:p>
    <w:p w14:paraId="03B4D7F7" w14:textId="77777777" w:rsidR="009C258F" w:rsidRPr="008659F5" w:rsidRDefault="009C258F" w:rsidP="009C258F">
      <w:pPr>
        <w:pStyle w:val="a9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Класифікація злочинів та видів покарань відповідно до стандартів ЄС. </w:t>
      </w:r>
    </w:p>
    <w:p w14:paraId="4BCDD44E" w14:textId="77777777" w:rsidR="009C258F" w:rsidRPr="008659F5" w:rsidRDefault="009C258F" w:rsidP="009C258F">
      <w:pPr>
        <w:pStyle w:val="a9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Адаптація законодавства (зокрема щодо торгівлі людьми та корупції) для можливості застосування санкцій до юридичних осіб. </w:t>
      </w:r>
    </w:p>
    <w:p w14:paraId="3256894E" w14:textId="77777777" w:rsidR="009C258F" w:rsidRPr="008659F5" w:rsidRDefault="009C258F" w:rsidP="009C258F">
      <w:pPr>
        <w:pStyle w:val="a9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Характеристика ратифікації Римського статуту, імплементація норм щодо міжнародних злочинів у національне право.</w:t>
      </w:r>
    </w:p>
    <w:p w14:paraId="0235E447" w14:textId="77777777" w:rsidR="009C258F" w:rsidRPr="00EA08E8" w:rsidRDefault="009C25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3DB963" w14:textId="77777777" w:rsidR="00E76C0F" w:rsidRPr="00612C0C" w:rsidRDefault="00E76C0F" w:rsidP="00E76C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2C0C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 до всіх кейсів</w:t>
      </w:r>
    </w:p>
    <w:p w14:paraId="1AFDDBE4" w14:textId="77777777" w:rsidR="00E76C0F" w:rsidRPr="00E76C0F" w:rsidRDefault="00E76C0F" w:rsidP="00E76C0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6C0F">
        <w:rPr>
          <w:rFonts w:ascii="Times New Roman" w:hAnsi="Times New Roman" w:cs="Times New Roman"/>
          <w:sz w:val="28"/>
          <w:szCs w:val="28"/>
        </w:rPr>
        <w:t>Використовувати порівняльний аналіз із законодавством ЄС та міжнародними стандартами.</w:t>
      </w:r>
    </w:p>
    <w:p w14:paraId="17E973E6" w14:textId="77777777" w:rsidR="00E76C0F" w:rsidRPr="00E76C0F" w:rsidRDefault="00E76C0F" w:rsidP="00E76C0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6C0F">
        <w:rPr>
          <w:rFonts w:ascii="Times New Roman" w:hAnsi="Times New Roman" w:cs="Times New Roman"/>
          <w:sz w:val="28"/>
          <w:szCs w:val="28"/>
        </w:rPr>
        <w:t>Звертати увагу на етичні, соціальні та економічні наслідки прийнятих рішень.</w:t>
      </w:r>
    </w:p>
    <w:p w14:paraId="72100FA0" w14:textId="77777777" w:rsidR="00E76C0F" w:rsidRPr="00E76C0F" w:rsidRDefault="00E76C0F" w:rsidP="00E76C0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6C0F">
        <w:rPr>
          <w:rFonts w:ascii="Times New Roman" w:hAnsi="Times New Roman" w:cs="Times New Roman"/>
          <w:sz w:val="28"/>
          <w:szCs w:val="28"/>
        </w:rPr>
        <w:t>Обов’язково наводити приклади практики, судові прецеденти, міжнародні звіти.</w:t>
      </w:r>
    </w:p>
    <w:p w14:paraId="6D345B7E" w14:textId="6CA30098" w:rsidR="00E76C0F" w:rsidRPr="00E76C0F" w:rsidRDefault="00E76C0F" w:rsidP="00E76C0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6C0F">
        <w:rPr>
          <w:rFonts w:ascii="Times New Roman" w:hAnsi="Times New Roman" w:cs="Times New Roman"/>
          <w:sz w:val="28"/>
          <w:szCs w:val="28"/>
        </w:rPr>
        <w:t xml:space="preserve">Структурувати рішення у вигляді: проблема </w:t>
      </w:r>
      <w:r w:rsidR="004A6FE9">
        <w:rPr>
          <w:rFonts w:ascii="Times New Roman" w:hAnsi="Times New Roman" w:cs="Times New Roman"/>
          <w:sz w:val="28"/>
          <w:szCs w:val="28"/>
        </w:rPr>
        <w:t xml:space="preserve">– </w:t>
      </w:r>
      <w:r w:rsidRPr="00E76C0F">
        <w:rPr>
          <w:rFonts w:ascii="Times New Roman" w:hAnsi="Times New Roman" w:cs="Times New Roman"/>
          <w:sz w:val="28"/>
          <w:szCs w:val="28"/>
        </w:rPr>
        <w:t>аналіз</w:t>
      </w:r>
      <w:r w:rsidR="004A6FE9">
        <w:rPr>
          <w:rFonts w:ascii="Times New Roman" w:hAnsi="Times New Roman" w:cs="Times New Roman"/>
          <w:sz w:val="28"/>
          <w:szCs w:val="28"/>
        </w:rPr>
        <w:t xml:space="preserve"> -</w:t>
      </w:r>
      <w:r w:rsidRPr="00E76C0F">
        <w:rPr>
          <w:rFonts w:ascii="Times New Roman" w:hAnsi="Times New Roman" w:cs="Times New Roman"/>
          <w:sz w:val="28"/>
          <w:szCs w:val="28"/>
        </w:rPr>
        <w:t xml:space="preserve"> рекомендації </w:t>
      </w:r>
      <w:r w:rsidR="004A6FE9">
        <w:rPr>
          <w:rFonts w:ascii="Times New Roman" w:hAnsi="Times New Roman" w:cs="Times New Roman"/>
          <w:sz w:val="28"/>
          <w:szCs w:val="28"/>
        </w:rPr>
        <w:t>-</w:t>
      </w:r>
      <w:r w:rsidRPr="00E76C0F">
        <w:rPr>
          <w:rFonts w:ascii="Times New Roman" w:hAnsi="Times New Roman" w:cs="Times New Roman"/>
          <w:sz w:val="28"/>
          <w:szCs w:val="28"/>
        </w:rPr>
        <w:t>наслідки.</w:t>
      </w:r>
    </w:p>
    <w:p w14:paraId="2C9A8F83" w14:textId="6BF997CF" w:rsidR="00EA08E8" w:rsidRPr="00E76C0F" w:rsidRDefault="00E76C0F" w:rsidP="00E76C0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76C0F">
        <w:rPr>
          <w:rFonts w:ascii="Times New Roman" w:hAnsi="Times New Roman" w:cs="Times New Roman"/>
          <w:sz w:val="28"/>
          <w:szCs w:val="28"/>
        </w:rPr>
        <w:t>Для кожного кейсу формувати таблиці, алгоритми або схеми, щоб покращити наочність.</w:t>
      </w:r>
    </w:p>
    <w:p w14:paraId="0F19F781" w14:textId="2A683315" w:rsidR="00DD0257" w:rsidRPr="00993291" w:rsidRDefault="00A7571E" w:rsidP="00DF55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7571E">
        <w:drawing>
          <wp:inline distT="0" distB="0" distL="0" distR="0" wp14:anchorId="34B908E6" wp14:editId="0B6935AC">
            <wp:extent cx="6118860" cy="320040"/>
            <wp:effectExtent l="0" t="0" r="0" b="0"/>
            <wp:docPr id="1733756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8E8"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Після ліквідації ОАСК, громадська організація «Прозорість та Право» подала скаргу проти рішення Кабінету Міністрів щодо виділення землі під приватний бізнес. Справу передали до нового Спеціалізованого окружног</w:t>
      </w:r>
      <w:r w:rsidR="007855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 </w:t>
      </w:r>
      <w:r w:rsidR="00EA08E8"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адміністративного суду. Судді мають обмежений досвід у справах такого типу.</w:t>
      </w:r>
    </w:p>
    <w:p w14:paraId="50565708" w14:textId="47EAA071" w:rsidR="00EA08E8" w:rsidRPr="00993291" w:rsidRDefault="00EA08E8" w:rsidP="00DF55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1B55B78F" w14:textId="77777777" w:rsidR="00EA08E8" w:rsidRPr="00993291" w:rsidRDefault="00EA08E8" w:rsidP="00DF55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Проаналізуйте, які ризики політичного тиску та порушення принципу незалежності суду можуть виникнути.</w:t>
      </w:r>
    </w:p>
    <w:p w14:paraId="426FA0C5" w14:textId="77777777" w:rsidR="00EA08E8" w:rsidRPr="00993291" w:rsidRDefault="00EA08E8" w:rsidP="00DF55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Запропонуйте мінімум 3 механізми контролю та гарантії незалежності нового суду, враховуючи міжнародні стандарти (Рада Європи, ЄС).</w:t>
      </w:r>
    </w:p>
    <w:p w14:paraId="4F778BC5" w14:textId="77777777" w:rsidR="00EA08E8" w:rsidRPr="00993291" w:rsidRDefault="00EA08E8" w:rsidP="00DF55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стратегію підвищення довіри суспільства до рішень суду (включно з публічністю рішень, доступом до даних, освітніми кампаніями).</w:t>
      </w:r>
    </w:p>
    <w:p w14:paraId="552E1C77" w14:textId="1FB8EB7A" w:rsidR="000C3836" w:rsidRDefault="000C3836" w:rsidP="00DF55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C38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Кейс 2. Оновлений е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лектронний </w:t>
      </w:r>
      <w:r w:rsidRPr="000C38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суд з ШІ</w:t>
      </w:r>
      <w:r w:rsidRPr="000C38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6B6AD2E3" w14:textId="5EBEB4E2" w:rsidR="00EA08E8" w:rsidRPr="00E20990" w:rsidRDefault="00EA08E8" w:rsidP="000C3836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C383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В Україні запущено електронний адміністративний суд з алгоритмами ШІ. Система пропонує автоматичний розподіл справ та прогноз строків розгляду. Кілька адвокатів повідомили про ймовірне упередження алгоритму щодо справ підприємців</w:t>
      </w:r>
      <w:r w:rsidRPr="007830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</w:p>
    <w:p w14:paraId="7C292D3F" w14:textId="77777777" w:rsidR="00EA08E8" w:rsidRPr="005C709A" w:rsidRDefault="00EA08E8" w:rsidP="00DF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52B9C18C" w14:textId="77777777" w:rsidR="00EA08E8" w:rsidRPr="005C709A" w:rsidRDefault="00EA08E8" w:rsidP="00DF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Визначте джерела потенційного упередження алгоритму (дані, параметри, коди).</w:t>
      </w:r>
    </w:p>
    <w:p w14:paraId="3B42F4D9" w14:textId="77777777" w:rsidR="00EA08E8" w:rsidRPr="005C709A" w:rsidRDefault="00EA08E8" w:rsidP="00DF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Складіть план перевірки та аудиту алгоритму, щоб забезпечити прозорість і справедливість процесу.</w:t>
      </w:r>
    </w:p>
    <w:p w14:paraId="12B7EC45" w14:textId="77777777" w:rsidR="00EA08E8" w:rsidRPr="005C709A" w:rsidRDefault="00EA08E8" w:rsidP="00DF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Проаналізуйте переваги та ризики </w:t>
      </w:r>
      <w:proofErr w:type="spellStart"/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цифровізації</w:t>
      </w:r>
      <w:proofErr w:type="spellEnd"/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включаючи питання доступності правосуддя для громадян із віддалених регіонів.</w:t>
      </w:r>
    </w:p>
    <w:p w14:paraId="34EFD8D3" w14:textId="73EB2864" w:rsidR="00EA08E8" w:rsidRPr="005C709A" w:rsidRDefault="00EA08E8" w:rsidP="00DF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="000C3836"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орада</w:t>
      </w: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</w:t>
      </w:r>
    </w:p>
    <w:p w14:paraId="705DF49C" w14:textId="77777777" w:rsidR="00EA08E8" w:rsidRPr="00993291" w:rsidRDefault="00EA08E8" w:rsidP="00DF55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Використайте європейські стандарти е</w:t>
      </w: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noBreakHyphen/>
        <w:t>правосуддя та рекомендації Комітету міністрів Ради Європи щодо етики ШІ.</w:t>
      </w:r>
    </w:p>
    <w:p w14:paraId="5F7DFC55" w14:textId="77777777" w:rsidR="00EA08E8" w:rsidRPr="00993291" w:rsidRDefault="00EA08E8" w:rsidP="00DF55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Продумайте алгоритмічний аудит і контрольні точки.</w:t>
      </w:r>
    </w:p>
    <w:p w14:paraId="7F4625DD" w14:textId="1F798043" w:rsidR="00EA08E8" w:rsidRPr="00993291" w:rsidRDefault="00EA08E8" w:rsidP="00DF55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E941C6F" w14:textId="77777777" w:rsidR="004143B3" w:rsidRDefault="00EA08E8" w:rsidP="004143B3">
      <w:pPr>
        <w:pStyle w:val="ae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Кейс 3. Класифікація злочинів та видів покарань</w:t>
      </w:r>
    </w:p>
    <w:p w14:paraId="42525046" w14:textId="21741D48" w:rsidR="004143B3" w:rsidRPr="004143B3" w:rsidRDefault="004143B3" w:rsidP="004143B3">
      <w:pPr>
        <w:pStyle w:val="ae"/>
        <w:ind w:firstLine="708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143B3">
        <w:rPr>
          <w:rFonts w:eastAsia="Times New Roman"/>
          <w:kern w:val="0"/>
          <w:sz w:val="28"/>
          <w:szCs w:val="28"/>
          <w:lang w:eastAsia="uk-UA"/>
          <w14:ligatures w14:val="none"/>
        </w:rPr>
        <w:t>Україна перебуває на етапі імплементації європейських правових стандартів у сфері кримінального права. У процесі адаптації законодавства постає питання: наскільки українська кримінально-правова система відповідає принципам, що лежать в основі кримінального права Європейського Союзу.</w:t>
      </w:r>
    </w:p>
    <w:p w14:paraId="6ADE5BF4" w14:textId="77777777" w:rsidR="004143B3" w:rsidRPr="004143B3" w:rsidRDefault="004143B3" w:rsidP="00414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ЄС не має єдиного кримінального кодексу, проте країни-члени гармонізують свої підходи до кримінальної політики з урахуванням спільних принципів, закріплених у міжнародно-правових актах — Конвенції про захист прав людини і основоположних свобод, Хартії основних прав ЄС та ін.</w:t>
      </w:r>
    </w:p>
    <w:p w14:paraId="6F7A8744" w14:textId="77777777" w:rsidR="004143B3" w:rsidRPr="004143B3" w:rsidRDefault="004143B3" w:rsidP="00414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Основними принципами кримінального права ЄС є:</w:t>
      </w:r>
    </w:p>
    <w:p w14:paraId="4AA41DA2" w14:textId="77777777" w:rsidR="004143B3" w:rsidRPr="004143B3" w:rsidRDefault="004143B3" w:rsidP="004143B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Принцип законності;</w:t>
      </w:r>
    </w:p>
    <w:p w14:paraId="1511B947" w14:textId="77777777" w:rsidR="004143B3" w:rsidRPr="004143B3" w:rsidRDefault="004143B3" w:rsidP="004143B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Принцип сумлінного виконання міжнародних зобов’язань;</w:t>
      </w:r>
    </w:p>
    <w:p w14:paraId="63FDA212" w14:textId="77777777" w:rsidR="004143B3" w:rsidRPr="004143B3" w:rsidRDefault="004143B3" w:rsidP="004143B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Принцип пропорційності;</w:t>
      </w:r>
    </w:p>
    <w:p w14:paraId="143F7F1B" w14:textId="77777777" w:rsidR="004143B3" w:rsidRPr="004143B3" w:rsidRDefault="004143B3" w:rsidP="004143B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Принцип рівності;</w:t>
      </w:r>
    </w:p>
    <w:p w14:paraId="62FBFE3B" w14:textId="77777777" w:rsidR="004143B3" w:rsidRPr="004143B3" w:rsidRDefault="004143B3" w:rsidP="004143B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Принцип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ne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bis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idem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(заборона подвійного притягнення);</w:t>
      </w:r>
    </w:p>
    <w:p w14:paraId="78550BF3" w14:textId="77777777" w:rsidR="004143B3" w:rsidRPr="004143B3" w:rsidRDefault="004143B3" w:rsidP="004143B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Принцип гуманізму.</w:t>
      </w:r>
    </w:p>
    <w:p w14:paraId="71B86668" w14:textId="77777777" w:rsidR="004143B3" w:rsidRPr="004143B3" w:rsidRDefault="004143B3" w:rsidP="005C709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чинному Кримінальному кодексі України та Конституції України наявні положення, що відображають ці самі принципи. Таким чином, законодавча база України в значній мірі узгоджується з європейськими стандартами.</w:t>
      </w:r>
    </w:p>
    <w:p w14:paraId="4A3D8ACF" w14:textId="77777777" w:rsidR="004143B3" w:rsidRPr="004143B3" w:rsidRDefault="004143B3" w:rsidP="005C709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Крім того, новий проєкт Кримінального кодексу України передбачає розширене тлумачення зазначених принципів, зокрема — з урахуванням практики ЄСПЛ та норм Хартії ЄС.</w:t>
      </w:r>
    </w:p>
    <w:p w14:paraId="3602F7C0" w14:textId="77777777" w:rsidR="004143B3" w:rsidRPr="004143B3" w:rsidRDefault="004143B3" w:rsidP="005C709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Процес євроінтеграції також вимагає гармонізації правових класифікацій (наприклад, за тяжкістю злочину, об’єктом посягання, формою вини), а також системи покарань (позбавлення волі, штраф, умовні покарання, заборона діяльності, конфіскація майна тощо).</w:t>
      </w:r>
    </w:p>
    <w:p w14:paraId="2AE73E58" w14:textId="5226E734" w:rsidR="004143B3" w:rsidRPr="005C709A" w:rsidRDefault="004143B3" w:rsidP="004143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044F754A" w14:textId="4A8A2405" w:rsidR="004143B3" w:rsidRPr="004143B3" w:rsidRDefault="004143B3" w:rsidP="004143B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Які спільні та відмінні риси мають принципи кримінального права ЄС та України? Наведіть приклади законодавчих норм для кожного принципу.</w:t>
      </w:r>
    </w:p>
    <w:p w14:paraId="775337A6" w14:textId="6BDE5B7F" w:rsidR="004143B3" w:rsidRPr="004143B3" w:rsidRDefault="004143B3" w:rsidP="004143B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Які з перелічених принципів потребують уточнення чи додаткового розвитку в українському кримінальному законодавстві для повної гармонізації з європейським правом?</w:t>
      </w:r>
    </w:p>
    <w:p w14:paraId="4E8ADC1B" w14:textId="18CEAF61" w:rsidR="004143B3" w:rsidRPr="004143B3" w:rsidRDefault="004143B3" w:rsidP="004143B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Які потенційні труднощі можуть виникнути під час реалізації принципу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ne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bis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idem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справах, де можливе подвійне переслідування громадянина в Україні та країні-члені ЄС?</w:t>
      </w:r>
    </w:p>
    <w:p w14:paraId="402ADAF0" w14:textId="6D4686B3" w:rsidR="004143B3" w:rsidRPr="004143B3" w:rsidRDefault="004143B3" w:rsidP="004143B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 принцип пропорційності впроваджується в системі покарань України і які зміни можуть бути доцільними з урахуванням практики держав ЄС?</w:t>
      </w:r>
    </w:p>
    <w:p w14:paraId="471E0EF1" w14:textId="4C7B8C14" w:rsidR="004143B3" w:rsidRPr="004143B3" w:rsidRDefault="004143B3" w:rsidP="004143B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Проаналізуйте, чи відповідає положення Кримінального кодексу України про довічне позбавлення волі принципу гуманізму, визначеному у праві ЄС. Аргументуйте позицію.</w:t>
      </w:r>
    </w:p>
    <w:p w14:paraId="673000A6" w14:textId="79597735" w:rsidR="004143B3" w:rsidRPr="004143B3" w:rsidRDefault="004143B3" w:rsidP="004143B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Чи доцільно </w:t>
      </w:r>
      <w:proofErr w:type="spellStart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внести</w:t>
      </w:r>
      <w:proofErr w:type="spellEnd"/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зміни до системи класифікації кримінальних правопорушень України (наприклад, розподіл злочинів за тяжкістю) для узгодження з європейською системою?</w:t>
      </w:r>
    </w:p>
    <w:p w14:paraId="3795DCFC" w14:textId="1C3765D2" w:rsidR="004143B3" w:rsidRPr="004143B3" w:rsidRDefault="004143B3" w:rsidP="004143B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Які кроки має зробити Україна на інституційному рівні (правосуддя, прокуратура, законодавство), аби забезпечити реальну, а не декларативну імплементацію цих принципів?</w:t>
      </w:r>
    </w:p>
    <w:p w14:paraId="0B4B92FB" w14:textId="77777777" w:rsidR="004143B3" w:rsidRPr="005C709A" w:rsidRDefault="004143B3" w:rsidP="004143B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Додаткові завдання (для дослідницької частини):</w:t>
      </w:r>
    </w:p>
    <w:p w14:paraId="6D525C15" w14:textId="77777777" w:rsidR="004143B3" w:rsidRPr="004143B3" w:rsidRDefault="004143B3" w:rsidP="004143B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Складіть таблицю порівняння принципів кримінального права ЄС і України із зазначенням джерел правового закріплення.</w:t>
      </w:r>
    </w:p>
    <w:p w14:paraId="0BA3749D" w14:textId="77777777" w:rsidR="004143B3" w:rsidRPr="004143B3" w:rsidRDefault="004143B3" w:rsidP="004143B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Підготуйте короткий аналітичний звіт (до 2 сторінок) щодо можливостей використання європейського досвіду в контексті розробки нового Кримінального кодексу України.</w:t>
      </w:r>
    </w:p>
    <w:p w14:paraId="18BD5C91" w14:textId="77777777" w:rsidR="004143B3" w:rsidRPr="004143B3" w:rsidRDefault="004143B3" w:rsidP="004143B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4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 практику Європейського суду з прав людини, яка має вплив на формування кримінально-правових принципів у ЄС та Україні.</w:t>
      </w:r>
    </w:p>
    <w:p w14:paraId="66D0D012" w14:textId="3CBB02D7" w:rsidR="00EA08E8" w:rsidRPr="00A64ADD" w:rsidRDefault="00EA08E8" w:rsidP="00A64AD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Кейс 4. Відповідальність юридичних осіб за корупцію та торгівлю людьм</w:t>
      </w:r>
      <w:r w:rsidR="00A64A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и</w:t>
      </w: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</w:t>
      </w: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Компанія «Альфа ЛТД» підозрюється у використанні праці неповнолітніх у своїх філіях за кордоном та у підкупі державних службовців для отримання дозвільних документів.</w:t>
      </w:r>
    </w:p>
    <w:p w14:paraId="73CB3866" w14:textId="77777777" w:rsidR="00EA08E8" w:rsidRPr="005C709A" w:rsidRDefault="00EA08E8" w:rsidP="00DF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563F968B" w14:textId="77777777" w:rsidR="00EA08E8" w:rsidRPr="005C709A" w:rsidRDefault="00EA08E8" w:rsidP="00DF558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Складіть повний перелік санкцій, які можна застосувати до юридичної особи за міжнародними та національними нормами (штраф, конфіскація, обмеження діяльності).</w:t>
      </w:r>
    </w:p>
    <w:p w14:paraId="607F2524" w14:textId="77777777" w:rsidR="00EA08E8" w:rsidRPr="005C709A" w:rsidRDefault="00EA08E8" w:rsidP="00DF558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Проаналізуйте, які зміни у законодавстві дозволяють притягати юридичні особи до кримінальної відповідальності.</w:t>
      </w:r>
    </w:p>
    <w:p w14:paraId="08C0BD55" w14:textId="77777777" w:rsidR="00EA08E8" w:rsidRPr="005C709A" w:rsidRDefault="00EA08E8" w:rsidP="00DF558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систему внутрішнього контролю для компанії, щоб мінімізувати ризик повторних порушень.</w:t>
      </w:r>
    </w:p>
    <w:p w14:paraId="652C24E4" w14:textId="0CB5EB4F" w:rsidR="00EA08E8" w:rsidRPr="005C709A" w:rsidRDefault="00EA08E8" w:rsidP="00DF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="005C709A"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орада</w:t>
      </w:r>
      <w:r w:rsidRP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</w:t>
      </w:r>
    </w:p>
    <w:p w14:paraId="699035D0" w14:textId="77777777" w:rsidR="00EA08E8" w:rsidRPr="00993291" w:rsidRDefault="00EA08E8" w:rsidP="00DF55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Розгляньте кейси ЄС щодо корпоративної відповідальності (Директива ЄС 2017/1371).</w:t>
      </w:r>
    </w:p>
    <w:p w14:paraId="69C2119A" w14:textId="46803DE1" w:rsidR="00EA08E8" w:rsidRPr="008333F8" w:rsidRDefault="00EA08E8" w:rsidP="008333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Врахуйте стандарти ООН щодо корпоративної соціальної відповідальності.</w:t>
      </w:r>
    </w:p>
    <w:p w14:paraId="4E2C81D8" w14:textId="1B4714CF" w:rsidR="00EA08E8" w:rsidRPr="002C0348" w:rsidRDefault="00EA08E8" w:rsidP="005C709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Кейс 5. Ратифікація Римського статуту та міжнародні злочини</w:t>
      </w:r>
      <w:r w:rsidRPr="009932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="005C709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</w:t>
      </w:r>
      <w:r w:rsidRPr="002C0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Україна ратифікувала Римський статут. Прокурор отримав справу щодо воєнного злочину, який міг бути скоєний на території окупованої частини України.</w:t>
      </w:r>
    </w:p>
    <w:p w14:paraId="1C7E09EC" w14:textId="77777777" w:rsidR="00EA08E8" w:rsidRPr="002C0348" w:rsidRDefault="00EA08E8" w:rsidP="00DF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0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Завдання:</w:t>
      </w:r>
    </w:p>
    <w:p w14:paraId="2A4F5D08" w14:textId="77777777" w:rsidR="00EA08E8" w:rsidRPr="002C0348" w:rsidRDefault="00EA08E8" w:rsidP="00DF55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0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Визначте, які положення Римського статуту застосовні до цього випадку.</w:t>
      </w:r>
    </w:p>
    <w:p w14:paraId="41B0BB85" w14:textId="77777777" w:rsidR="00EA08E8" w:rsidRPr="002C0348" w:rsidRDefault="00EA08E8" w:rsidP="00DF55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0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Складіть покроковий алгоритм дій прокурора, враховуючи принцип </w:t>
      </w:r>
      <w:proofErr w:type="spellStart"/>
      <w:r w:rsidRPr="002C0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комплементарності</w:t>
      </w:r>
      <w:proofErr w:type="spellEnd"/>
      <w:r w:rsidRPr="002C0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ICC.</w:t>
      </w:r>
    </w:p>
    <w:p w14:paraId="560CA193" w14:textId="4BF44FFE" w:rsidR="00EA08E8" w:rsidRPr="008333F8" w:rsidRDefault="00EA08E8" w:rsidP="008333F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03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рекомендації щодо гармонізації національного законодавства з міжнародними нормами (процесуальні аспекти, підсудність, співпраця з ICC).</w:t>
      </w:r>
    </w:p>
    <w:p w14:paraId="42EEA830" w14:textId="77777777" w:rsidR="008333F8" w:rsidRPr="008333F8" w:rsidRDefault="008333F8" w:rsidP="008333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33F8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58B7087D" w14:textId="77777777" w:rsidR="008333F8" w:rsidRPr="008333F8" w:rsidRDefault="008333F8" w:rsidP="00612C0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F8">
        <w:rPr>
          <w:rFonts w:ascii="Times New Roman" w:hAnsi="Times New Roman" w:cs="Times New Roman"/>
          <w:sz w:val="28"/>
          <w:szCs w:val="28"/>
        </w:rPr>
        <w:t>1.</w:t>
      </w:r>
      <w:r w:rsidRPr="008333F8">
        <w:rPr>
          <w:rFonts w:ascii="Times New Roman" w:hAnsi="Times New Roman" w:cs="Times New Roman"/>
          <w:sz w:val="28"/>
          <w:szCs w:val="28"/>
        </w:rPr>
        <w:tab/>
        <w:t xml:space="preserve">Верховна Рада України прийняла Закон про утворення Спеціалізованого окружного адміністративного суду і Спеціалізованого апеляційного адміністративного суду. Верховна Рада України. URL: https://www.rada.gov.ua/news/razom/266034.html . </w:t>
      </w:r>
    </w:p>
    <w:p w14:paraId="00CD8618" w14:textId="77777777" w:rsidR="008333F8" w:rsidRPr="008333F8" w:rsidRDefault="008333F8" w:rsidP="00612C0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F8">
        <w:rPr>
          <w:rFonts w:ascii="Times New Roman" w:hAnsi="Times New Roman" w:cs="Times New Roman"/>
          <w:sz w:val="28"/>
          <w:szCs w:val="28"/>
        </w:rPr>
        <w:t>2.</w:t>
      </w:r>
      <w:r w:rsidRPr="008333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court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established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Anti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Conditionalities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. URL: https://map.antac.org.ua/obligations/new-administrative-court-eu/ </w:t>
      </w:r>
    </w:p>
    <w:p w14:paraId="679E02A9" w14:textId="77777777" w:rsidR="008333F8" w:rsidRPr="008333F8" w:rsidRDefault="008333F8" w:rsidP="00612C0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F8">
        <w:rPr>
          <w:rFonts w:ascii="Times New Roman" w:hAnsi="Times New Roman" w:cs="Times New Roman"/>
          <w:sz w:val="28"/>
          <w:szCs w:val="28"/>
        </w:rPr>
        <w:t>3.</w:t>
      </w:r>
      <w:r w:rsidRPr="008333F8">
        <w:rPr>
          <w:rFonts w:ascii="Times New Roman" w:hAnsi="Times New Roman" w:cs="Times New Roman"/>
          <w:sz w:val="28"/>
          <w:szCs w:val="28"/>
        </w:rPr>
        <w:tab/>
        <w:t xml:space="preserve">ДСА України та модернізація ЄСІКС. Судова влада України. URL: https://court.gov.ua/press/news/1876676 </w:t>
      </w:r>
    </w:p>
    <w:p w14:paraId="33D8F339" w14:textId="77777777" w:rsidR="008333F8" w:rsidRPr="008333F8" w:rsidRDefault="008333F8" w:rsidP="00612C0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F8">
        <w:rPr>
          <w:rFonts w:ascii="Times New Roman" w:hAnsi="Times New Roman" w:cs="Times New Roman"/>
          <w:sz w:val="28"/>
          <w:szCs w:val="28"/>
        </w:rPr>
        <w:t>4.</w:t>
      </w:r>
      <w:r w:rsidRPr="008333F8">
        <w:rPr>
          <w:rFonts w:ascii="Times New Roman" w:hAnsi="Times New Roman" w:cs="Times New Roman"/>
          <w:sz w:val="28"/>
          <w:szCs w:val="28"/>
        </w:rPr>
        <w:tab/>
        <w:t xml:space="preserve">Відповідальність за торгівлю людьми в українському кримінальному праві.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LegalAid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. URL: https://legalaid.wiki/index.php/Торгівля_людьми </w:t>
      </w:r>
    </w:p>
    <w:p w14:paraId="24F7B13E" w14:textId="77777777" w:rsidR="008333F8" w:rsidRPr="008333F8" w:rsidRDefault="008333F8" w:rsidP="00612C0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F8">
        <w:rPr>
          <w:rFonts w:ascii="Times New Roman" w:hAnsi="Times New Roman" w:cs="Times New Roman"/>
          <w:sz w:val="28"/>
          <w:szCs w:val="28"/>
        </w:rPr>
        <w:t>5.</w:t>
      </w:r>
      <w:r w:rsidRPr="008333F8">
        <w:rPr>
          <w:rFonts w:ascii="Times New Roman" w:hAnsi="Times New Roman" w:cs="Times New Roman"/>
          <w:sz w:val="28"/>
          <w:szCs w:val="28"/>
        </w:rPr>
        <w:tab/>
        <w:t xml:space="preserve">Законодавство ЄС щодо протидії торгівлі людьми. Державна прикордонна служба України. URL: https://dpsu.gov.ua/uk/zakonodavstvo-yes-shodo-protidiyi-torgivleyu-lyudmi </w:t>
      </w:r>
    </w:p>
    <w:p w14:paraId="4D5761B4" w14:textId="77777777" w:rsidR="008333F8" w:rsidRPr="008333F8" w:rsidRDefault="008333F8" w:rsidP="00612C0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F8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8333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Rome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Statute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expect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Aid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. URL: https://ulag.org.ua/articles-and-publications/implementation-of-the-rome-statute-in-ukraine-what-to-expect-in-practice/ </w:t>
      </w:r>
    </w:p>
    <w:p w14:paraId="1A3EA1F4" w14:textId="2C4C097D" w:rsidR="00EA08E8" w:rsidRPr="00993291" w:rsidRDefault="008333F8" w:rsidP="00612C0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F8">
        <w:rPr>
          <w:rFonts w:ascii="Times New Roman" w:hAnsi="Times New Roman" w:cs="Times New Roman"/>
          <w:sz w:val="28"/>
          <w:szCs w:val="28"/>
        </w:rPr>
        <w:t>7.</w:t>
      </w:r>
      <w:r w:rsidRPr="008333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Ratification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Rome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Statute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Verkhovna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3F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333F8">
        <w:rPr>
          <w:rFonts w:ascii="Times New Roman" w:hAnsi="Times New Roman" w:cs="Times New Roman"/>
          <w:sz w:val="28"/>
          <w:szCs w:val="28"/>
        </w:rPr>
        <w:t>. URL: https://www.rada.gov.ua/en/print/253031.html</w:t>
      </w:r>
    </w:p>
    <w:sectPr w:rsidR="00EA08E8" w:rsidRPr="00993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495A"/>
    <w:multiLevelType w:val="multilevel"/>
    <w:tmpl w:val="899A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52F67"/>
    <w:multiLevelType w:val="multilevel"/>
    <w:tmpl w:val="6AE0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90B4E"/>
    <w:multiLevelType w:val="multilevel"/>
    <w:tmpl w:val="DBDA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E3D03"/>
    <w:multiLevelType w:val="multilevel"/>
    <w:tmpl w:val="D9EE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768BF"/>
    <w:multiLevelType w:val="multilevel"/>
    <w:tmpl w:val="55E2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36D55"/>
    <w:multiLevelType w:val="multilevel"/>
    <w:tmpl w:val="23F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B6F5A"/>
    <w:multiLevelType w:val="multilevel"/>
    <w:tmpl w:val="255E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67103"/>
    <w:multiLevelType w:val="multilevel"/>
    <w:tmpl w:val="82EA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E2AB3"/>
    <w:multiLevelType w:val="multilevel"/>
    <w:tmpl w:val="8258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CC57C7"/>
    <w:multiLevelType w:val="multilevel"/>
    <w:tmpl w:val="4786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1A3CF6"/>
    <w:multiLevelType w:val="hybridMultilevel"/>
    <w:tmpl w:val="D2DE38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54356"/>
    <w:multiLevelType w:val="multilevel"/>
    <w:tmpl w:val="0A88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A7964"/>
    <w:multiLevelType w:val="multilevel"/>
    <w:tmpl w:val="A27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45E71"/>
    <w:multiLevelType w:val="multilevel"/>
    <w:tmpl w:val="C12C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C1106"/>
    <w:multiLevelType w:val="multilevel"/>
    <w:tmpl w:val="7AFA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772408">
    <w:abstractNumId w:val="6"/>
  </w:num>
  <w:num w:numId="2" w16cid:durableId="970936143">
    <w:abstractNumId w:val="3"/>
  </w:num>
  <w:num w:numId="3" w16cid:durableId="1023017102">
    <w:abstractNumId w:val="9"/>
  </w:num>
  <w:num w:numId="4" w16cid:durableId="1853567446">
    <w:abstractNumId w:val="11"/>
  </w:num>
  <w:num w:numId="5" w16cid:durableId="1177354422">
    <w:abstractNumId w:val="1"/>
  </w:num>
  <w:num w:numId="6" w16cid:durableId="448166585">
    <w:abstractNumId w:val="14"/>
  </w:num>
  <w:num w:numId="7" w16cid:durableId="928076802">
    <w:abstractNumId w:val="8"/>
  </w:num>
  <w:num w:numId="8" w16cid:durableId="645746287">
    <w:abstractNumId w:val="4"/>
  </w:num>
  <w:num w:numId="9" w16cid:durableId="941109412">
    <w:abstractNumId w:val="7"/>
  </w:num>
  <w:num w:numId="10" w16cid:durableId="1026373849">
    <w:abstractNumId w:val="5"/>
  </w:num>
  <w:num w:numId="11" w16cid:durableId="1585383154">
    <w:abstractNumId w:val="2"/>
  </w:num>
  <w:num w:numId="12" w16cid:durableId="1008365135">
    <w:abstractNumId w:val="13"/>
  </w:num>
  <w:num w:numId="13" w16cid:durableId="1720547108">
    <w:abstractNumId w:val="0"/>
  </w:num>
  <w:num w:numId="14" w16cid:durableId="1067919619">
    <w:abstractNumId w:val="12"/>
  </w:num>
  <w:num w:numId="15" w16cid:durableId="781805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1"/>
    <w:rsid w:val="000C3836"/>
    <w:rsid w:val="00184CDB"/>
    <w:rsid w:val="002C0348"/>
    <w:rsid w:val="004143B3"/>
    <w:rsid w:val="004A6FE9"/>
    <w:rsid w:val="005C709A"/>
    <w:rsid w:val="00612C0C"/>
    <w:rsid w:val="006D75AB"/>
    <w:rsid w:val="007830BC"/>
    <w:rsid w:val="00785531"/>
    <w:rsid w:val="008333F8"/>
    <w:rsid w:val="00860082"/>
    <w:rsid w:val="00993291"/>
    <w:rsid w:val="009C258F"/>
    <w:rsid w:val="00A64ADD"/>
    <w:rsid w:val="00A7571E"/>
    <w:rsid w:val="00C10391"/>
    <w:rsid w:val="00DD0257"/>
    <w:rsid w:val="00DF558B"/>
    <w:rsid w:val="00E20990"/>
    <w:rsid w:val="00E76C0F"/>
    <w:rsid w:val="00EA08E8"/>
    <w:rsid w:val="00EB7E68"/>
    <w:rsid w:val="00E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A2DE"/>
  <w15:chartTrackingRefBased/>
  <w15:docId w15:val="{E1A189B6-3C01-4422-965B-3C50068C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3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3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3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3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3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3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0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0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39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143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5094</Words>
  <Characters>2905</Characters>
  <Application>Microsoft Office Word</Application>
  <DocSecurity>0</DocSecurity>
  <Lines>24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Pav</dc:creator>
  <cp:keywords/>
  <dc:description/>
  <cp:lastModifiedBy>Ir Pav</cp:lastModifiedBy>
  <cp:revision>23</cp:revision>
  <dcterms:created xsi:type="dcterms:W3CDTF">2026-02-05T17:54:00Z</dcterms:created>
  <dcterms:modified xsi:type="dcterms:W3CDTF">2026-02-05T18:33:00Z</dcterms:modified>
</cp:coreProperties>
</file>