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66ED" w14:textId="77777777" w:rsidR="00513294" w:rsidRDefault="00513294" w:rsidP="00513294">
      <w:pPr>
        <w:pStyle w:val="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Тема 8. Реформування транспортної політики в Україні до стандартів ЄС</w:t>
      </w:r>
    </w:p>
    <w:p w14:paraId="5356171E" w14:textId="77777777" w:rsidR="00513294" w:rsidRDefault="00513294" w:rsidP="00513294">
      <w:pPr>
        <w:pStyle w:val="ae"/>
        <w:numPr>
          <w:ilvl w:val="0"/>
          <w:numId w:val="1"/>
        </w:numPr>
        <w:spacing w:after="0" w:line="240" w:lineRule="auto"/>
        <w:rPr>
          <w:rStyle w:val="FontStyle54"/>
          <w:rFonts w:eastAsia="Times New Roman"/>
          <w:iCs/>
          <w:color w:val="000000"/>
          <w:sz w:val="28"/>
          <w:szCs w:val="28"/>
          <w:lang w:val="uk-UA" w:eastAsia="uk-UA"/>
        </w:rPr>
      </w:pPr>
      <w:r>
        <w:rPr>
          <w:rStyle w:val="FontStyle54"/>
          <w:rFonts w:eastAsia="Times New Roman"/>
          <w:iCs/>
          <w:color w:val="000000"/>
          <w:sz w:val="28"/>
          <w:szCs w:val="28"/>
          <w:lang w:val="uk-UA" w:eastAsia="uk-UA"/>
        </w:rPr>
        <w:t xml:space="preserve">Інтеграція в TEN-T. </w:t>
      </w:r>
    </w:p>
    <w:p w14:paraId="2807BDE8" w14:textId="77777777" w:rsidR="00C65718" w:rsidRDefault="00513294" w:rsidP="00513294">
      <w:pPr>
        <w:pStyle w:val="ae"/>
        <w:numPr>
          <w:ilvl w:val="0"/>
          <w:numId w:val="1"/>
        </w:numPr>
        <w:spacing w:after="0" w:line="240" w:lineRule="auto"/>
        <w:rPr>
          <w:rStyle w:val="FontStyle54"/>
          <w:rFonts w:eastAsia="Times New Roman"/>
          <w:iCs/>
          <w:color w:val="000000"/>
          <w:sz w:val="28"/>
          <w:szCs w:val="28"/>
          <w:lang w:val="uk-UA" w:eastAsia="uk-UA"/>
        </w:rPr>
      </w:pPr>
      <w:r>
        <w:rPr>
          <w:rStyle w:val="FontStyle54"/>
          <w:rFonts w:eastAsia="Times New Roman"/>
          <w:iCs/>
          <w:color w:val="000000"/>
          <w:sz w:val="28"/>
          <w:szCs w:val="28"/>
          <w:lang w:val="uk-UA" w:eastAsia="uk-UA"/>
        </w:rPr>
        <w:t>Розширення європейських транспортних коридорів на територію України.</w:t>
      </w:r>
      <w:r>
        <w:rPr>
          <w:rStyle w:val="FontStyle54"/>
          <w:rFonts w:eastAsia="Times New Roman"/>
          <w:iCs/>
          <w:color w:val="000000"/>
          <w:sz w:val="28"/>
          <w:szCs w:val="28"/>
          <w:lang w:val="uk-UA" w:eastAsia="uk-UA"/>
        </w:rPr>
        <w:t xml:space="preserve"> </w:t>
      </w:r>
    </w:p>
    <w:p w14:paraId="32836BA3" w14:textId="71E2E212" w:rsidR="00513294" w:rsidRDefault="00513294" w:rsidP="00513294">
      <w:pPr>
        <w:pStyle w:val="ae"/>
        <w:numPr>
          <w:ilvl w:val="0"/>
          <w:numId w:val="1"/>
        </w:numPr>
        <w:spacing w:after="0" w:line="240" w:lineRule="auto"/>
        <w:rPr>
          <w:rFonts w:eastAsia="Times New Roman"/>
          <w:iCs/>
          <w:color w:val="000000"/>
          <w:sz w:val="28"/>
          <w:szCs w:val="28"/>
          <w:lang w:val="uk-UA" w:eastAsia="uk-UA"/>
        </w:rPr>
      </w:pPr>
      <w:r>
        <w:rPr>
          <w:rStyle w:val="FontStyle54"/>
          <w:rFonts w:eastAsia="Times New Roman"/>
          <w:iCs/>
          <w:color w:val="000000"/>
          <w:sz w:val="28"/>
          <w:szCs w:val="28"/>
          <w:lang w:val="uk-UA" w:eastAsia="uk-UA"/>
        </w:rPr>
        <w:t>Імплементація стандартів ЄС у сфері морського, автомобільного та залізничного транспорту.</w:t>
      </w:r>
    </w:p>
    <w:p w14:paraId="2D128597" w14:textId="77777777" w:rsidR="00EB7E68" w:rsidRPr="00C65718" w:rsidRDefault="00EB7E68">
      <w:pPr>
        <w:rPr>
          <w:rFonts w:ascii="Times New Roman" w:hAnsi="Times New Roman" w:cs="Times New Roman"/>
          <w:sz w:val="28"/>
          <w:szCs w:val="28"/>
        </w:rPr>
      </w:pPr>
    </w:p>
    <w:p w14:paraId="2FE84A88" w14:textId="76FC973E" w:rsidR="00B0370C" w:rsidRDefault="00C65718" w:rsidP="001909F4">
      <w:pPr>
        <w:pStyle w:val="a9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909F4">
        <w:rPr>
          <w:rFonts w:ascii="Times New Roman" w:hAnsi="Times New Roman" w:cs="Times New Roman"/>
          <w:b/>
          <w:bCs/>
          <w:sz w:val="28"/>
          <w:szCs w:val="28"/>
        </w:rPr>
        <w:t>Інтеграція в TEN-T.</w:t>
      </w:r>
    </w:p>
    <w:p w14:paraId="3955BC82" w14:textId="3155C061" w:rsidR="00A23FA4" w:rsidRPr="00A23FA4" w:rsidRDefault="00A23FA4" w:rsidP="00B9597B">
      <w:pPr>
        <w:pStyle w:val="a9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3FA4">
        <w:rPr>
          <w:rFonts w:ascii="Times New Roman" w:hAnsi="Times New Roman" w:cs="Times New Roman"/>
          <w:sz w:val="28"/>
          <w:szCs w:val="28"/>
        </w:rPr>
        <w:t xml:space="preserve">Глава 21 </w:t>
      </w:r>
      <w:proofErr w:type="spellStart"/>
      <w:r w:rsidRPr="00A23FA4">
        <w:rPr>
          <w:rFonts w:ascii="Times New Roman" w:hAnsi="Times New Roman" w:cs="Times New Roman"/>
          <w:sz w:val="28"/>
          <w:szCs w:val="28"/>
        </w:rPr>
        <w:t>acquis</w:t>
      </w:r>
      <w:proofErr w:type="spellEnd"/>
      <w:r w:rsidRPr="00A23FA4">
        <w:rPr>
          <w:rFonts w:ascii="Times New Roman" w:hAnsi="Times New Roman" w:cs="Times New Roman"/>
          <w:sz w:val="28"/>
          <w:szCs w:val="28"/>
        </w:rPr>
        <w:t xml:space="preserve"> ЄС охоплює розвиток транс’європейських мереж (TEN-T, TEN-E, TEN-</w:t>
      </w:r>
      <w:proofErr w:type="spellStart"/>
      <w:r w:rsidRPr="00A23FA4">
        <w:rPr>
          <w:rFonts w:ascii="Times New Roman" w:hAnsi="Times New Roman" w:cs="Times New Roman"/>
          <w:sz w:val="28"/>
          <w:szCs w:val="28"/>
        </w:rPr>
        <w:t>Telecom</w:t>
      </w:r>
      <w:proofErr w:type="spellEnd"/>
      <w:r w:rsidRPr="00A23FA4">
        <w:rPr>
          <w:rFonts w:ascii="Times New Roman" w:hAnsi="Times New Roman" w:cs="Times New Roman"/>
          <w:sz w:val="28"/>
          <w:szCs w:val="28"/>
        </w:rPr>
        <w:t>), спрямованих на інтеграцію транспортної, енергетичної та цифрової інфраструктури Європи з чіткими технічними стандартами, екологічними вимогами та міждержавною взаємодією. У червні 2025 року Україна успішно завершила скринінг свого законодавства за цією главою, представивши Європейській Комісії аналіз понад 3 000 нормативних актів, з яких близько 400 потребують адаптації до норм ЄС, що відкриває шлях до наступного етапу переговорів про вступ.</w:t>
      </w:r>
    </w:p>
    <w:p w14:paraId="4DDD9714" w14:textId="77777777" w:rsidR="004026A0" w:rsidRPr="004026A0" w:rsidRDefault="004026A0" w:rsidP="004026A0">
      <w:pPr>
        <w:pStyle w:val="a9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t>Економічне зростання у світі, яке супроводжувалося протягом останніх десятиліть випереджальним збільшенням обсягів міжнародної торгівлі, міжнародної виробничої кооперації, сприяло зростанню обсягів перевезень і якісний прогрес транспортної галузі. Транспортна інфраструктура відіграє фундаментальну роль у глобалізаційних процесах і формуванні регіональних економічних просторів.</w:t>
      </w:r>
    </w:p>
    <w:p w14:paraId="48F9C09E" w14:textId="2B629765" w:rsidR="004026A0" w:rsidRPr="004026A0" w:rsidRDefault="004026A0" w:rsidP="004026A0">
      <w:pPr>
        <w:pStyle w:val="a9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t>За статистикою, до масштабного вторгнення Росії частка Євросоюзу в міжнародній торгівлі України становила 41%,  експорт своєї продукції до ЄС здійснювали більш ніж 10 тисяч українських виробників.  Додаткові рішення, прийняті під час війни – скасування всіх митних зборів, укладення угоди про скасування дозволів на перевезення, приєднання до спільної транзитної системи – допомогли Україні пом’якшити шок війни та ще міцніше пов’язати українську економіку з ЄС.</w:t>
      </w:r>
    </w:p>
    <w:p w14:paraId="305F4BE2" w14:textId="32D8E003" w:rsidR="004026A0" w:rsidRPr="004026A0" w:rsidRDefault="004026A0" w:rsidP="004026A0">
      <w:pPr>
        <w:pStyle w:val="a9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t>Зона вільної торгівлі, створена між Україною та ЄС, не призвела до гальмування українського виробництва, навіть якщо дехто очікував цього. Водночас, її внесок у  розвиток більшості галузей української економіки, покращення її структури, зміцнення конкурентоспроможності та диверсифікації економічної діяльності все ще залишається недостатнім.</w:t>
      </w:r>
    </w:p>
    <w:p w14:paraId="52EEF8D0" w14:textId="32AAA26C" w:rsidR="004026A0" w:rsidRPr="004026A0" w:rsidRDefault="004026A0" w:rsidP="004760FC">
      <w:pPr>
        <w:pStyle w:val="a9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t>Українські підприємства не стали частинами європейських ланцюгів створення доданої вартості, що пояснює той занепад промисловості, який спостерігається в Україні: російські ринки втрачені, виробничі мережі демонтовані, а європейські ланцюги ще не створені. Недостатня взаємодія між бізнес-структурами гальмує просування України в  напрямку євроінтеграції, який до цього часу переважно забезпечується на державному рівні і призводить до недостатньої глибини євроінтеграції в Україні у порівнянні з практикою євроінтеграції країн Центральної Європи.</w:t>
      </w:r>
    </w:p>
    <w:p w14:paraId="34CC29FE" w14:textId="77777777" w:rsidR="004026A0" w:rsidRPr="004026A0" w:rsidRDefault="004026A0" w:rsidP="004026A0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lastRenderedPageBreak/>
        <w:t xml:space="preserve">Війна між Росією та Україною стала поштовхом до певних, досить кардинальних, змін у ланцюжку поставок. Дорожня та залізнична інфраструктура стала </w:t>
      </w:r>
      <w:proofErr w:type="spellStart"/>
      <w:r w:rsidRPr="004026A0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4026A0">
        <w:rPr>
          <w:rFonts w:ascii="Times New Roman" w:hAnsi="Times New Roman" w:cs="Times New Roman"/>
          <w:sz w:val="28"/>
          <w:szCs w:val="28"/>
        </w:rPr>
        <w:t xml:space="preserve"> важливими для забезпечення евакуації та переміщення населення, переміщення військової техніки та гуманітарних вантажів з початком воєнного стану. Одночасно, необхідно збільшувати пропускну здатність західних прикордонних переходів та транспортної інфраструктури, включаючи розбудову мультимодальних терміналів, через виклики, пов'язані зі зміною транспортно-логістичних маршрутів та руйнуванням транспортної інфраструктури. Ця робота повинна бути координована з західними партнерами, такими як Польща, Словаччина, Угорщина, Румунія та Молдова. Крім того, дорожня та залізнична інфраструктура також виконує важливу функцію забезпечення функціонування економіки, соціальної сфери та галузей промисловості країни в умовах воєнного стану.</w:t>
      </w:r>
    </w:p>
    <w:p w14:paraId="1773B45E" w14:textId="5C7176C0" w:rsidR="004026A0" w:rsidRPr="004026A0" w:rsidRDefault="004026A0" w:rsidP="004026A0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t>У липні 2022 року Єврокомісія включила українські логістичні маршрути до індикативних карт проєкту (автомобільних, залізничних, повітряних та водних) за програмою TEN-T. Отже, наразі проходить реконструкція існуючих та відкриття нових пунктів пропуску на кордоні з європейськими державами, перехід залізниці на стандарт європейського формату тощо. У світі стандартна ширина залізничної колії становить 1435 мм, а таких ділянок небагато, а на українській залізниці, переважно в прикордонних районах, ширина інших колій становить 1520 мм.</w:t>
      </w:r>
    </w:p>
    <w:p w14:paraId="4CDB2B60" w14:textId="306F0CCE" w:rsidR="004026A0" w:rsidRPr="004026A0" w:rsidRDefault="004026A0" w:rsidP="004026A0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t>Можливе розширення карти TEN-T на територію сусідніх країн - це перший крок у забезпеченні послідовності планування розвитку інфраструктури та просування стандартів ЄС. Міністерство інфраструктури України наголосило на намірах розвивати міцні зв’язки з провідними державами регіону та сприяти ефективній роботі в рамках проєкту «Новий шовковий шлях». Розроблено законодавчу базу, яка дозволяє в короткий термін запровадити в Україні до 70% норм ЄС у відповідних сферах.</w:t>
      </w:r>
    </w:p>
    <w:p w14:paraId="0F1BE8AE" w14:textId="41C646DE" w:rsidR="004026A0" w:rsidRPr="004026A0" w:rsidRDefault="004026A0" w:rsidP="004026A0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t>Національна транспортна стратегія України на період до 2030 року наголошує, що пріоритетним завданням для Міністерства інфраструктури України є інтеграція транспортної мережі України в загальноєвропейську мережу TEN-T. Однак імплементація цього рішення все ще затягується.  Відсутність прогресу у цьому напрямку збільшує транспортні витрати та знижує загальну ефективність національної транспортної галузі.</w:t>
      </w:r>
    </w:p>
    <w:p w14:paraId="3CBA16C8" w14:textId="1A8FB94E" w:rsidR="004026A0" w:rsidRPr="004026A0" w:rsidRDefault="004026A0" w:rsidP="004026A0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t>Протягом останніх кількох років влада заявляла, що Україна готова виступити з низкою ініціатив, спрямованих на підвищення ефективності коридору TRACECA. зокрема з розробкою спільного плану заходів щодо реалізації мультимодальних транспортних рішень у рамках цього коридору, впровадженням електронної логістики системи для TRACECA, новими проєктами технічної допомоги ЄС у рамках програми TRACECA та зміцненням сумісності коридору TRACECA та транс’європейського транспортна мережа (TEN-T).</w:t>
      </w:r>
    </w:p>
    <w:p w14:paraId="4A08B9A4" w14:textId="264A278E" w:rsidR="004026A0" w:rsidRPr="004026A0" w:rsidRDefault="004026A0" w:rsidP="004026A0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lastRenderedPageBreak/>
        <w:t>Подальша співпраця сторін у рамках Угоди сприятиме реструктуризації та модернізації транспортного сектору України, розвитку сталої, ефективної, безпечної та надійної транспортної системи з поглибленням її взаємозв’язку з іншими сферами.</w:t>
      </w:r>
    </w:p>
    <w:p w14:paraId="208ADAF0" w14:textId="77777777" w:rsidR="004026A0" w:rsidRPr="004026A0" w:rsidRDefault="004026A0" w:rsidP="004026A0">
      <w:pPr>
        <w:pStyle w:val="a9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t>Для вирішення проблеми інтеграції української транспортної інфраструктури до ЄС Україні необхідно реалізувати низку рішень, зокрема:</w:t>
      </w:r>
    </w:p>
    <w:p w14:paraId="09FDF83E" w14:textId="77777777" w:rsidR="004026A0" w:rsidRPr="004026A0" w:rsidRDefault="004026A0" w:rsidP="004026A0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t>встановити чітку координацію роботи з країнами ЄС, що допоможе забезпечити ефективне функціонування транспортної інфраструктури та розвиток мережі TEN-T;</w:t>
      </w:r>
    </w:p>
    <w:p w14:paraId="6F2907D6" w14:textId="77777777" w:rsidR="004026A0" w:rsidRPr="004026A0" w:rsidRDefault="004026A0" w:rsidP="004026A0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t xml:space="preserve">підвищити ефективність роботи пунктів пропуску через державний кордон, збільшити їх пропускну спроможність та перехід на </w:t>
      </w:r>
      <w:proofErr w:type="spellStart"/>
      <w:r w:rsidRPr="004026A0">
        <w:rPr>
          <w:rFonts w:ascii="Times New Roman" w:hAnsi="Times New Roman" w:cs="Times New Roman"/>
          <w:sz w:val="28"/>
          <w:szCs w:val="28"/>
        </w:rPr>
        <w:t>безпаперові</w:t>
      </w:r>
      <w:proofErr w:type="spellEnd"/>
      <w:r w:rsidRPr="004026A0">
        <w:rPr>
          <w:rFonts w:ascii="Times New Roman" w:hAnsi="Times New Roman" w:cs="Times New Roman"/>
          <w:sz w:val="28"/>
          <w:szCs w:val="28"/>
        </w:rPr>
        <w:t xml:space="preserve"> технології.</w:t>
      </w:r>
    </w:p>
    <w:p w14:paraId="141E881E" w14:textId="77777777" w:rsidR="004026A0" w:rsidRPr="004026A0" w:rsidRDefault="004026A0" w:rsidP="004026A0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t>оновити обладнання та рухомий склад транспортних засобів;</w:t>
      </w:r>
    </w:p>
    <w:p w14:paraId="7258A59C" w14:textId="77777777" w:rsidR="004026A0" w:rsidRPr="004026A0" w:rsidRDefault="004026A0" w:rsidP="004026A0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t>забезпечити ефективну взаємодію різних видів транспорту;</w:t>
      </w:r>
    </w:p>
    <w:p w14:paraId="4DD65326" w14:textId="77777777" w:rsidR="004026A0" w:rsidRPr="004026A0" w:rsidRDefault="004026A0" w:rsidP="004026A0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t>перейти до сталої та розумної мобільності відповідно до стратегії Європейського зеленого курсу;</w:t>
      </w:r>
    </w:p>
    <w:p w14:paraId="3240ADD9" w14:textId="77777777" w:rsidR="004026A0" w:rsidRPr="004026A0" w:rsidRDefault="004026A0" w:rsidP="004026A0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t>забезпечити залучення приватних інвестицій в інфраструктурні об'єкти України, що вимагає узгодження вітчизняного галузевого законодавства та стандартів з ЄС.</w:t>
      </w:r>
    </w:p>
    <w:p w14:paraId="765A3DE3" w14:textId="77777777" w:rsidR="004026A0" w:rsidRPr="004026A0" w:rsidRDefault="004026A0" w:rsidP="004026A0">
      <w:pPr>
        <w:pStyle w:val="a9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t>Поки тривають бойові дії, Україна та країни ЄС вже можуть обговорювати питання лібералізації транзиту вантажів з України до Європи, створення «маршрутів солідарності» для експорту зерна та імпорту необхідних товарів, підтримку українського експорту товарів через європейські порти тощо. Усі ці заходи залишаться актуальними навіть після війни.</w:t>
      </w:r>
    </w:p>
    <w:p w14:paraId="7F05286B" w14:textId="77777777" w:rsidR="004026A0" w:rsidRDefault="004026A0" w:rsidP="004026A0">
      <w:pPr>
        <w:pStyle w:val="a9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26A0">
        <w:rPr>
          <w:rFonts w:ascii="Times New Roman" w:hAnsi="Times New Roman" w:cs="Times New Roman"/>
          <w:sz w:val="28"/>
          <w:szCs w:val="28"/>
        </w:rPr>
        <w:t>Оптимальним рішенням для відновлення країни після перемоги буде інтеграція української економіки в економічну систему ЄС, і масштабні європейські логістичні та інфраструктурні проєкти можуть цьому суттєво допомогти.</w:t>
      </w:r>
    </w:p>
    <w:p w14:paraId="7B88983B" w14:textId="77777777" w:rsidR="00DF2831" w:rsidRDefault="00DF2831" w:rsidP="004026A0">
      <w:pPr>
        <w:pStyle w:val="a9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C08CDE5" w14:textId="475F9B0C" w:rsidR="00DF2831" w:rsidRPr="00DF2831" w:rsidRDefault="00DF2831" w:rsidP="00DF2831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2831">
        <w:rPr>
          <w:rFonts w:ascii="Times New Roman" w:hAnsi="Times New Roman" w:cs="Times New Roman"/>
          <w:b/>
          <w:bCs/>
          <w:iCs/>
          <w:sz w:val="28"/>
          <w:szCs w:val="28"/>
        </w:rPr>
        <w:t>Розширення європейських транспортних коридорів на територію України</w:t>
      </w:r>
    </w:p>
    <w:p w14:paraId="42F9A007" w14:textId="0AD1B627" w:rsidR="00DF2831" w:rsidRDefault="00DF2831" w:rsidP="004026A0">
      <w:pPr>
        <w:pStyle w:val="a9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2831">
        <w:rPr>
          <w:rFonts w:ascii="Times New Roman" w:hAnsi="Times New Roman" w:cs="Times New Roman"/>
          <w:sz w:val="28"/>
          <w:szCs w:val="28"/>
        </w:rPr>
        <w:t xml:space="preserve">За даними </w:t>
      </w:r>
      <w:proofErr w:type="spellStart"/>
      <w:r w:rsidRPr="00DF2831">
        <w:rPr>
          <w:rFonts w:ascii="Times New Roman" w:hAnsi="Times New Roman" w:cs="Times New Roman"/>
          <w:sz w:val="28"/>
          <w:szCs w:val="28"/>
        </w:rPr>
        <w:t>Transport</w:t>
      </w:r>
      <w:proofErr w:type="spellEnd"/>
      <w:r w:rsidRPr="00DF2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31"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 w:rsidRPr="00DF2831">
        <w:rPr>
          <w:rFonts w:ascii="Times New Roman" w:hAnsi="Times New Roman" w:cs="Times New Roman"/>
          <w:sz w:val="28"/>
          <w:szCs w:val="28"/>
        </w:rPr>
        <w:t xml:space="preserve"> (2023) довжина основної (</w:t>
      </w:r>
      <w:proofErr w:type="spellStart"/>
      <w:r w:rsidRPr="00DF2831">
        <w:rPr>
          <w:rFonts w:ascii="Times New Roman" w:hAnsi="Times New Roman" w:cs="Times New Roman"/>
          <w:sz w:val="28"/>
          <w:szCs w:val="28"/>
        </w:rPr>
        <w:t>core</w:t>
      </w:r>
      <w:proofErr w:type="spellEnd"/>
      <w:r w:rsidRPr="00DF2831">
        <w:rPr>
          <w:rFonts w:ascii="Times New Roman" w:hAnsi="Times New Roman" w:cs="Times New Roman"/>
          <w:sz w:val="28"/>
          <w:szCs w:val="28"/>
        </w:rPr>
        <w:t xml:space="preserve">) мережі TEN-T в Україні становить 4 753 кілометри. Ця мережа охоплює ключові міжнародні транспортні коридори, які мають бути приведені у відповідність до вимог ЄС до 2030 року. До них належать ділянки таких трас, як М-06 Київ–Чоп (через Львів), М-05 Київ– Одеса, а також західні напрямки на Львівщині — М-07, М-08, М-09 — що ведуть до польського кордону. Частина цих маршрутів уже має експрес-стандарт — </w:t>
      </w:r>
      <w:proofErr w:type="spellStart"/>
      <w:r w:rsidRPr="00DF2831">
        <w:rPr>
          <w:rFonts w:ascii="Times New Roman" w:hAnsi="Times New Roman" w:cs="Times New Roman"/>
          <w:sz w:val="28"/>
          <w:szCs w:val="28"/>
        </w:rPr>
        <w:t>двосмугові</w:t>
      </w:r>
      <w:proofErr w:type="spellEnd"/>
      <w:r w:rsidRPr="00DF2831">
        <w:rPr>
          <w:rFonts w:ascii="Times New Roman" w:hAnsi="Times New Roman" w:cs="Times New Roman"/>
          <w:sz w:val="28"/>
          <w:szCs w:val="28"/>
        </w:rPr>
        <w:t xml:space="preserve"> автомагістралі з фізичним розділенням напрямків руху, але значна частина залишається у форматі </w:t>
      </w:r>
      <w:proofErr w:type="spellStart"/>
      <w:r w:rsidRPr="00DF2831">
        <w:rPr>
          <w:rFonts w:ascii="Times New Roman" w:hAnsi="Times New Roman" w:cs="Times New Roman"/>
          <w:sz w:val="28"/>
          <w:szCs w:val="28"/>
        </w:rPr>
        <w:t>односмугових</w:t>
      </w:r>
      <w:proofErr w:type="spellEnd"/>
      <w:r w:rsidRPr="00DF2831">
        <w:rPr>
          <w:rFonts w:ascii="Times New Roman" w:hAnsi="Times New Roman" w:cs="Times New Roman"/>
          <w:sz w:val="28"/>
          <w:szCs w:val="28"/>
        </w:rPr>
        <w:t xml:space="preserve"> доріг. Загальна довжина таких ділянок експрес-рівня у </w:t>
      </w:r>
      <w:proofErr w:type="spellStart"/>
      <w:r w:rsidRPr="00DF2831">
        <w:rPr>
          <w:rFonts w:ascii="Times New Roman" w:hAnsi="Times New Roman" w:cs="Times New Roman"/>
          <w:sz w:val="28"/>
          <w:szCs w:val="28"/>
        </w:rPr>
        <w:t>core</w:t>
      </w:r>
      <w:proofErr w:type="spellEnd"/>
      <w:r w:rsidRPr="00DF2831">
        <w:rPr>
          <w:rFonts w:ascii="Times New Roman" w:hAnsi="Times New Roman" w:cs="Times New Roman"/>
          <w:sz w:val="28"/>
          <w:szCs w:val="28"/>
        </w:rPr>
        <w:t xml:space="preserve"> мережі оцінюється приблизно у 2 380,8 км.</w:t>
      </w:r>
    </w:p>
    <w:p w14:paraId="57347AFE" w14:textId="7B07D4A2" w:rsidR="00A42ABB" w:rsidRDefault="00A42ABB" w:rsidP="004026A0">
      <w:pPr>
        <w:pStyle w:val="a9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2ABB">
        <w:rPr>
          <w:rFonts w:ascii="Times New Roman" w:hAnsi="Times New Roman" w:cs="Times New Roman"/>
          <w:sz w:val="28"/>
          <w:szCs w:val="28"/>
        </w:rPr>
        <w:t>Розширена (</w:t>
      </w:r>
      <w:proofErr w:type="spellStart"/>
      <w:r w:rsidRPr="00A42ABB">
        <w:rPr>
          <w:rFonts w:ascii="Times New Roman" w:hAnsi="Times New Roman" w:cs="Times New Roman"/>
          <w:sz w:val="28"/>
          <w:szCs w:val="28"/>
        </w:rPr>
        <w:t>comprehensive</w:t>
      </w:r>
      <w:proofErr w:type="spellEnd"/>
      <w:r w:rsidRPr="00A42ABB">
        <w:rPr>
          <w:rFonts w:ascii="Times New Roman" w:hAnsi="Times New Roman" w:cs="Times New Roman"/>
          <w:sz w:val="28"/>
          <w:szCs w:val="28"/>
        </w:rPr>
        <w:t xml:space="preserve">) мережа TEN-T в Україні охоплює ще 2 619 кілометрів доріг, що забезпечують зв’язок між регіональними центрами, прикордонними пунктами пропуску та менш навантаженими ділянками. До цієї </w:t>
      </w:r>
      <w:r w:rsidRPr="00A42ABB">
        <w:rPr>
          <w:rFonts w:ascii="Times New Roman" w:hAnsi="Times New Roman" w:cs="Times New Roman"/>
          <w:sz w:val="28"/>
          <w:szCs w:val="28"/>
        </w:rPr>
        <w:lastRenderedPageBreak/>
        <w:t>мережі входять такі дороги, як М-15 Одеса–Рені (з виходом на Румунію), М-14 Одеса–Мелітополь– Новоазовськ (до Донеччини та Криму), а також М-13 Кропивницький–Платонове. Лише близько 333 км цієї мережі відповідають експрес-стандарту з відповідною інфраструктурою та технічними характеристиками</w:t>
      </w:r>
      <w:r w:rsidR="00072390">
        <w:rPr>
          <w:rFonts w:ascii="Times New Roman" w:hAnsi="Times New Roman" w:cs="Times New Roman"/>
          <w:sz w:val="28"/>
          <w:szCs w:val="28"/>
        </w:rPr>
        <w:t>.</w:t>
      </w:r>
    </w:p>
    <w:p w14:paraId="5721C737" w14:textId="2B50FFB2" w:rsidR="003B2D21" w:rsidRPr="009C2405" w:rsidRDefault="003B2D21" w:rsidP="009C240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2405">
        <w:rPr>
          <w:rFonts w:ascii="Times New Roman" w:hAnsi="Times New Roman" w:cs="Times New Roman"/>
          <w:sz w:val="28"/>
          <w:szCs w:val="28"/>
        </w:rPr>
        <w:t xml:space="preserve"> Згідно з Регламентом ЄС 2024/1679, на Україну продовжено дію чотирьох європейських транспортних коридорів: Північне море — Балтика, Рейн — Дунай, Середземноморський та Балтійське море — Чорне море — Егейське море.</w:t>
      </w:r>
    </w:p>
    <w:p w14:paraId="45E4763A" w14:textId="01FF82A0" w:rsidR="003B2D21" w:rsidRPr="009C2405" w:rsidRDefault="003B2D21" w:rsidP="009C240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2405">
        <w:rPr>
          <w:rFonts w:ascii="Times New Roman" w:hAnsi="Times New Roman" w:cs="Times New Roman"/>
          <w:sz w:val="28"/>
          <w:szCs w:val="28"/>
        </w:rPr>
        <w:t xml:space="preserve">Включення українських маршрутів (зокрема до Маріуполя та Одеси) до індикативних мап TEN-T дозволяє Україні залучати грантове фінансування через інструмент </w:t>
      </w:r>
      <w:proofErr w:type="spellStart"/>
      <w:r w:rsidRPr="009C2405">
        <w:rPr>
          <w:rFonts w:ascii="Times New Roman" w:hAnsi="Times New Roman" w:cs="Times New Roman"/>
          <w:sz w:val="28"/>
          <w:szCs w:val="28"/>
        </w:rPr>
        <w:t>Connecting</w:t>
      </w:r>
      <w:proofErr w:type="spellEnd"/>
      <w:r w:rsidRPr="009C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405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9C2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405">
        <w:rPr>
          <w:rFonts w:ascii="Times New Roman" w:hAnsi="Times New Roman" w:cs="Times New Roman"/>
          <w:sz w:val="28"/>
          <w:szCs w:val="28"/>
        </w:rPr>
        <w:t>Facility</w:t>
      </w:r>
      <w:proofErr w:type="spellEnd"/>
      <w:r w:rsidRPr="009C2405">
        <w:rPr>
          <w:rFonts w:ascii="Times New Roman" w:hAnsi="Times New Roman" w:cs="Times New Roman"/>
          <w:sz w:val="28"/>
          <w:szCs w:val="28"/>
        </w:rPr>
        <w:t xml:space="preserve"> (CEF) для модернізації інфраструктури.</w:t>
      </w:r>
    </w:p>
    <w:p w14:paraId="68986277" w14:textId="60E79455" w:rsidR="003B2D21" w:rsidRPr="009C2405" w:rsidRDefault="003B2D21" w:rsidP="009C240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2405">
        <w:rPr>
          <w:rFonts w:ascii="Times New Roman" w:hAnsi="Times New Roman" w:cs="Times New Roman"/>
          <w:sz w:val="28"/>
          <w:szCs w:val="28"/>
        </w:rPr>
        <w:t xml:space="preserve">Оновлені мапи включають залізничне сполучення європейського стандарту (1435 мм), зокрема дільницю Львів — Рава-Руська — Люблін, а також нові шляхи до Молдови (через Ямпіль та </w:t>
      </w:r>
      <w:proofErr w:type="spellStart"/>
      <w:r w:rsidRPr="009C2405">
        <w:rPr>
          <w:rFonts w:ascii="Times New Roman" w:hAnsi="Times New Roman" w:cs="Times New Roman"/>
          <w:sz w:val="28"/>
          <w:szCs w:val="28"/>
        </w:rPr>
        <w:t>Березине</w:t>
      </w:r>
      <w:proofErr w:type="spellEnd"/>
      <w:r w:rsidRPr="009C2405">
        <w:rPr>
          <w:rFonts w:ascii="Times New Roman" w:hAnsi="Times New Roman" w:cs="Times New Roman"/>
          <w:sz w:val="28"/>
          <w:szCs w:val="28"/>
        </w:rPr>
        <w:t>).</w:t>
      </w:r>
    </w:p>
    <w:p w14:paraId="39064F70" w14:textId="2A9B4F87" w:rsidR="003B2D21" w:rsidRPr="009C2405" w:rsidRDefault="003B2D21" w:rsidP="009C240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2405">
        <w:rPr>
          <w:rFonts w:ascii="Times New Roman" w:hAnsi="Times New Roman" w:cs="Times New Roman"/>
          <w:sz w:val="28"/>
          <w:szCs w:val="28"/>
        </w:rPr>
        <w:t>З мережі TEN-T повністю виключено маршрути, що вели до РФ та Білорусі, а прикордонні ділянки з цими країнами понижено в статусі.</w:t>
      </w:r>
    </w:p>
    <w:p w14:paraId="42225E38" w14:textId="1B9B44CC" w:rsidR="003B2D21" w:rsidRPr="009C2405" w:rsidRDefault="003B2D21" w:rsidP="009C240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2405">
        <w:rPr>
          <w:rFonts w:ascii="Times New Roman" w:hAnsi="Times New Roman" w:cs="Times New Roman"/>
          <w:sz w:val="28"/>
          <w:szCs w:val="28"/>
        </w:rPr>
        <w:t xml:space="preserve">До 2040 року основні пасажирські лінії мають забезпечувати швидкість поїздів від 160 км/год, а автомобільні дороги — мати розділені потоки руху. </w:t>
      </w:r>
    </w:p>
    <w:p w14:paraId="70C28CC6" w14:textId="0C0709B8" w:rsidR="003B2D21" w:rsidRDefault="003B2D21" w:rsidP="003B2D21">
      <w:pPr>
        <w:pStyle w:val="a9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2D21">
        <w:rPr>
          <w:rFonts w:ascii="Times New Roman" w:hAnsi="Times New Roman" w:cs="Times New Roman"/>
          <w:sz w:val="28"/>
          <w:szCs w:val="28"/>
        </w:rPr>
        <w:t>Загальна вартість приведення української мережі до стандартів ЄС оцінюється у 110 млрд євро.</w:t>
      </w:r>
    </w:p>
    <w:p w14:paraId="6ED3C8C5" w14:textId="77777777" w:rsidR="00FD2D7D" w:rsidRDefault="000D4BC1" w:rsidP="004026A0">
      <w:pPr>
        <w:pStyle w:val="a9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4BC1">
        <w:rPr>
          <w:rFonts w:ascii="Times New Roman" w:hAnsi="Times New Roman" w:cs="Times New Roman"/>
          <w:sz w:val="28"/>
          <w:szCs w:val="28"/>
        </w:rPr>
        <w:t xml:space="preserve">Отже, впровадження стандарту окремих смуг руху згідно з Регламентом (ЄС) 2024/1679 покращить безпеку дорожнього руху, зменшить аварійність на дорогах, сприятиме інтеграції України до ЄС та доступу до фінансування TEN-T. Це масштабний і стратегічний проєкт, що потребує орієнтовно 110 млрд євро інвестицій і до 25 років реалізації. </w:t>
      </w:r>
    </w:p>
    <w:p w14:paraId="36774933" w14:textId="5060DE4E" w:rsidR="00B72DA7" w:rsidRDefault="000D4BC1" w:rsidP="004026A0">
      <w:pPr>
        <w:pStyle w:val="a9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4BC1">
        <w:rPr>
          <w:rFonts w:ascii="Times New Roman" w:hAnsi="Times New Roman" w:cs="Times New Roman"/>
          <w:sz w:val="28"/>
          <w:szCs w:val="28"/>
        </w:rPr>
        <w:t>Враховуючи досвід Словаччини та інших країн Східної Європи, середня вартість модернізації становить близько 15 млн євро за кілометр, а реалістичний темп виконання — до 250 км щорічно. За стабільного фінансування та залучення міжнародної підтримки, ці плани можуть бути реалізовані до 2050-го року, інтегруючи Україну в європейський транспортний простір</w:t>
      </w:r>
      <w:r w:rsidR="002B57A3">
        <w:rPr>
          <w:rFonts w:ascii="Times New Roman" w:hAnsi="Times New Roman" w:cs="Times New Roman"/>
          <w:sz w:val="28"/>
          <w:szCs w:val="28"/>
        </w:rPr>
        <w:t>.</w:t>
      </w:r>
    </w:p>
    <w:p w14:paraId="7FCC6701" w14:textId="7FB34C2B" w:rsidR="002B57A3" w:rsidRPr="002B57A3" w:rsidRDefault="002B57A3" w:rsidP="002B57A3">
      <w:pPr>
        <w:pStyle w:val="a9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B57A3">
        <w:rPr>
          <w:rFonts w:ascii="Times New Roman" w:hAnsi="Times New Roman" w:cs="Times New Roman"/>
          <w:b/>
          <w:bCs/>
          <w:sz w:val="28"/>
          <w:szCs w:val="28"/>
        </w:rPr>
        <w:t>Імплементація стандартів ЄС у сфері морського, автомобільного та залізничного транспорту.</w:t>
      </w:r>
    </w:p>
    <w:p w14:paraId="055B7A31" w14:textId="77777777" w:rsidR="002B57A3" w:rsidRPr="002B57A3" w:rsidRDefault="002B57A3" w:rsidP="002B57A3">
      <w:pPr>
        <w:pStyle w:val="a9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57A3">
        <w:rPr>
          <w:rFonts w:ascii="Times New Roman" w:hAnsi="Times New Roman" w:cs="Times New Roman"/>
          <w:sz w:val="28"/>
          <w:szCs w:val="28"/>
        </w:rPr>
        <w:t xml:space="preserve">Процес адаптації транспортного законодавства України є не лише технічним копіюванням норм, а фундаментальною перебудовою правовідносин. Ключовою базою є Глава 7 Угоди про асоціацію та Регламент (ЄС) 2024/792 щодо </w:t>
      </w:r>
      <w:proofErr w:type="spellStart"/>
      <w:r w:rsidRPr="002B57A3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2B5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7A3">
        <w:rPr>
          <w:rFonts w:ascii="Times New Roman" w:hAnsi="Times New Roman" w:cs="Times New Roman"/>
          <w:sz w:val="28"/>
          <w:szCs w:val="28"/>
        </w:rPr>
        <w:t>Facility</w:t>
      </w:r>
      <w:proofErr w:type="spellEnd"/>
      <w:r w:rsidRPr="002B57A3">
        <w:rPr>
          <w:rFonts w:ascii="Times New Roman" w:hAnsi="Times New Roman" w:cs="Times New Roman"/>
          <w:sz w:val="28"/>
          <w:szCs w:val="28"/>
        </w:rPr>
        <w:t>. Ми розглянемо три магістральні напрями, де правова трансформація стикається з найбільшими викликами.</w:t>
      </w:r>
    </w:p>
    <w:p w14:paraId="216B4E71" w14:textId="77777777" w:rsidR="002B57A3" w:rsidRPr="002B57A3" w:rsidRDefault="002B57A3" w:rsidP="002B57A3">
      <w:pPr>
        <w:pStyle w:val="a9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B57A3">
        <w:rPr>
          <w:rFonts w:ascii="Times New Roman" w:hAnsi="Times New Roman" w:cs="Times New Roman"/>
          <w:sz w:val="28"/>
          <w:szCs w:val="28"/>
        </w:rPr>
        <w:t>Залізничний транспорт: Від державної монополії до лібералізації ринку.</w:t>
      </w:r>
    </w:p>
    <w:p w14:paraId="2CAD1813" w14:textId="77777777" w:rsidR="002B57A3" w:rsidRPr="002B57A3" w:rsidRDefault="002B57A3" w:rsidP="002B57A3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57A3">
        <w:rPr>
          <w:rFonts w:ascii="Times New Roman" w:hAnsi="Times New Roman" w:cs="Times New Roman"/>
          <w:sz w:val="28"/>
          <w:szCs w:val="28"/>
        </w:rPr>
        <w:t xml:space="preserve">Центральним об’єктом правового аналізу є концепція </w:t>
      </w:r>
      <w:proofErr w:type="spellStart"/>
      <w:r w:rsidRPr="002B57A3">
        <w:rPr>
          <w:rFonts w:ascii="Times New Roman" w:hAnsi="Times New Roman" w:cs="Times New Roman"/>
          <w:sz w:val="28"/>
          <w:szCs w:val="28"/>
        </w:rPr>
        <w:t>анселінгу</w:t>
      </w:r>
      <w:proofErr w:type="spellEnd"/>
      <w:r w:rsidRPr="002B57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57A3">
        <w:rPr>
          <w:rFonts w:ascii="Times New Roman" w:hAnsi="Times New Roman" w:cs="Times New Roman"/>
          <w:sz w:val="28"/>
          <w:szCs w:val="28"/>
        </w:rPr>
        <w:t>unbundling</w:t>
      </w:r>
      <w:proofErr w:type="spellEnd"/>
      <w:r w:rsidRPr="002B57A3">
        <w:rPr>
          <w:rFonts w:ascii="Times New Roman" w:hAnsi="Times New Roman" w:cs="Times New Roman"/>
          <w:sz w:val="28"/>
          <w:szCs w:val="28"/>
        </w:rPr>
        <w:t xml:space="preserve">) відповідно до Директиви 2012/34/ЄС. Це передбачає юридичне та організаційне </w:t>
      </w:r>
      <w:r w:rsidRPr="002B57A3">
        <w:rPr>
          <w:rFonts w:ascii="Times New Roman" w:hAnsi="Times New Roman" w:cs="Times New Roman"/>
          <w:sz w:val="28"/>
          <w:szCs w:val="28"/>
        </w:rPr>
        <w:lastRenderedPageBreak/>
        <w:t>відокремлення управління інфраструктурою від безпосередньої діяльності з перевезення.</w:t>
      </w:r>
    </w:p>
    <w:p w14:paraId="07814E46" w14:textId="77777777" w:rsidR="002B57A3" w:rsidRPr="002B57A3" w:rsidRDefault="002B57A3" w:rsidP="002B57A3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7A3">
        <w:rPr>
          <w:rFonts w:ascii="Times New Roman" w:hAnsi="Times New Roman" w:cs="Times New Roman"/>
          <w:sz w:val="28"/>
          <w:szCs w:val="28"/>
        </w:rPr>
        <w:t>Правова проблема полягає у створенні дворівневої системи доступу:</w:t>
      </w:r>
    </w:p>
    <w:p w14:paraId="06A47DD8" w14:textId="77777777" w:rsidR="002B57A3" w:rsidRPr="002B57A3" w:rsidRDefault="002B57A3" w:rsidP="002B57A3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57A3">
        <w:rPr>
          <w:rFonts w:ascii="Times New Roman" w:hAnsi="Times New Roman" w:cs="Times New Roman"/>
          <w:sz w:val="28"/>
          <w:szCs w:val="28"/>
        </w:rPr>
        <w:t>Авторизація з безпеки для управляючого інфраструктурою.</w:t>
      </w:r>
    </w:p>
    <w:p w14:paraId="6F7C7399" w14:textId="77777777" w:rsidR="002B57A3" w:rsidRPr="002B57A3" w:rsidRDefault="002B57A3" w:rsidP="002B57A3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57A3">
        <w:rPr>
          <w:rFonts w:ascii="Times New Roman" w:hAnsi="Times New Roman" w:cs="Times New Roman"/>
          <w:sz w:val="28"/>
          <w:szCs w:val="28"/>
        </w:rPr>
        <w:t>Сертифікат безпеки для залізничного перевізника.</w:t>
      </w:r>
    </w:p>
    <w:p w14:paraId="146BB443" w14:textId="77777777" w:rsidR="002B57A3" w:rsidRPr="002B57A3" w:rsidRDefault="002B57A3" w:rsidP="00DE54D9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7A3">
        <w:rPr>
          <w:rFonts w:ascii="Times New Roman" w:hAnsi="Times New Roman" w:cs="Times New Roman"/>
          <w:sz w:val="28"/>
          <w:szCs w:val="28"/>
        </w:rPr>
        <w:t xml:space="preserve">Законопроєкт №12142 впроваджує термін </w:t>
      </w:r>
      <w:proofErr w:type="spellStart"/>
      <w:r w:rsidRPr="002B57A3">
        <w:rPr>
          <w:rFonts w:ascii="Times New Roman" w:hAnsi="Times New Roman" w:cs="Times New Roman"/>
          <w:sz w:val="28"/>
          <w:szCs w:val="28"/>
        </w:rPr>
        <w:t>інтероперабельності</w:t>
      </w:r>
      <w:proofErr w:type="spellEnd"/>
      <w:r w:rsidRPr="002B57A3">
        <w:rPr>
          <w:rFonts w:ascii="Times New Roman" w:hAnsi="Times New Roman" w:cs="Times New Roman"/>
          <w:sz w:val="28"/>
          <w:szCs w:val="28"/>
        </w:rPr>
        <w:t xml:space="preserve"> — технічної сумісності української залізниці з </w:t>
      </w:r>
      <w:proofErr w:type="spellStart"/>
      <w:r w:rsidRPr="002B57A3">
        <w:rPr>
          <w:rFonts w:ascii="Times New Roman" w:hAnsi="Times New Roman" w:cs="Times New Roman"/>
          <w:sz w:val="28"/>
          <w:szCs w:val="28"/>
        </w:rPr>
        <w:t>трансєвропейською</w:t>
      </w:r>
      <w:proofErr w:type="spellEnd"/>
      <w:r w:rsidRPr="002B57A3">
        <w:rPr>
          <w:rFonts w:ascii="Times New Roman" w:hAnsi="Times New Roman" w:cs="Times New Roman"/>
          <w:sz w:val="28"/>
          <w:szCs w:val="28"/>
        </w:rPr>
        <w:t xml:space="preserve"> мережею TEN-T. Для юристів це означає перегляд інституту відповідальності за безпеку руху та впровадження незалежного органу з розслідування аварій, що є вимогою європейського права.</w:t>
      </w:r>
    </w:p>
    <w:p w14:paraId="02EF359A" w14:textId="77777777" w:rsidR="002B57A3" w:rsidRPr="002B57A3" w:rsidRDefault="002B57A3" w:rsidP="00DE54D9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7A3">
        <w:rPr>
          <w:rFonts w:ascii="Times New Roman" w:hAnsi="Times New Roman" w:cs="Times New Roman"/>
          <w:sz w:val="28"/>
          <w:szCs w:val="28"/>
        </w:rPr>
        <w:t>Автомобільний транспорт: Соціальні стандарти та цифровий нагляд.</w:t>
      </w:r>
    </w:p>
    <w:p w14:paraId="2DE7FE75" w14:textId="77777777" w:rsidR="002B57A3" w:rsidRPr="002B57A3" w:rsidRDefault="002B57A3" w:rsidP="002B57A3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57A3">
        <w:rPr>
          <w:rFonts w:ascii="Times New Roman" w:hAnsi="Times New Roman" w:cs="Times New Roman"/>
          <w:sz w:val="28"/>
          <w:szCs w:val="28"/>
        </w:rPr>
        <w:t>Імплементація Регламентів (ЄС) №561/2006 та №165/2014 змінює парадигму трудового права у сфері транспорту. Основний акцент зміщується на Пакет мобільності ЄС.</w:t>
      </w:r>
    </w:p>
    <w:p w14:paraId="38199A1C" w14:textId="77777777" w:rsidR="002B57A3" w:rsidRPr="002B57A3" w:rsidRDefault="002B57A3" w:rsidP="00DE54D9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7A3">
        <w:rPr>
          <w:rFonts w:ascii="Times New Roman" w:hAnsi="Times New Roman" w:cs="Times New Roman"/>
          <w:sz w:val="28"/>
          <w:szCs w:val="28"/>
        </w:rPr>
        <w:t>З липня 2026 року Україна впроваджує обов'язкове використання смарт-тахографів другого покоління (G2V2). З юридичної точки зору це створює нове поле для аналізу захисту персональних даних водіїв, оскільки пристрій автоматично фіксує перетин кордонів через супутникові системи GNSS.</w:t>
      </w:r>
    </w:p>
    <w:p w14:paraId="4939F937" w14:textId="77777777" w:rsidR="002B57A3" w:rsidRPr="002B57A3" w:rsidRDefault="002B57A3" w:rsidP="00DE54D9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7A3">
        <w:rPr>
          <w:rFonts w:ascii="Times New Roman" w:hAnsi="Times New Roman" w:cs="Times New Roman"/>
          <w:sz w:val="28"/>
          <w:szCs w:val="28"/>
        </w:rPr>
        <w:t>Крім того, перехід на стандарти Euro-6 з 2027 року потребує перегляду екологічних регламентів та механізмів контролю за первинною реєстрацією транспортних засобів, що безпосередньо впливає на право власності та умови ведення господарської діяльності.</w:t>
      </w:r>
    </w:p>
    <w:p w14:paraId="501A930A" w14:textId="77777777" w:rsidR="002B57A3" w:rsidRPr="002B57A3" w:rsidRDefault="002B57A3" w:rsidP="00DE54D9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7A3">
        <w:rPr>
          <w:rFonts w:ascii="Times New Roman" w:hAnsi="Times New Roman" w:cs="Times New Roman"/>
          <w:sz w:val="28"/>
          <w:szCs w:val="28"/>
        </w:rPr>
        <w:t xml:space="preserve">Морський транспорт: </w:t>
      </w:r>
      <w:proofErr w:type="spellStart"/>
      <w:r w:rsidRPr="002B57A3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2B57A3">
        <w:rPr>
          <w:rFonts w:ascii="Times New Roman" w:hAnsi="Times New Roman" w:cs="Times New Roman"/>
          <w:sz w:val="28"/>
          <w:szCs w:val="28"/>
        </w:rPr>
        <w:t xml:space="preserve"> формальностей та екологічний суверенітет.</w:t>
      </w:r>
    </w:p>
    <w:p w14:paraId="2687BB3B" w14:textId="77777777" w:rsidR="002B57A3" w:rsidRPr="002B57A3" w:rsidRDefault="002B57A3" w:rsidP="00DE54D9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7A3">
        <w:rPr>
          <w:rFonts w:ascii="Times New Roman" w:hAnsi="Times New Roman" w:cs="Times New Roman"/>
          <w:sz w:val="28"/>
          <w:szCs w:val="28"/>
        </w:rPr>
        <w:t>Вимоги Директиви 2010/65/ЄС щодо звітності суден спрямовані на створення системи «єдиного вікна» (</w:t>
      </w:r>
      <w:proofErr w:type="spellStart"/>
      <w:r w:rsidRPr="002B57A3">
        <w:rPr>
          <w:rFonts w:ascii="Times New Roman" w:hAnsi="Times New Roman" w:cs="Times New Roman"/>
          <w:sz w:val="28"/>
          <w:szCs w:val="28"/>
        </w:rPr>
        <w:t>Maritime</w:t>
      </w:r>
      <w:proofErr w:type="spellEnd"/>
      <w:r w:rsidRPr="002B5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7A3">
        <w:rPr>
          <w:rFonts w:ascii="Times New Roman" w:hAnsi="Times New Roman" w:cs="Times New Roman"/>
          <w:sz w:val="28"/>
          <w:szCs w:val="28"/>
        </w:rPr>
        <w:t>Single</w:t>
      </w:r>
      <w:proofErr w:type="spellEnd"/>
      <w:r w:rsidRPr="002B5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7A3">
        <w:rPr>
          <w:rFonts w:ascii="Times New Roman" w:hAnsi="Times New Roman" w:cs="Times New Roman"/>
          <w:sz w:val="28"/>
          <w:szCs w:val="28"/>
        </w:rPr>
        <w:t>Window</w:t>
      </w:r>
      <w:proofErr w:type="spellEnd"/>
      <w:r w:rsidRPr="002B57A3">
        <w:rPr>
          <w:rFonts w:ascii="Times New Roman" w:hAnsi="Times New Roman" w:cs="Times New Roman"/>
          <w:sz w:val="28"/>
          <w:szCs w:val="28"/>
        </w:rPr>
        <w:t xml:space="preserve">). Це передбачає ліквідацію паперового документообігу та перехід до </w:t>
      </w:r>
      <w:proofErr w:type="spellStart"/>
      <w:r w:rsidRPr="002B57A3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2B5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7A3">
        <w:rPr>
          <w:rFonts w:ascii="Times New Roman" w:hAnsi="Times New Roman" w:cs="Times New Roman"/>
          <w:sz w:val="28"/>
          <w:szCs w:val="28"/>
        </w:rPr>
        <w:t>Shipping</w:t>
      </w:r>
      <w:proofErr w:type="spellEnd"/>
      <w:r w:rsidRPr="002B57A3">
        <w:rPr>
          <w:rFonts w:ascii="Times New Roman" w:hAnsi="Times New Roman" w:cs="Times New Roman"/>
          <w:sz w:val="28"/>
          <w:szCs w:val="28"/>
        </w:rPr>
        <w:t>.</w:t>
      </w:r>
    </w:p>
    <w:p w14:paraId="40267CAF" w14:textId="77777777" w:rsidR="002B57A3" w:rsidRPr="002B57A3" w:rsidRDefault="002B57A3" w:rsidP="00DE54D9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7A3">
        <w:rPr>
          <w:rFonts w:ascii="Times New Roman" w:hAnsi="Times New Roman" w:cs="Times New Roman"/>
          <w:sz w:val="28"/>
          <w:szCs w:val="28"/>
        </w:rPr>
        <w:t>Для науковців-правників тут важливим є питання юридичної сили електронних документів у міжнародному приватному праві. Також триває гармонізація з нормами щодо остійності суден ро-ро та управління баластними водами. Держава має забезпечити не лише прийняття норм, а й створення інституційного механізму контролю з боку держави порту (</w:t>
      </w:r>
      <w:proofErr w:type="spellStart"/>
      <w:r w:rsidRPr="002B57A3">
        <w:rPr>
          <w:rFonts w:ascii="Times New Roman" w:hAnsi="Times New Roman" w:cs="Times New Roman"/>
          <w:sz w:val="28"/>
          <w:szCs w:val="28"/>
        </w:rPr>
        <w:t>Port</w:t>
      </w:r>
      <w:proofErr w:type="spellEnd"/>
      <w:r w:rsidRPr="002B5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7A3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2B5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7A3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2B57A3">
        <w:rPr>
          <w:rFonts w:ascii="Times New Roman" w:hAnsi="Times New Roman" w:cs="Times New Roman"/>
          <w:sz w:val="28"/>
          <w:szCs w:val="28"/>
        </w:rPr>
        <w:t>), що відповідає стандартам Паризького меморандуму.</w:t>
      </w:r>
    </w:p>
    <w:p w14:paraId="481C1361" w14:textId="2F3C9F61" w:rsidR="002B57A3" w:rsidRPr="004026A0" w:rsidRDefault="00DE54D9" w:rsidP="000B7DCE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і</w:t>
      </w:r>
      <w:r w:rsidR="002B57A3" w:rsidRPr="002B57A3">
        <w:rPr>
          <w:rFonts w:ascii="Times New Roman" w:hAnsi="Times New Roman" w:cs="Times New Roman"/>
          <w:sz w:val="28"/>
          <w:szCs w:val="28"/>
        </w:rPr>
        <w:t>мплементація стандартів ЄС вимагає від України відходу від командно-адміністративного управління на користь ринкового регулювання, де держава виступає лише гарантом безпеки та конкуренції. Основним викликом залишається інституційна спроможність регуляторних органів забезпечити нагляд без надмірного тиску на суб'єктів ринку.</w:t>
      </w:r>
    </w:p>
    <w:p w14:paraId="16FA6315" w14:textId="77777777" w:rsidR="004026A0" w:rsidRDefault="004026A0" w:rsidP="002B57A3">
      <w:pPr>
        <w:pStyle w:val="a9"/>
        <w:ind w:left="348"/>
        <w:jc w:val="both"/>
        <w:rPr>
          <w:rFonts w:ascii="Times New Roman" w:hAnsi="Times New Roman" w:cs="Times New Roman"/>
          <w:sz w:val="28"/>
          <w:szCs w:val="28"/>
        </w:rPr>
      </w:pPr>
    </w:p>
    <w:p w14:paraId="3645E2A4" w14:textId="77777777" w:rsidR="000930FA" w:rsidRDefault="000930FA" w:rsidP="002B57A3">
      <w:pPr>
        <w:pStyle w:val="a9"/>
        <w:ind w:left="348"/>
        <w:jc w:val="both"/>
        <w:rPr>
          <w:rFonts w:ascii="Times New Roman" w:hAnsi="Times New Roman" w:cs="Times New Roman"/>
          <w:sz w:val="28"/>
          <w:szCs w:val="28"/>
        </w:rPr>
      </w:pPr>
    </w:p>
    <w:p w14:paraId="5A0EB4DC" w14:textId="77777777" w:rsidR="000930FA" w:rsidRDefault="000930FA" w:rsidP="00B0370C">
      <w:pPr>
        <w:pStyle w:val="a9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2504E2D9" w14:textId="77777777" w:rsidR="000930FA" w:rsidRDefault="000930FA" w:rsidP="00B0370C">
      <w:pPr>
        <w:pStyle w:val="a9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7F11A97E" w14:textId="77777777" w:rsidR="000930FA" w:rsidRDefault="000930FA" w:rsidP="00B0370C">
      <w:pPr>
        <w:pStyle w:val="a9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16095F92" w14:textId="6F7A81F6" w:rsidR="000930FA" w:rsidRDefault="000930FA" w:rsidP="00B0370C">
      <w:pPr>
        <w:pStyle w:val="a9"/>
        <w:ind w:left="10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A39">
        <w:rPr>
          <w:rFonts w:ascii="Times New Roman" w:hAnsi="Times New Roman" w:cs="Times New Roman"/>
          <w:b/>
          <w:bCs/>
          <w:sz w:val="28"/>
          <w:szCs w:val="28"/>
        </w:rPr>
        <w:lastRenderedPageBreak/>
        <w:t>Література</w:t>
      </w:r>
      <w:r w:rsidR="000C7258" w:rsidRPr="00A47A3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FA5DFA9" w14:textId="77777777" w:rsidR="00CB367F" w:rsidRPr="00CB367F" w:rsidRDefault="00CB367F" w:rsidP="00B0370C">
      <w:pPr>
        <w:pStyle w:val="a9"/>
        <w:ind w:left="10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6A444" w14:textId="149987E9" w:rsidR="000C7258" w:rsidRPr="000C7258" w:rsidRDefault="000C7258" w:rsidP="00107533">
      <w:pPr>
        <w:pStyle w:val="a9"/>
        <w:numPr>
          <w:ilvl w:val="2"/>
          <w:numId w:val="10"/>
        </w:numPr>
        <w:ind w:left="88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7258">
        <w:rPr>
          <w:rFonts w:ascii="Times New Roman" w:hAnsi="Times New Roman" w:cs="Times New Roman"/>
          <w:sz w:val="28"/>
          <w:szCs w:val="28"/>
        </w:rPr>
        <w:t>Антощишина</w:t>
      </w:r>
      <w:proofErr w:type="spellEnd"/>
      <w:r w:rsidRPr="000C7258">
        <w:rPr>
          <w:rFonts w:ascii="Times New Roman" w:hAnsi="Times New Roman" w:cs="Times New Roman"/>
          <w:sz w:val="28"/>
          <w:szCs w:val="28"/>
        </w:rPr>
        <w:t xml:space="preserve"> Н. І. Інтеграційні процеси транспортної системи України в ЄС. Ефективна економіка. 2023. URL: </w:t>
      </w:r>
      <w:hyperlink r:id="rId5" w:history="1">
        <w:r w:rsidRPr="000C7258">
          <w:rPr>
            <w:rStyle w:val="af0"/>
            <w:rFonts w:ascii="Times New Roman" w:hAnsi="Times New Roman" w:cs="Times New Roman"/>
            <w:sz w:val="28"/>
            <w:szCs w:val="28"/>
          </w:rPr>
          <w:t>http://www.economy.nayka.com.ua/?op=1&amp;z=2423</w:t>
        </w:r>
      </w:hyperlink>
      <w:r w:rsidRPr="000C7258">
        <w:rPr>
          <w:rFonts w:ascii="Times New Roman" w:hAnsi="Times New Roman" w:cs="Times New Roman"/>
          <w:sz w:val="28"/>
          <w:szCs w:val="28"/>
        </w:rPr>
        <w:t> </w:t>
      </w:r>
    </w:p>
    <w:p w14:paraId="0F58CB0E" w14:textId="13E3BE58" w:rsidR="000C7258" w:rsidRDefault="000C7258" w:rsidP="00107533">
      <w:pPr>
        <w:pStyle w:val="a9"/>
        <w:numPr>
          <w:ilvl w:val="2"/>
          <w:numId w:val="10"/>
        </w:numPr>
        <w:ind w:left="888"/>
        <w:jc w:val="both"/>
        <w:rPr>
          <w:rFonts w:ascii="Times New Roman" w:hAnsi="Times New Roman" w:cs="Times New Roman"/>
          <w:sz w:val="28"/>
          <w:szCs w:val="28"/>
        </w:rPr>
      </w:pPr>
      <w:r w:rsidRPr="000C7258">
        <w:rPr>
          <w:rFonts w:ascii="Times New Roman" w:hAnsi="Times New Roman" w:cs="Times New Roman"/>
          <w:sz w:val="28"/>
          <w:szCs w:val="28"/>
        </w:rPr>
        <w:t>Захарова О. В Особливості процесу інтеграції національних транспортних систем до світового господарства. URL: </w:t>
      </w:r>
      <w:hyperlink r:id="rId6" w:history="1">
        <w:r w:rsidRPr="000C7258">
          <w:rPr>
            <w:rStyle w:val="af0"/>
            <w:rFonts w:ascii="Times New Roman" w:hAnsi="Times New Roman" w:cs="Times New Roman"/>
            <w:sz w:val="28"/>
            <w:szCs w:val="28"/>
          </w:rPr>
          <w:t>http://archive.nbuv.gov.ua/portal/soc_gum/prvs/2022_3/1294.pdf</w:t>
        </w:r>
      </w:hyperlink>
    </w:p>
    <w:p w14:paraId="2B9C8449" w14:textId="5A31D3F7" w:rsidR="004A3DBF" w:rsidRPr="00107533" w:rsidRDefault="004A3DBF" w:rsidP="00107533">
      <w:pPr>
        <w:pStyle w:val="a9"/>
        <w:numPr>
          <w:ilvl w:val="2"/>
          <w:numId w:val="10"/>
        </w:numPr>
        <w:ind w:left="888"/>
        <w:jc w:val="both"/>
        <w:rPr>
          <w:rFonts w:ascii="Times New Roman" w:hAnsi="Times New Roman" w:cs="Times New Roman"/>
          <w:sz w:val="28"/>
          <w:szCs w:val="28"/>
        </w:rPr>
      </w:pPr>
      <w:r w:rsidRPr="004A3DBF">
        <w:rPr>
          <w:rFonts w:ascii="Times New Roman" w:hAnsi="Times New Roman" w:cs="Times New Roman"/>
          <w:sz w:val="28"/>
          <w:szCs w:val="28"/>
        </w:rPr>
        <w:t>Михайличенко К. М. Відновлення транзитного потенціалу як чинник підвищення конкурентоспроможності України. Стратегічні пріоритети. 2022. № 4.</w:t>
      </w:r>
    </w:p>
    <w:p w14:paraId="0F9E38EE" w14:textId="3D09E43A" w:rsidR="004A3DBF" w:rsidRPr="000C7258" w:rsidRDefault="004A3DBF" w:rsidP="00107533">
      <w:pPr>
        <w:pStyle w:val="a9"/>
        <w:numPr>
          <w:ilvl w:val="2"/>
          <w:numId w:val="10"/>
        </w:numPr>
        <w:ind w:left="88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3DBF">
        <w:rPr>
          <w:rFonts w:ascii="Times New Roman" w:hAnsi="Times New Roman" w:cs="Times New Roman"/>
          <w:sz w:val="28"/>
          <w:szCs w:val="28"/>
        </w:rPr>
        <w:t>Infrastructure</w:t>
      </w:r>
      <w:proofErr w:type="spellEnd"/>
      <w:r w:rsidRPr="004A3DBF">
        <w:rPr>
          <w:rFonts w:ascii="Times New Roman" w:hAnsi="Times New Roman" w:cs="Times New Roman"/>
          <w:sz w:val="28"/>
          <w:szCs w:val="28"/>
        </w:rPr>
        <w:t xml:space="preserve"> – TEN-T – </w:t>
      </w:r>
      <w:proofErr w:type="spellStart"/>
      <w:r w:rsidRPr="004A3DBF">
        <w:rPr>
          <w:rFonts w:ascii="Times New Roman" w:hAnsi="Times New Roman" w:cs="Times New Roman"/>
          <w:sz w:val="28"/>
          <w:szCs w:val="28"/>
        </w:rPr>
        <w:t>Connecting</w:t>
      </w:r>
      <w:proofErr w:type="spellEnd"/>
      <w:r w:rsidRPr="004A3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DBF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4A3D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3DBF">
        <w:rPr>
          <w:rFonts w:ascii="Times New Roman" w:hAnsi="Times New Roman" w:cs="Times New Roman"/>
          <w:sz w:val="28"/>
          <w:szCs w:val="28"/>
        </w:rPr>
        <w:t>Maps</w:t>
      </w:r>
      <w:proofErr w:type="spellEnd"/>
      <w:r w:rsidRPr="004A3DBF">
        <w:rPr>
          <w:rFonts w:ascii="Times New Roman" w:hAnsi="Times New Roman" w:cs="Times New Roman"/>
          <w:sz w:val="28"/>
          <w:szCs w:val="28"/>
        </w:rPr>
        <w:t>. URL: https://ec.europa.eu/transport/themes/infrastructure/ten-t-guidelines/maps_en.</w:t>
      </w:r>
    </w:p>
    <w:p w14:paraId="1A0749F6" w14:textId="77777777" w:rsidR="000C7258" w:rsidRPr="000C7258" w:rsidRDefault="000C7258" w:rsidP="00107533">
      <w:pPr>
        <w:pStyle w:val="a9"/>
        <w:ind w:left="-183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C7258" w:rsidRPr="000C72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3AD4"/>
    <w:multiLevelType w:val="hybridMultilevel"/>
    <w:tmpl w:val="F156EF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C346D"/>
    <w:multiLevelType w:val="hybridMultilevel"/>
    <w:tmpl w:val="07DCFC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5295"/>
    <w:multiLevelType w:val="hybridMultilevel"/>
    <w:tmpl w:val="DBACD1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3CB6"/>
    <w:multiLevelType w:val="multilevel"/>
    <w:tmpl w:val="83DE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D672E"/>
    <w:multiLevelType w:val="hybridMultilevel"/>
    <w:tmpl w:val="5F001DB6"/>
    <w:lvl w:ilvl="0" w:tplc="0422000F">
      <w:start w:val="1"/>
      <w:numFmt w:val="decimal"/>
      <w:lvlText w:val="%1."/>
      <w:lvlJc w:val="left"/>
      <w:pPr>
        <w:ind w:left="1788" w:hanging="360"/>
      </w:p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362E31B6"/>
    <w:multiLevelType w:val="hybridMultilevel"/>
    <w:tmpl w:val="2CAAF3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0F">
      <w:start w:val="1"/>
      <w:numFmt w:val="decimal"/>
      <w:lvlText w:val="%3."/>
      <w:lvlJc w:val="left"/>
      <w:pPr>
        <w:ind w:left="720" w:hanging="36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11FD1"/>
    <w:multiLevelType w:val="hybridMultilevel"/>
    <w:tmpl w:val="7712885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CD14366"/>
    <w:multiLevelType w:val="hybridMultilevel"/>
    <w:tmpl w:val="22821F78"/>
    <w:lvl w:ilvl="0" w:tplc="2D94D55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722A4"/>
    <w:multiLevelType w:val="hybridMultilevel"/>
    <w:tmpl w:val="63D8D7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B0205"/>
    <w:multiLevelType w:val="hybridMultilevel"/>
    <w:tmpl w:val="502616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598815">
    <w:abstractNumId w:val="6"/>
  </w:num>
  <w:num w:numId="2" w16cid:durableId="350107341">
    <w:abstractNumId w:val="7"/>
  </w:num>
  <w:num w:numId="3" w16cid:durableId="1015838400">
    <w:abstractNumId w:val="3"/>
  </w:num>
  <w:num w:numId="4" w16cid:durableId="2073187070">
    <w:abstractNumId w:val="4"/>
  </w:num>
  <w:num w:numId="5" w16cid:durableId="2088917644">
    <w:abstractNumId w:val="0"/>
  </w:num>
  <w:num w:numId="6" w16cid:durableId="1561791377">
    <w:abstractNumId w:val="9"/>
  </w:num>
  <w:num w:numId="7" w16cid:durableId="1588153295">
    <w:abstractNumId w:val="1"/>
  </w:num>
  <w:num w:numId="8" w16cid:durableId="27418795">
    <w:abstractNumId w:val="8"/>
  </w:num>
  <w:num w:numId="9" w16cid:durableId="1397165797">
    <w:abstractNumId w:val="2"/>
  </w:num>
  <w:num w:numId="10" w16cid:durableId="2010257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DB"/>
    <w:rsid w:val="00072390"/>
    <w:rsid w:val="000930FA"/>
    <w:rsid w:val="000B7DCE"/>
    <w:rsid w:val="000C7258"/>
    <w:rsid w:val="000D4BC1"/>
    <w:rsid w:val="000E0CDB"/>
    <w:rsid w:val="00107533"/>
    <w:rsid w:val="001909F4"/>
    <w:rsid w:val="002B57A3"/>
    <w:rsid w:val="003B2D21"/>
    <w:rsid w:val="004026A0"/>
    <w:rsid w:val="004760FC"/>
    <w:rsid w:val="004A3DBF"/>
    <w:rsid w:val="00513294"/>
    <w:rsid w:val="007F6DF2"/>
    <w:rsid w:val="008D1F1D"/>
    <w:rsid w:val="009C2405"/>
    <w:rsid w:val="00A23FA4"/>
    <w:rsid w:val="00A42ABB"/>
    <w:rsid w:val="00A47A39"/>
    <w:rsid w:val="00B0370C"/>
    <w:rsid w:val="00B72DA7"/>
    <w:rsid w:val="00B9597B"/>
    <w:rsid w:val="00C433D7"/>
    <w:rsid w:val="00C61731"/>
    <w:rsid w:val="00C65718"/>
    <w:rsid w:val="00CB367F"/>
    <w:rsid w:val="00DE54D9"/>
    <w:rsid w:val="00DF2831"/>
    <w:rsid w:val="00EB7E68"/>
    <w:rsid w:val="00ED536E"/>
    <w:rsid w:val="00F965B9"/>
    <w:rsid w:val="00FD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D642"/>
  <w15:chartTrackingRefBased/>
  <w15:docId w15:val="{7E30B70E-4B9C-4977-A9CB-E3A98948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0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C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C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C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0C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0C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0C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0C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0C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0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E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E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E0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E0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CDB"/>
    <w:rPr>
      <w:b/>
      <w:bCs/>
      <w:smallCaps/>
      <w:color w:val="2F5496" w:themeColor="accent1" w:themeShade="BF"/>
      <w:spacing w:val="5"/>
    </w:rPr>
  </w:style>
  <w:style w:type="character" w:customStyle="1" w:styleId="FontStyle54">
    <w:name w:val="Font Style54"/>
    <w:qFormat/>
    <w:rsid w:val="00513294"/>
    <w:rPr>
      <w:rFonts w:ascii="Times New Roman" w:hAnsi="Times New Roman" w:cs="Times New Roman"/>
      <w:sz w:val="26"/>
      <w:szCs w:val="26"/>
    </w:rPr>
  </w:style>
  <w:style w:type="paragraph" w:styleId="ae">
    <w:name w:val="Body Text"/>
    <w:basedOn w:val="a"/>
    <w:link w:val="af"/>
    <w:rsid w:val="00513294"/>
    <w:pPr>
      <w:widowControl w:val="0"/>
      <w:suppressAutoHyphens/>
      <w:spacing w:after="120" w:line="360" w:lineRule="atLeast"/>
      <w:jc w:val="both"/>
      <w:textAlignment w:val="baseline"/>
    </w:pPr>
    <w:rPr>
      <w:rFonts w:ascii="Times New Roman" w:eastAsia="SimSun" w:hAnsi="Times New Roman" w:cs="Times New Roman"/>
      <w:kern w:val="0"/>
      <w:sz w:val="20"/>
      <w:szCs w:val="20"/>
      <w:lang w:val="ru-RU" w:eastAsia="zh-CN"/>
      <w14:ligatures w14:val="none"/>
    </w:rPr>
  </w:style>
  <w:style w:type="character" w:customStyle="1" w:styleId="af">
    <w:name w:val="Основний текст Знак"/>
    <w:basedOn w:val="a0"/>
    <w:link w:val="ae"/>
    <w:rsid w:val="00513294"/>
    <w:rPr>
      <w:rFonts w:ascii="Times New Roman" w:eastAsia="SimSun" w:hAnsi="Times New Roman" w:cs="Times New Roman"/>
      <w:kern w:val="0"/>
      <w:sz w:val="20"/>
      <w:szCs w:val="20"/>
      <w:lang w:val="ru-RU" w:eastAsia="zh-CN"/>
      <w14:ligatures w14:val="none"/>
    </w:rPr>
  </w:style>
  <w:style w:type="paragraph" w:customStyle="1" w:styleId="11">
    <w:name w:val="Абзац списка1"/>
    <w:basedOn w:val="a"/>
    <w:qFormat/>
    <w:rsid w:val="00513294"/>
    <w:pPr>
      <w:suppressAutoHyphens/>
      <w:spacing w:line="252" w:lineRule="auto"/>
      <w:ind w:left="720"/>
      <w:contextualSpacing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styleId="af0">
    <w:name w:val="Hyperlink"/>
    <w:basedOn w:val="a0"/>
    <w:uiPriority w:val="99"/>
    <w:unhideWhenUsed/>
    <w:rsid w:val="000C725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C7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ive.nbuv.gov.ua/portal/soc_gum/prvs/2022_3/1294.pdf" TargetMode="External"/><Relationship Id="rId5" Type="http://schemas.openxmlformats.org/officeDocument/2006/relationships/hyperlink" Target="http://www.economy.nayka.com.ua/?op=1&amp;z=24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8663</Words>
  <Characters>4938</Characters>
  <Application>Microsoft Office Word</Application>
  <DocSecurity>0</DocSecurity>
  <Lines>41</Lines>
  <Paragraphs>27</Paragraphs>
  <ScaleCrop>false</ScaleCrop>
  <Company/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 Pav</dc:creator>
  <cp:keywords/>
  <dc:description/>
  <cp:lastModifiedBy>Ir Pav</cp:lastModifiedBy>
  <cp:revision>30</cp:revision>
  <dcterms:created xsi:type="dcterms:W3CDTF">2026-02-06T12:42:00Z</dcterms:created>
  <dcterms:modified xsi:type="dcterms:W3CDTF">2026-02-06T13:36:00Z</dcterms:modified>
</cp:coreProperties>
</file>