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AA83D" w14:textId="77777777" w:rsidR="00BE38AB" w:rsidRPr="00BE38AB" w:rsidRDefault="00BE38AB" w:rsidP="00BE38AB">
      <w:pPr>
        <w:jc w:val="center"/>
        <w:rPr>
          <w:rFonts w:ascii="Times New Roman" w:hAnsi="Times New Roman" w:cs="Times New Roman"/>
          <w:sz w:val="28"/>
          <w:szCs w:val="28"/>
        </w:rPr>
      </w:pPr>
      <w:r w:rsidRPr="00BE38AB">
        <w:rPr>
          <w:rFonts w:ascii="Times New Roman" w:hAnsi="Times New Roman" w:cs="Times New Roman"/>
          <w:b/>
          <w:sz w:val="28"/>
          <w:szCs w:val="28"/>
        </w:rPr>
        <w:t>Тема 5. Га</w:t>
      </w:r>
      <w:r w:rsidRPr="00BE38AB">
        <w:rPr>
          <w:rFonts w:ascii="Times New Roman" w:hAnsi="Times New Roman" w:cs="Times New Roman"/>
          <w:b/>
          <w:bCs/>
          <w:iCs/>
          <w:sz w:val="28"/>
          <w:szCs w:val="28"/>
        </w:rPr>
        <w:t>рмонізація приватного, економічного та господарського права</w:t>
      </w:r>
    </w:p>
    <w:p w14:paraId="6F682CFB" w14:textId="77777777" w:rsidR="00BE38AB" w:rsidRPr="00BE38AB" w:rsidRDefault="00BE38AB" w:rsidP="00BE38AB">
      <w:pPr>
        <w:pStyle w:val="a9"/>
        <w:numPr>
          <w:ilvl w:val="0"/>
          <w:numId w:val="1"/>
        </w:numPr>
        <w:rPr>
          <w:rFonts w:ascii="Times New Roman" w:hAnsi="Times New Roman" w:cs="Times New Roman"/>
          <w:iCs/>
          <w:sz w:val="28"/>
          <w:szCs w:val="28"/>
        </w:rPr>
      </w:pPr>
      <w:r w:rsidRPr="00BE38AB">
        <w:rPr>
          <w:rFonts w:ascii="Times New Roman" w:hAnsi="Times New Roman" w:cs="Times New Roman"/>
          <w:iCs/>
          <w:sz w:val="28"/>
          <w:szCs w:val="28"/>
        </w:rPr>
        <w:t xml:space="preserve">Реформування цивільного кодексу. </w:t>
      </w:r>
    </w:p>
    <w:p w14:paraId="34BD0098" w14:textId="77777777" w:rsidR="00BE38AB" w:rsidRPr="00BE38AB" w:rsidRDefault="00BE38AB" w:rsidP="00BE38AB">
      <w:pPr>
        <w:pStyle w:val="a9"/>
        <w:numPr>
          <w:ilvl w:val="0"/>
          <w:numId w:val="1"/>
        </w:numPr>
        <w:rPr>
          <w:rFonts w:ascii="Times New Roman" w:hAnsi="Times New Roman" w:cs="Times New Roman"/>
          <w:iCs/>
          <w:sz w:val="28"/>
          <w:szCs w:val="28"/>
        </w:rPr>
      </w:pPr>
      <w:r w:rsidRPr="00BE38AB">
        <w:rPr>
          <w:rFonts w:ascii="Times New Roman" w:hAnsi="Times New Roman" w:cs="Times New Roman"/>
          <w:iCs/>
          <w:sz w:val="28"/>
          <w:szCs w:val="28"/>
        </w:rPr>
        <w:t>Захист прав інтелектуальної власності.</w:t>
      </w:r>
    </w:p>
    <w:p w14:paraId="2ECD9658" w14:textId="4E469E9D" w:rsidR="00BE38AB" w:rsidRPr="00BE38AB" w:rsidRDefault="00BE38AB" w:rsidP="00BE38AB">
      <w:pPr>
        <w:pStyle w:val="a9"/>
        <w:numPr>
          <w:ilvl w:val="0"/>
          <w:numId w:val="1"/>
        </w:numPr>
        <w:rPr>
          <w:rFonts w:ascii="Times New Roman" w:hAnsi="Times New Roman" w:cs="Times New Roman"/>
          <w:iCs/>
          <w:sz w:val="28"/>
          <w:szCs w:val="28"/>
        </w:rPr>
      </w:pPr>
      <w:r w:rsidRPr="00BE38AB">
        <w:rPr>
          <w:rFonts w:ascii="Times New Roman" w:hAnsi="Times New Roman" w:cs="Times New Roman"/>
          <w:iCs/>
          <w:sz w:val="28"/>
          <w:szCs w:val="28"/>
        </w:rPr>
        <w:t xml:space="preserve">Створення сприятливого клімату для європейських інвестицій. </w:t>
      </w:r>
    </w:p>
    <w:p w14:paraId="0EF7A4DE" w14:textId="4B7C23B1" w:rsidR="00BE38AB" w:rsidRDefault="00BE38AB" w:rsidP="00BE38AB">
      <w:pPr>
        <w:pStyle w:val="a9"/>
        <w:numPr>
          <w:ilvl w:val="0"/>
          <w:numId w:val="1"/>
        </w:numPr>
        <w:rPr>
          <w:rFonts w:ascii="Times New Roman" w:hAnsi="Times New Roman" w:cs="Times New Roman"/>
          <w:iCs/>
          <w:sz w:val="28"/>
          <w:szCs w:val="28"/>
        </w:rPr>
      </w:pPr>
      <w:r w:rsidRPr="00BE38AB">
        <w:rPr>
          <w:rFonts w:ascii="Times New Roman" w:hAnsi="Times New Roman" w:cs="Times New Roman"/>
          <w:iCs/>
          <w:sz w:val="28"/>
          <w:szCs w:val="28"/>
        </w:rPr>
        <w:t xml:space="preserve">Гармонізація з Митними кодексом ЄС. </w:t>
      </w:r>
    </w:p>
    <w:p w14:paraId="57A994DA" w14:textId="77777777" w:rsidR="00EF5924" w:rsidRPr="00EF5924" w:rsidRDefault="00EF5924" w:rsidP="00EF5924">
      <w:pPr>
        <w:pStyle w:val="a9"/>
        <w:rPr>
          <w:rFonts w:ascii="Times New Roman" w:hAnsi="Times New Roman" w:cs="Times New Roman"/>
          <w:iCs/>
          <w:sz w:val="28"/>
          <w:szCs w:val="28"/>
        </w:rPr>
      </w:pPr>
    </w:p>
    <w:p w14:paraId="6598C6A9" w14:textId="54D1631B" w:rsidR="00BE38AB" w:rsidRPr="009A246D" w:rsidRDefault="00BE38AB" w:rsidP="00BE38AB">
      <w:pPr>
        <w:pStyle w:val="a9"/>
        <w:numPr>
          <w:ilvl w:val="0"/>
          <w:numId w:val="2"/>
        </w:numPr>
        <w:rPr>
          <w:rFonts w:ascii="Times New Roman" w:hAnsi="Times New Roman" w:cs="Times New Roman"/>
          <w:b/>
          <w:bCs/>
          <w:iCs/>
          <w:sz w:val="28"/>
          <w:szCs w:val="28"/>
        </w:rPr>
      </w:pPr>
      <w:r w:rsidRPr="009A246D">
        <w:rPr>
          <w:rFonts w:ascii="Times New Roman" w:hAnsi="Times New Roman" w:cs="Times New Roman"/>
          <w:b/>
          <w:bCs/>
          <w:iCs/>
          <w:sz w:val="28"/>
          <w:szCs w:val="28"/>
        </w:rPr>
        <w:t>Реформування цивільного кодексу</w:t>
      </w:r>
    </w:p>
    <w:p w14:paraId="02C2F654" w14:textId="77777777" w:rsidR="00EF5924" w:rsidRPr="00EF5924" w:rsidRDefault="00EF5924" w:rsidP="00EF5924">
      <w:pPr>
        <w:pStyle w:val="a9"/>
        <w:ind w:left="0"/>
        <w:jc w:val="both"/>
        <w:rPr>
          <w:rFonts w:ascii="Times New Roman" w:hAnsi="Times New Roman" w:cs="Times New Roman"/>
          <w:iCs/>
          <w:sz w:val="28"/>
          <w:szCs w:val="28"/>
        </w:rPr>
      </w:pPr>
      <w:r w:rsidRPr="00EF5924">
        <w:rPr>
          <w:rFonts w:ascii="Times New Roman" w:hAnsi="Times New Roman" w:cs="Times New Roman"/>
          <w:iCs/>
          <w:sz w:val="28"/>
          <w:szCs w:val="28"/>
        </w:rPr>
        <w:t>У Верховній Раді зареєстровано проєкт нового Цивільного кодексу України, що має назву «Цивільний кодекс України (Кодекс права приватного)» (</w:t>
      </w:r>
      <w:hyperlink r:id="rId5" w:tgtFrame="_blank" w:history="1">
        <w:r w:rsidRPr="00EF5924">
          <w:rPr>
            <w:rStyle w:val="ae"/>
            <w:rFonts w:ascii="Times New Roman" w:hAnsi="Times New Roman" w:cs="Times New Roman"/>
            <w:iCs/>
            <w:sz w:val="28"/>
            <w:szCs w:val="28"/>
          </w:rPr>
          <w:t>проєкт № 14394</w:t>
        </w:r>
      </w:hyperlink>
      <w:r w:rsidRPr="00EF5924">
        <w:rPr>
          <w:rFonts w:ascii="Times New Roman" w:hAnsi="Times New Roman" w:cs="Times New Roman"/>
          <w:iCs/>
          <w:sz w:val="28"/>
          <w:szCs w:val="28"/>
        </w:rPr>
        <w:t xml:space="preserve">). У проєкті йдеться не про зміну юридичної природи Кодексу чи створення нового виду нормативного </w:t>
      </w:r>
      <w:proofErr w:type="spellStart"/>
      <w:r w:rsidRPr="00EF5924">
        <w:rPr>
          <w:rFonts w:ascii="Times New Roman" w:hAnsi="Times New Roman" w:cs="Times New Roman"/>
          <w:iCs/>
          <w:sz w:val="28"/>
          <w:szCs w:val="28"/>
        </w:rPr>
        <w:t>акта</w:t>
      </w:r>
      <w:proofErr w:type="spellEnd"/>
      <w:r w:rsidRPr="00EF5924">
        <w:rPr>
          <w:rFonts w:ascii="Times New Roman" w:hAnsi="Times New Roman" w:cs="Times New Roman"/>
          <w:iCs/>
          <w:sz w:val="28"/>
          <w:szCs w:val="28"/>
        </w:rPr>
        <w:t>, а про нормативно коректну ідентифікацію його предмета та функції в оновленій архітектурі законодавства.</w:t>
      </w:r>
    </w:p>
    <w:p w14:paraId="0C709A6F" w14:textId="77777777" w:rsidR="00EF5924" w:rsidRPr="00EF5924" w:rsidRDefault="00EF5924" w:rsidP="00EF5924">
      <w:pPr>
        <w:pStyle w:val="a9"/>
        <w:ind w:left="0"/>
        <w:jc w:val="both"/>
        <w:rPr>
          <w:rFonts w:ascii="Times New Roman" w:hAnsi="Times New Roman" w:cs="Times New Roman"/>
          <w:iCs/>
          <w:sz w:val="28"/>
          <w:szCs w:val="28"/>
        </w:rPr>
      </w:pPr>
      <w:r w:rsidRPr="00EF5924">
        <w:rPr>
          <w:rFonts w:ascii="Times New Roman" w:hAnsi="Times New Roman" w:cs="Times New Roman"/>
          <w:iCs/>
          <w:sz w:val="28"/>
          <w:szCs w:val="28"/>
        </w:rPr>
        <w:t xml:space="preserve">Чинний Цивільний кодекс, ухвалений у 2003 році, за понад 20 років свого існування, на думку авторів, перестав відповідати викликам сучасності. Стрімкий розвиток технологій, поява нових економічних моделей, </w:t>
      </w:r>
      <w:proofErr w:type="spellStart"/>
      <w:r w:rsidRPr="00EF5924">
        <w:rPr>
          <w:rFonts w:ascii="Times New Roman" w:hAnsi="Times New Roman" w:cs="Times New Roman"/>
          <w:iCs/>
          <w:sz w:val="28"/>
          <w:szCs w:val="28"/>
        </w:rPr>
        <w:t>цифровізація</w:t>
      </w:r>
      <w:proofErr w:type="spellEnd"/>
      <w:r w:rsidRPr="00EF5924">
        <w:rPr>
          <w:rFonts w:ascii="Times New Roman" w:hAnsi="Times New Roman" w:cs="Times New Roman"/>
          <w:iCs/>
          <w:sz w:val="28"/>
          <w:szCs w:val="28"/>
        </w:rPr>
        <w:t xml:space="preserve"> та євроінтеграційні процеси вимагають системного оновлення.</w:t>
      </w:r>
    </w:p>
    <w:p w14:paraId="56E1445B" w14:textId="77777777" w:rsidR="00EF5924" w:rsidRPr="001A342A" w:rsidRDefault="00EF5924" w:rsidP="00C45DCC">
      <w:pPr>
        <w:pStyle w:val="a9"/>
        <w:ind w:left="0" w:firstLine="360"/>
        <w:jc w:val="both"/>
        <w:rPr>
          <w:rFonts w:ascii="Times New Roman" w:hAnsi="Times New Roman" w:cs="Times New Roman"/>
          <w:iCs/>
          <w:sz w:val="28"/>
          <w:szCs w:val="28"/>
        </w:rPr>
      </w:pPr>
      <w:r w:rsidRPr="001A342A">
        <w:rPr>
          <w:rFonts w:ascii="Times New Roman" w:hAnsi="Times New Roman" w:cs="Times New Roman"/>
          <w:iCs/>
          <w:sz w:val="28"/>
          <w:szCs w:val="28"/>
        </w:rPr>
        <w:t xml:space="preserve">Основні причини для </w:t>
      </w:r>
      <w:proofErr w:type="spellStart"/>
      <w:r w:rsidRPr="001A342A">
        <w:rPr>
          <w:rFonts w:ascii="Times New Roman" w:hAnsi="Times New Roman" w:cs="Times New Roman"/>
          <w:iCs/>
          <w:sz w:val="28"/>
          <w:szCs w:val="28"/>
        </w:rPr>
        <w:t>рекодифікації</w:t>
      </w:r>
      <w:proofErr w:type="spellEnd"/>
      <w:r w:rsidRPr="001A342A">
        <w:rPr>
          <w:rFonts w:ascii="Times New Roman" w:hAnsi="Times New Roman" w:cs="Times New Roman"/>
          <w:iCs/>
          <w:sz w:val="28"/>
          <w:szCs w:val="28"/>
        </w:rPr>
        <w:t>:</w:t>
      </w:r>
    </w:p>
    <w:p w14:paraId="1B083217" w14:textId="77777777" w:rsidR="00EF5924" w:rsidRPr="001A342A" w:rsidRDefault="00EF5924" w:rsidP="00EF5924">
      <w:pPr>
        <w:pStyle w:val="a9"/>
        <w:numPr>
          <w:ilvl w:val="0"/>
          <w:numId w:val="3"/>
        </w:numPr>
        <w:jc w:val="both"/>
        <w:rPr>
          <w:rFonts w:ascii="Times New Roman" w:hAnsi="Times New Roman" w:cs="Times New Roman"/>
          <w:iCs/>
          <w:sz w:val="28"/>
          <w:szCs w:val="28"/>
        </w:rPr>
      </w:pPr>
      <w:proofErr w:type="spellStart"/>
      <w:r w:rsidRPr="001A342A">
        <w:rPr>
          <w:rFonts w:ascii="Times New Roman" w:hAnsi="Times New Roman" w:cs="Times New Roman"/>
          <w:iCs/>
          <w:sz w:val="28"/>
          <w:szCs w:val="28"/>
        </w:rPr>
        <w:t>Дерадянізація</w:t>
      </w:r>
      <w:proofErr w:type="spellEnd"/>
      <w:r w:rsidRPr="001A342A">
        <w:rPr>
          <w:rFonts w:ascii="Times New Roman" w:hAnsi="Times New Roman" w:cs="Times New Roman"/>
          <w:iCs/>
          <w:sz w:val="28"/>
          <w:szCs w:val="28"/>
        </w:rPr>
        <w:t>: Остаточне усунення застарілих радянських підходів та термінології.</w:t>
      </w:r>
    </w:p>
    <w:p w14:paraId="24765B26" w14:textId="77777777" w:rsidR="00EF5924" w:rsidRPr="001A342A" w:rsidRDefault="00EF5924" w:rsidP="00EF5924">
      <w:pPr>
        <w:pStyle w:val="a9"/>
        <w:numPr>
          <w:ilvl w:val="0"/>
          <w:numId w:val="4"/>
        </w:numPr>
        <w:jc w:val="both"/>
        <w:rPr>
          <w:rFonts w:ascii="Times New Roman" w:hAnsi="Times New Roman" w:cs="Times New Roman"/>
          <w:iCs/>
          <w:sz w:val="28"/>
          <w:szCs w:val="28"/>
        </w:rPr>
      </w:pPr>
      <w:r w:rsidRPr="001A342A">
        <w:rPr>
          <w:rFonts w:ascii="Times New Roman" w:hAnsi="Times New Roman" w:cs="Times New Roman"/>
          <w:iCs/>
          <w:sz w:val="28"/>
          <w:szCs w:val="28"/>
        </w:rPr>
        <w:t>Системність: Інтеграція в єдиний кодекс норм </w:t>
      </w:r>
      <w:hyperlink r:id="rId6" w:tgtFrame="_blank" w:history="1">
        <w:r w:rsidRPr="001A342A">
          <w:rPr>
            <w:rStyle w:val="ae"/>
            <w:rFonts w:ascii="Times New Roman" w:hAnsi="Times New Roman" w:cs="Times New Roman"/>
            <w:iCs/>
            <w:sz w:val="28"/>
            <w:szCs w:val="28"/>
          </w:rPr>
          <w:t>Сімейного кодексу</w:t>
        </w:r>
      </w:hyperlink>
      <w:r w:rsidRPr="001A342A">
        <w:rPr>
          <w:rFonts w:ascii="Times New Roman" w:hAnsi="Times New Roman" w:cs="Times New Roman"/>
          <w:iCs/>
          <w:sz w:val="28"/>
          <w:szCs w:val="28"/>
        </w:rPr>
        <w:t> та </w:t>
      </w:r>
      <w:hyperlink r:id="rId7" w:tgtFrame="_blank" w:history="1">
        <w:r w:rsidRPr="001A342A">
          <w:rPr>
            <w:rStyle w:val="ae"/>
            <w:rFonts w:ascii="Times New Roman" w:hAnsi="Times New Roman" w:cs="Times New Roman"/>
            <w:iCs/>
            <w:sz w:val="28"/>
            <w:szCs w:val="28"/>
          </w:rPr>
          <w:t>Закону «Про міжнародне приватне право»</w:t>
        </w:r>
      </w:hyperlink>
      <w:r w:rsidRPr="001A342A">
        <w:rPr>
          <w:rFonts w:ascii="Times New Roman" w:hAnsi="Times New Roman" w:cs="Times New Roman"/>
          <w:iCs/>
          <w:sz w:val="28"/>
          <w:szCs w:val="28"/>
        </w:rPr>
        <w:t> для усунення колізій та дублювання.</w:t>
      </w:r>
    </w:p>
    <w:p w14:paraId="6B937C85" w14:textId="77777777" w:rsidR="00EF5924" w:rsidRPr="001A342A" w:rsidRDefault="00EF5924" w:rsidP="00EF5924">
      <w:pPr>
        <w:pStyle w:val="a9"/>
        <w:numPr>
          <w:ilvl w:val="0"/>
          <w:numId w:val="5"/>
        </w:numPr>
        <w:jc w:val="both"/>
        <w:rPr>
          <w:rFonts w:ascii="Times New Roman" w:hAnsi="Times New Roman" w:cs="Times New Roman"/>
          <w:iCs/>
          <w:sz w:val="28"/>
          <w:szCs w:val="28"/>
        </w:rPr>
      </w:pPr>
      <w:r w:rsidRPr="001A342A">
        <w:rPr>
          <w:rFonts w:ascii="Times New Roman" w:hAnsi="Times New Roman" w:cs="Times New Roman"/>
          <w:iCs/>
          <w:sz w:val="28"/>
          <w:szCs w:val="28"/>
        </w:rPr>
        <w:t>Модернізація: Адаптація законодавства до цифрової економіки, врегулювання статусу цифрових речей, штучного інтелекту, захисту даних у месенджерах та соцмережах.</w:t>
      </w:r>
    </w:p>
    <w:p w14:paraId="141CF19B" w14:textId="77777777" w:rsidR="00EF5924" w:rsidRPr="001A342A" w:rsidRDefault="00EF5924" w:rsidP="00EF5924">
      <w:pPr>
        <w:pStyle w:val="a9"/>
        <w:numPr>
          <w:ilvl w:val="0"/>
          <w:numId w:val="6"/>
        </w:numPr>
        <w:jc w:val="both"/>
        <w:rPr>
          <w:rFonts w:ascii="Times New Roman" w:hAnsi="Times New Roman" w:cs="Times New Roman"/>
          <w:iCs/>
          <w:sz w:val="28"/>
          <w:szCs w:val="28"/>
        </w:rPr>
      </w:pPr>
      <w:r w:rsidRPr="001A342A">
        <w:rPr>
          <w:rFonts w:ascii="Times New Roman" w:hAnsi="Times New Roman" w:cs="Times New Roman"/>
          <w:iCs/>
          <w:sz w:val="28"/>
          <w:szCs w:val="28"/>
        </w:rPr>
        <w:t>Євроінтеграція: Гармонізація українського приватного права з європейськими стандартами (зокрема, DCFR, PECL, PETL) та принципами UNIDROIT.</w:t>
      </w:r>
    </w:p>
    <w:p w14:paraId="356D8161" w14:textId="77777777" w:rsidR="00EF5924" w:rsidRPr="001A342A" w:rsidRDefault="00EF5924" w:rsidP="00EF5924">
      <w:pPr>
        <w:pStyle w:val="a9"/>
        <w:numPr>
          <w:ilvl w:val="0"/>
          <w:numId w:val="7"/>
        </w:numPr>
        <w:jc w:val="both"/>
        <w:rPr>
          <w:rFonts w:ascii="Times New Roman" w:hAnsi="Times New Roman" w:cs="Times New Roman"/>
          <w:iCs/>
          <w:sz w:val="28"/>
          <w:szCs w:val="28"/>
        </w:rPr>
      </w:pPr>
      <w:r w:rsidRPr="001A342A">
        <w:rPr>
          <w:rFonts w:ascii="Times New Roman" w:hAnsi="Times New Roman" w:cs="Times New Roman"/>
          <w:iCs/>
          <w:sz w:val="28"/>
          <w:szCs w:val="28"/>
        </w:rPr>
        <w:t>Підвищення ефективності: Створення більш зрозумілих, передбачуваних та ефективних механізмів захисту прав власності, виконання договорів та вирішення спорів.</w:t>
      </w:r>
    </w:p>
    <w:p w14:paraId="7ED2CB24" w14:textId="4A8437E4" w:rsidR="00EF5924" w:rsidRPr="001A342A" w:rsidRDefault="00EF5924" w:rsidP="00EF5924">
      <w:pPr>
        <w:shd w:val="clear" w:color="auto" w:fill="FFFFFF"/>
        <w:spacing w:after="450" w:line="240" w:lineRule="auto"/>
        <w:jc w:val="both"/>
        <w:rPr>
          <w:rFonts w:ascii="Times New Roman" w:eastAsia="Times New Roman" w:hAnsi="Times New Roman" w:cs="Times New Roman"/>
          <w:color w:val="2F2F2F"/>
          <w:kern w:val="0"/>
          <w:sz w:val="28"/>
          <w:szCs w:val="28"/>
          <w:lang w:eastAsia="uk-UA"/>
          <w14:ligatures w14:val="none"/>
        </w:rPr>
      </w:pPr>
      <w:r w:rsidRPr="001A342A">
        <w:rPr>
          <w:rFonts w:ascii="Times New Roman" w:eastAsia="Times New Roman" w:hAnsi="Times New Roman" w:cs="Times New Roman"/>
          <w:color w:val="2F2F2F"/>
          <w:kern w:val="0"/>
          <w:sz w:val="28"/>
          <w:szCs w:val="28"/>
          <w:lang w:eastAsia="uk-UA"/>
          <w14:ligatures w14:val="none"/>
        </w:rPr>
        <w:t>Новий кодекс матиме дев'ять книг, що охоплюють усе ядро приватного права</w:t>
      </w:r>
      <w:r w:rsidR="009A06FA">
        <w:rPr>
          <w:rFonts w:ascii="Times New Roman" w:eastAsia="Times New Roman" w:hAnsi="Times New Roman" w:cs="Times New Roman"/>
          <w:color w:val="2F2F2F"/>
          <w:kern w:val="0"/>
          <w:sz w:val="28"/>
          <w:szCs w:val="28"/>
          <w:lang w:eastAsia="uk-UA"/>
          <w14:ligatures w14:val="none"/>
        </w:rPr>
        <w:t>.</w:t>
      </w:r>
      <w:r w:rsidRPr="001A342A">
        <w:rPr>
          <w:rFonts w:ascii="Times New Roman" w:eastAsia="Times New Roman" w:hAnsi="Times New Roman" w:cs="Times New Roman"/>
          <w:color w:val="2F2F2F"/>
          <w:kern w:val="0"/>
          <w:sz w:val="28"/>
          <w:szCs w:val="28"/>
          <w:lang w:eastAsia="uk-UA"/>
          <w14:ligatures w14:val="none"/>
        </w:rPr>
        <w:t xml:space="preserve"> </w:t>
      </w:r>
    </w:p>
    <w:p w14:paraId="51D1D571" w14:textId="772919E1" w:rsidR="00EF5924" w:rsidRPr="001A342A" w:rsidRDefault="00EF5924" w:rsidP="00584CF3">
      <w:pPr>
        <w:shd w:val="clear" w:color="auto" w:fill="FFFFFF"/>
        <w:spacing w:after="450" w:line="240" w:lineRule="auto"/>
        <w:ind w:firstLine="708"/>
        <w:rPr>
          <w:rFonts w:ascii="Times New Roman" w:eastAsia="Times New Roman" w:hAnsi="Times New Roman" w:cs="Times New Roman"/>
          <w:color w:val="2F2F2F"/>
          <w:kern w:val="0"/>
          <w:sz w:val="27"/>
          <w:szCs w:val="27"/>
          <w:lang w:eastAsia="uk-UA"/>
          <w14:ligatures w14:val="none"/>
        </w:rPr>
      </w:pPr>
      <w:r w:rsidRPr="001A342A">
        <w:rPr>
          <w:rFonts w:ascii="Times New Roman" w:eastAsia="Times New Roman" w:hAnsi="Times New Roman" w:cs="Times New Roman"/>
          <w:color w:val="2F2F2F"/>
          <w:kern w:val="0"/>
          <w:sz w:val="27"/>
          <w:szCs w:val="27"/>
          <w:lang w:eastAsia="uk-UA"/>
          <w14:ligatures w14:val="none"/>
        </w:rPr>
        <w:t>Ключові зміни та новели за книгами:</w:t>
      </w:r>
    </w:p>
    <w:tbl>
      <w:tblPr>
        <w:tblW w:w="5000" w:type="pct"/>
        <w:jc w:val="center"/>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791"/>
        <w:gridCol w:w="6832"/>
      </w:tblGrid>
      <w:tr w:rsidR="00EF5924" w:rsidRPr="009A246D" w14:paraId="259F099C" w14:textId="77777777">
        <w:trPr>
          <w:jc w:val="center"/>
        </w:trPr>
        <w:tc>
          <w:tcPr>
            <w:tcW w:w="1450" w:type="pct"/>
            <w:tcBorders>
              <w:top w:val="outset" w:sz="6" w:space="0" w:color="auto"/>
              <w:left w:val="outset" w:sz="6" w:space="0" w:color="auto"/>
              <w:bottom w:val="outset" w:sz="6" w:space="0" w:color="auto"/>
              <w:right w:val="outset" w:sz="6" w:space="0" w:color="auto"/>
            </w:tcBorders>
            <w:hideMark/>
          </w:tcPr>
          <w:p w14:paraId="79F62D8F" w14:textId="77777777" w:rsidR="00EF5924" w:rsidRPr="009A246D" w:rsidRDefault="00EF5924" w:rsidP="00EF5924">
            <w:pPr>
              <w:spacing w:after="450" w:line="240" w:lineRule="auto"/>
              <w:rPr>
                <w:rFonts w:ascii="Times New Roman" w:eastAsia="Times New Roman" w:hAnsi="Times New Roman" w:cs="Times New Roman"/>
                <w:kern w:val="0"/>
                <w:sz w:val="24"/>
                <w:szCs w:val="24"/>
                <w:lang w:eastAsia="uk-UA"/>
                <w14:ligatures w14:val="none"/>
              </w:rPr>
            </w:pPr>
            <w:r w:rsidRPr="009A246D">
              <w:rPr>
                <w:rFonts w:ascii="Times New Roman" w:eastAsia="Times New Roman" w:hAnsi="Times New Roman" w:cs="Times New Roman"/>
                <w:kern w:val="0"/>
                <w:sz w:val="24"/>
                <w:szCs w:val="24"/>
                <w:lang w:eastAsia="uk-UA"/>
                <w14:ligatures w14:val="none"/>
              </w:rPr>
              <w:t>Книга</w:t>
            </w:r>
          </w:p>
        </w:tc>
        <w:tc>
          <w:tcPr>
            <w:tcW w:w="3550" w:type="pct"/>
            <w:tcBorders>
              <w:top w:val="outset" w:sz="6" w:space="0" w:color="auto"/>
              <w:left w:val="outset" w:sz="6" w:space="0" w:color="auto"/>
              <w:bottom w:val="outset" w:sz="6" w:space="0" w:color="auto"/>
              <w:right w:val="outset" w:sz="6" w:space="0" w:color="auto"/>
            </w:tcBorders>
            <w:hideMark/>
          </w:tcPr>
          <w:p w14:paraId="743EBB29" w14:textId="77777777" w:rsidR="00EF5924" w:rsidRPr="009A246D" w:rsidRDefault="00EF5924" w:rsidP="00EF5924">
            <w:pPr>
              <w:spacing w:after="450" w:line="240" w:lineRule="auto"/>
              <w:rPr>
                <w:rFonts w:ascii="Times New Roman" w:eastAsia="Times New Roman" w:hAnsi="Times New Roman" w:cs="Times New Roman"/>
                <w:kern w:val="0"/>
                <w:sz w:val="24"/>
                <w:szCs w:val="24"/>
                <w:lang w:eastAsia="uk-UA"/>
                <w14:ligatures w14:val="none"/>
              </w:rPr>
            </w:pPr>
            <w:r w:rsidRPr="009A246D">
              <w:rPr>
                <w:rFonts w:ascii="Times New Roman" w:eastAsia="Times New Roman" w:hAnsi="Times New Roman" w:cs="Times New Roman"/>
                <w:kern w:val="0"/>
                <w:sz w:val="24"/>
                <w:szCs w:val="24"/>
                <w:lang w:eastAsia="uk-UA"/>
                <w14:ligatures w14:val="none"/>
              </w:rPr>
              <w:t>Основні новели</w:t>
            </w:r>
          </w:p>
        </w:tc>
      </w:tr>
      <w:tr w:rsidR="00EF5924" w:rsidRPr="009A246D" w14:paraId="3721B598" w14:textId="77777777">
        <w:trPr>
          <w:jc w:val="center"/>
        </w:trPr>
        <w:tc>
          <w:tcPr>
            <w:tcW w:w="1450" w:type="pct"/>
            <w:tcBorders>
              <w:top w:val="outset" w:sz="6" w:space="0" w:color="auto"/>
              <w:left w:val="outset" w:sz="6" w:space="0" w:color="auto"/>
              <w:bottom w:val="outset" w:sz="6" w:space="0" w:color="auto"/>
              <w:right w:val="outset" w:sz="6" w:space="0" w:color="auto"/>
            </w:tcBorders>
            <w:hideMark/>
          </w:tcPr>
          <w:p w14:paraId="614066EF" w14:textId="77777777" w:rsidR="00EF5924" w:rsidRPr="009A06FA" w:rsidRDefault="00EF5924" w:rsidP="00EF5924">
            <w:pPr>
              <w:spacing w:after="450" w:line="240" w:lineRule="auto"/>
              <w:rPr>
                <w:rFonts w:ascii="Times New Roman" w:eastAsia="Times New Roman" w:hAnsi="Times New Roman" w:cs="Times New Roman"/>
                <w:kern w:val="0"/>
                <w:sz w:val="24"/>
                <w:szCs w:val="24"/>
                <w:lang w:eastAsia="uk-UA"/>
                <w14:ligatures w14:val="none"/>
              </w:rPr>
            </w:pPr>
            <w:r w:rsidRPr="009A06FA">
              <w:rPr>
                <w:rFonts w:ascii="Times New Roman" w:eastAsia="Times New Roman" w:hAnsi="Times New Roman" w:cs="Times New Roman"/>
                <w:kern w:val="0"/>
                <w:sz w:val="24"/>
                <w:szCs w:val="24"/>
                <w:lang w:eastAsia="uk-UA"/>
                <w14:ligatures w14:val="none"/>
              </w:rPr>
              <w:t>1. Загальна частина</w:t>
            </w:r>
          </w:p>
        </w:tc>
        <w:tc>
          <w:tcPr>
            <w:tcW w:w="3550" w:type="pct"/>
            <w:tcBorders>
              <w:top w:val="outset" w:sz="6" w:space="0" w:color="auto"/>
              <w:left w:val="outset" w:sz="6" w:space="0" w:color="auto"/>
              <w:bottom w:val="outset" w:sz="6" w:space="0" w:color="auto"/>
              <w:right w:val="outset" w:sz="6" w:space="0" w:color="auto"/>
            </w:tcBorders>
            <w:hideMark/>
          </w:tcPr>
          <w:p w14:paraId="7EB9C0AD" w14:textId="77777777" w:rsidR="00EF5924" w:rsidRPr="009A246D" w:rsidRDefault="00EF5924" w:rsidP="00EF5924">
            <w:pPr>
              <w:spacing w:after="450" w:line="240" w:lineRule="auto"/>
              <w:rPr>
                <w:rFonts w:ascii="Times New Roman" w:eastAsia="Times New Roman" w:hAnsi="Times New Roman" w:cs="Times New Roman"/>
                <w:kern w:val="0"/>
                <w:sz w:val="24"/>
                <w:szCs w:val="24"/>
                <w:lang w:eastAsia="uk-UA"/>
                <w14:ligatures w14:val="none"/>
              </w:rPr>
            </w:pPr>
            <w:r w:rsidRPr="009A246D">
              <w:rPr>
                <w:rFonts w:ascii="Times New Roman" w:eastAsia="Times New Roman" w:hAnsi="Times New Roman" w:cs="Times New Roman"/>
                <w:kern w:val="0"/>
                <w:sz w:val="24"/>
                <w:szCs w:val="24"/>
                <w:lang w:eastAsia="uk-UA"/>
                <w14:ligatures w14:val="none"/>
              </w:rPr>
              <w:t xml:space="preserve">Розширення засад приватного права (добросовісність, справедливість, заборона суперечливої поведінки). Вичерпний перелік організаційно-правових форм </w:t>
            </w:r>
            <w:proofErr w:type="spellStart"/>
            <w:r w:rsidRPr="009A246D">
              <w:rPr>
                <w:rFonts w:ascii="Times New Roman" w:eastAsia="Times New Roman" w:hAnsi="Times New Roman" w:cs="Times New Roman"/>
                <w:kern w:val="0"/>
                <w:sz w:val="24"/>
                <w:szCs w:val="24"/>
                <w:lang w:eastAsia="uk-UA"/>
                <w14:ligatures w14:val="none"/>
              </w:rPr>
              <w:t>юросіб</w:t>
            </w:r>
            <w:proofErr w:type="spellEnd"/>
            <w:r w:rsidRPr="009A246D">
              <w:rPr>
                <w:rFonts w:ascii="Times New Roman" w:eastAsia="Times New Roman" w:hAnsi="Times New Roman" w:cs="Times New Roman"/>
                <w:kern w:val="0"/>
                <w:sz w:val="24"/>
                <w:szCs w:val="24"/>
                <w:lang w:eastAsia="uk-UA"/>
                <w14:ligatures w14:val="none"/>
              </w:rPr>
              <w:t xml:space="preserve">. Кодифікація корпоративного договору та запровадження похідного позову. </w:t>
            </w:r>
            <w:r w:rsidRPr="009A246D">
              <w:rPr>
                <w:rFonts w:ascii="Times New Roman" w:eastAsia="Times New Roman" w:hAnsi="Times New Roman" w:cs="Times New Roman"/>
                <w:kern w:val="0"/>
                <w:sz w:val="24"/>
                <w:szCs w:val="24"/>
                <w:lang w:eastAsia="uk-UA"/>
                <w14:ligatures w14:val="none"/>
              </w:rPr>
              <w:lastRenderedPageBreak/>
              <w:t xml:space="preserve">Вдосконалення інституту недійсності правочинів, запровадження </w:t>
            </w:r>
            <w:proofErr w:type="spellStart"/>
            <w:r w:rsidRPr="009A246D">
              <w:rPr>
                <w:rFonts w:ascii="Times New Roman" w:eastAsia="Times New Roman" w:hAnsi="Times New Roman" w:cs="Times New Roman"/>
                <w:kern w:val="0"/>
                <w:sz w:val="24"/>
                <w:szCs w:val="24"/>
                <w:lang w:eastAsia="uk-UA"/>
                <w14:ligatures w14:val="none"/>
              </w:rPr>
              <w:t>фраудаторних</w:t>
            </w:r>
            <w:proofErr w:type="spellEnd"/>
            <w:r w:rsidRPr="009A246D">
              <w:rPr>
                <w:rFonts w:ascii="Times New Roman" w:eastAsia="Times New Roman" w:hAnsi="Times New Roman" w:cs="Times New Roman"/>
                <w:kern w:val="0"/>
                <w:sz w:val="24"/>
                <w:szCs w:val="24"/>
                <w:lang w:eastAsia="uk-UA"/>
                <w14:ligatures w14:val="none"/>
              </w:rPr>
              <w:t xml:space="preserve"> конструкцій.</w:t>
            </w:r>
          </w:p>
        </w:tc>
      </w:tr>
      <w:tr w:rsidR="00EF5924" w:rsidRPr="009A246D" w14:paraId="5D00E5DC" w14:textId="77777777">
        <w:trPr>
          <w:jc w:val="center"/>
        </w:trPr>
        <w:tc>
          <w:tcPr>
            <w:tcW w:w="1450" w:type="pct"/>
            <w:tcBorders>
              <w:top w:val="outset" w:sz="6" w:space="0" w:color="auto"/>
              <w:left w:val="outset" w:sz="6" w:space="0" w:color="auto"/>
              <w:bottom w:val="outset" w:sz="6" w:space="0" w:color="auto"/>
              <w:right w:val="outset" w:sz="6" w:space="0" w:color="auto"/>
            </w:tcBorders>
            <w:hideMark/>
          </w:tcPr>
          <w:p w14:paraId="23404EBA" w14:textId="77777777" w:rsidR="00EF5924" w:rsidRPr="009A06FA" w:rsidRDefault="00EF5924" w:rsidP="00EF5924">
            <w:pPr>
              <w:spacing w:after="450" w:line="240" w:lineRule="auto"/>
              <w:rPr>
                <w:rFonts w:ascii="Times New Roman" w:eastAsia="Times New Roman" w:hAnsi="Times New Roman" w:cs="Times New Roman"/>
                <w:kern w:val="0"/>
                <w:sz w:val="24"/>
                <w:szCs w:val="24"/>
                <w:lang w:eastAsia="uk-UA"/>
                <w14:ligatures w14:val="none"/>
              </w:rPr>
            </w:pPr>
            <w:r w:rsidRPr="009A06FA">
              <w:rPr>
                <w:rFonts w:ascii="Times New Roman" w:eastAsia="Times New Roman" w:hAnsi="Times New Roman" w:cs="Times New Roman"/>
                <w:kern w:val="0"/>
                <w:sz w:val="24"/>
                <w:szCs w:val="24"/>
                <w:lang w:eastAsia="uk-UA"/>
                <w14:ligatures w14:val="none"/>
              </w:rPr>
              <w:lastRenderedPageBreak/>
              <w:t>2. Право особисте</w:t>
            </w:r>
          </w:p>
        </w:tc>
        <w:tc>
          <w:tcPr>
            <w:tcW w:w="3550" w:type="pct"/>
            <w:tcBorders>
              <w:top w:val="outset" w:sz="6" w:space="0" w:color="auto"/>
              <w:left w:val="outset" w:sz="6" w:space="0" w:color="auto"/>
              <w:bottom w:val="outset" w:sz="6" w:space="0" w:color="auto"/>
              <w:right w:val="outset" w:sz="6" w:space="0" w:color="auto"/>
            </w:tcBorders>
            <w:hideMark/>
          </w:tcPr>
          <w:p w14:paraId="75190C7C" w14:textId="77777777" w:rsidR="00EF5924" w:rsidRPr="009A246D" w:rsidRDefault="00EF5924" w:rsidP="00EF5924">
            <w:pPr>
              <w:spacing w:after="450" w:line="240" w:lineRule="auto"/>
              <w:rPr>
                <w:rFonts w:ascii="Times New Roman" w:eastAsia="Times New Roman" w:hAnsi="Times New Roman" w:cs="Times New Roman"/>
                <w:kern w:val="0"/>
                <w:sz w:val="24"/>
                <w:szCs w:val="24"/>
                <w:lang w:eastAsia="uk-UA"/>
                <w14:ligatures w14:val="none"/>
              </w:rPr>
            </w:pPr>
            <w:r w:rsidRPr="009A246D">
              <w:rPr>
                <w:rFonts w:ascii="Times New Roman" w:eastAsia="Times New Roman" w:hAnsi="Times New Roman" w:cs="Times New Roman"/>
                <w:kern w:val="0"/>
                <w:sz w:val="24"/>
                <w:szCs w:val="24"/>
                <w:lang w:eastAsia="uk-UA"/>
                <w14:ligatures w14:val="none"/>
              </w:rPr>
              <w:t xml:space="preserve">Модернізація захисту особистих прав в цифрову епоху: захист комунікацій у месенджерах, право на "цифрову </w:t>
            </w:r>
            <w:proofErr w:type="spellStart"/>
            <w:r w:rsidRPr="009A246D">
              <w:rPr>
                <w:rFonts w:ascii="Times New Roman" w:eastAsia="Times New Roman" w:hAnsi="Times New Roman" w:cs="Times New Roman"/>
                <w:kern w:val="0"/>
                <w:sz w:val="24"/>
                <w:szCs w:val="24"/>
                <w:lang w:eastAsia="uk-UA"/>
                <w14:ligatures w14:val="none"/>
              </w:rPr>
              <w:t>приватність</w:t>
            </w:r>
            <w:proofErr w:type="spellEnd"/>
            <w:r w:rsidRPr="009A246D">
              <w:rPr>
                <w:rFonts w:ascii="Times New Roman" w:eastAsia="Times New Roman" w:hAnsi="Times New Roman" w:cs="Times New Roman"/>
                <w:kern w:val="0"/>
                <w:sz w:val="24"/>
                <w:szCs w:val="24"/>
                <w:lang w:eastAsia="uk-UA"/>
                <w14:ligatures w14:val="none"/>
              </w:rPr>
              <w:t>". Чіткі стандарти тілесної та психічної автономії, включаючи розпорядження репродуктивним матеріалом.</w:t>
            </w:r>
          </w:p>
        </w:tc>
      </w:tr>
      <w:tr w:rsidR="00EF5924" w:rsidRPr="009A246D" w14:paraId="3462BCEC" w14:textId="77777777">
        <w:trPr>
          <w:jc w:val="center"/>
        </w:trPr>
        <w:tc>
          <w:tcPr>
            <w:tcW w:w="1450" w:type="pct"/>
            <w:tcBorders>
              <w:top w:val="outset" w:sz="6" w:space="0" w:color="auto"/>
              <w:left w:val="outset" w:sz="6" w:space="0" w:color="auto"/>
              <w:bottom w:val="outset" w:sz="6" w:space="0" w:color="auto"/>
              <w:right w:val="outset" w:sz="6" w:space="0" w:color="auto"/>
            </w:tcBorders>
            <w:hideMark/>
          </w:tcPr>
          <w:p w14:paraId="067F09A8" w14:textId="77777777" w:rsidR="00EF5924" w:rsidRPr="009A06FA" w:rsidRDefault="00EF5924" w:rsidP="00EF5924">
            <w:pPr>
              <w:spacing w:after="450" w:line="240" w:lineRule="auto"/>
              <w:rPr>
                <w:rFonts w:ascii="Times New Roman" w:eastAsia="Times New Roman" w:hAnsi="Times New Roman" w:cs="Times New Roman"/>
                <w:kern w:val="0"/>
                <w:sz w:val="24"/>
                <w:szCs w:val="24"/>
                <w:lang w:eastAsia="uk-UA"/>
                <w14:ligatures w14:val="none"/>
              </w:rPr>
            </w:pPr>
            <w:r w:rsidRPr="009A06FA">
              <w:rPr>
                <w:rFonts w:ascii="Times New Roman" w:eastAsia="Times New Roman" w:hAnsi="Times New Roman" w:cs="Times New Roman"/>
                <w:kern w:val="0"/>
                <w:sz w:val="24"/>
                <w:szCs w:val="24"/>
                <w:lang w:eastAsia="uk-UA"/>
                <w14:ligatures w14:val="none"/>
              </w:rPr>
              <w:t>3. Право речове</w:t>
            </w:r>
          </w:p>
        </w:tc>
        <w:tc>
          <w:tcPr>
            <w:tcW w:w="3550" w:type="pct"/>
            <w:tcBorders>
              <w:top w:val="outset" w:sz="6" w:space="0" w:color="auto"/>
              <w:left w:val="outset" w:sz="6" w:space="0" w:color="auto"/>
              <w:bottom w:val="outset" w:sz="6" w:space="0" w:color="auto"/>
              <w:right w:val="outset" w:sz="6" w:space="0" w:color="auto"/>
            </w:tcBorders>
            <w:hideMark/>
          </w:tcPr>
          <w:p w14:paraId="52A2389D" w14:textId="77777777" w:rsidR="00EF5924" w:rsidRPr="009A06FA" w:rsidRDefault="00EF5924" w:rsidP="00EF5924">
            <w:pPr>
              <w:spacing w:after="450" w:line="240" w:lineRule="auto"/>
              <w:rPr>
                <w:rFonts w:ascii="Times New Roman" w:eastAsia="Times New Roman" w:hAnsi="Times New Roman" w:cs="Times New Roman"/>
                <w:kern w:val="0"/>
                <w:sz w:val="24"/>
                <w:szCs w:val="24"/>
                <w:lang w:eastAsia="uk-UA"/>
                <w14:ligatures w14:val="none"/>
              </w:rPr>
            </w:pPr>
            <w:r w:rsidRPr="009A06FA">
              <w:rPr>
                <w:rFonts w:ascii="Times New Roman" w:eastAsia="Times New Roman" w:hAnsi="Times New Roman" w:cs="Times New Roman"/>
                <w:kern w:val="0"/>
                <w:sz w:val="24"/>
                <w:szCs w:val="24"/>
                <w:lang w:eastAsia="uk-UA"/>
                <w14:ligatures w14:val="none"/>
              </w:rPr>
              <w:t>Послідовне втілення принципу </w:t>
            </w:r>
            <w:proofErr w:type="spellStart"/>
            <w:r w:rsidRPr="009A06FA">
              <w:rPr>
                <w:rFonts w:ascii="Times New Roman" w:eastAsia="Times New Roman" w:hAnsi="Times New Roman" w:cs="Times New Roman"/>
                <w:i/>
                <w:iCs/>
                <w:kern w:val="0"/>
                <w:sz w:val="24"/>
                <w:szCs w:val="24"/>
                <w:lang w:eastAsia="uk-UA"/>
                <w14:ligatures w14:val="none"/>
              </w:rPr>
              <w:t>superficies</w:t>
            </w:r>
            <w:proofErr w:type="spellEnd"/>
            <w:r w:rsidRPr="009A06FA">
              <w:rPr>
                <w:rFonts w:ascii="Times New Roman" w:eastAsia="Times New Roman" w:hAnsi="Times New Roman" w:cs="Times New Roman"/>
                <w:i/>
                <w:iCs/>
                <w:kern w:val="0"/>
                <w:sz w:val="24"/>
                <w:szCs w:val="24"/>
                <w:lang w:eastAsia="uk-UA"/>
                <w14:ligatures w14:val="none"/>
              </w:rPr>
              <w:t xml:space="preserve"> </w:t>
            </w:r>
            <w:proofErr w:type="spellStart"/>
            <w:r w:rsidRPr="009A06FA">
              <w:rPr>
                <w:rFonts w:ascii="Times New Roman" w:eastAsia="Times New Roman" w:hAnsi="Times New Roman" w:cs="Times New Roman"/>
                <w:i/>
                <w:iCs/>
                <w:kern w:val="0"/>
                <w:sz w:val="24"/>
                <w:szCs w:val="24"/>
                <w:lang w:eastAsia="uk-UA"/>
                <w14:ligatures w14:val="none"/>
              </w:rPr>
              <w:t>solo</w:t>
            </w:r>
            <w:proofErr w:type="spellEnd"/>
            <w:r w:rsidRPr="009A06FA">
              <w:rPr>
                <w:rFonts w:ascii="Times New Roman" w:eastAsia="Times New Roman" w:hAnsi="Times New Roman" w:cs="Times New Roman"/>
                <w:i/>
                <w:iCs/>
                <w:kern w:val="0"/>
                <w:sz w:val="24"/>
                <w:szCs w:val="24"/>
                <w:lang w:eastAsia="uk-UA"/>
                <w14:ligatures w14:val="none"/>
              </w:rPr>
              <w:t xml:space="preserve"> </w:t>
            </w:r>
            <w:proofErr w:type="spellStart"/>
            <w:r w:rsidRPr="009A06FA">
              <w:rPr>
                <w:rFonts w:ascii="Times New Roman" w:eastAsia="Times New Roman" w:hAnsi="Times New Roman" w:cs="Times New Roman"/>
                <w:i/>
                <w:iCs/>
                <w:kern w:val="0"/>
                <w:sz w:val="24"/>
                <w:szCs w:val="24"/>
                <w:lang w:eastAsia="uk-UA"/>
                <w14:ligatures w14:val="none"/>
              </w:rPr>
              <w:t>cedit</w:t>
            </w:r>
            <w:proofErr w:type="spellEnd"/>
            <w:r w:rsidRPr="009A06FA">
              <w:rPr>
                <w:rFonts w:ascii="Times New Roman" w:eastAsia="Times New Roman" w:hAnsi="Times New Roman" w:cs="Times New Roman"/>
                <w:kern w:val="0"/>
                <w:sz w:val="24"/>
                <w:szCs w:val="24"/>
                <w:lang w:eastAsia="uk-UA"/>
                <w14:ligatures w14:val="none"/>
              </w:rPr>
              <w:t>. Системна модель кондомініуму. Новий каталог обмежених речових прав: право очікування, право переважної купівлі. Детальна регламентація посідання як інструменту захисту.</w:t>
            </w:r>
          </w:p>
        </w:tc>
      </w:tr>
      <w:tr w:rsidR="00EF5924" w:rsidRPr="009A246D" w14:paraId="0F42C2EE" w14:textId="77777777">
        <w:trPr>
          <w:jc w:val="center"/>
        </w:trPr>
        <w:tc>
          <w:tcPr>
            <w:tcW w:w="1450" w:type="pct"/>
            <w:tcBorders>
              <w:top w:val="outset" w:sz="6" w:space="0" w:color="auto"/>
              <w:left w:val="outset" w:sz="6" w:space="0" w:color="auto"/>
              <w:bottom w:val="outset" w:sz="6" w:space="0" w:color="auto"/>
              <w:right w:val="outset" w:sz="6" w:space="0" w:color="auto"/>
            </w:tcBorders>
            <w:hideMark/>
          </w:tcPr>
          <w:p w14:paraId="4AF67410" w14:textId="77777777" w:rsidR="00EF5924" w:rsidRPr="009A06FA" w:rsidRDefault="00EF5924" w:rsidP="00EF5924">
            <w:pPr>
              <w:spacing w:after="450" w:line="240" w:lineRule="auto"/>
              <w:rPr>
                <w:rFonts w:ascii="Times New Roman" w:eastAsia="Times New Roman" w:hAnsi="Times New Roman" w:cs="Times New Roman"/>
                <w:kern w:val="0"/>
                <w:sz w:val="24"/>
                <w:szCs w:val="24"/>
                <w:lang w:eastAsia="uk-UA"/>
                <w14:ligatures w14:val="none"/>
              </w:rPr>
            </w:pPr>
            <w:r w:rsidRPr="009A06FA">
              <w:rPr>
                <w:rFonts w:ascii="Times New Roman" w:eastAsia="Times New Roman" w:hAnsi="Times New Roman" w:cs="Times New Roman"/>
                <w:kern w:val="0"/>
                <w:sz w:val="24"/>
                <w:szCs w:val="24"/>
                <w:lang w:eastAsia="uk-UA"/>
                <w14:ligatures w14:val="none"/>
              </w:rPr>
              <w:t>4. Право інтелектуальної власності</w:t>
            </w:r>
          </w:p>
        </w:tc>
        <w:tc>
          <w:tcPr>
            <w:tcW w:w="3550" w:type="pct"/>
            <w:tcBorders>
              <w:top w:val="outset" w:sz="6" w:space="0" w:color="auto"/>
              <w:left w:val="outset" w:sz="6" w:space="0" w:color="auto"/>
              <w:bottom w:val="outset" w:sz="6" w:space="0" w:color="auto"/>
              <w:right w:val="outset" w:sz="6" w:space="0" w:color="auto"/>
            </w:tcBorders>
            <w:hideMark/>
          </w:tcPr>
          <w:p w14:paraId="6BCF6AD8" w14:textId="77777777" w:rsidR="00EF5924" w:rsidRPr="009A06FA" w:rsidRDefault="00EF5924" w:rsidP="00EF5924">
            <w:pPr>
              <w:spacing w:after="450" w:line="240" w:lineRule="auto"/>
              <w:rPr>
                <w:rFonts w:ascii="Times New Roman" w:eastAsia="Times New Roman" w:hAnsi="Times New Roman" w:cs="Times New Roman"/>
                <w:kern w:val="0"/>
                <w:sz w:val="24"/>
                <w:szCs w:val="24"/>
                <w:lang w:eastAsia="uk-UA"/>
                <w14:ligatures w14:val="none"/>
              </w:rPr>
            </w:pPr>
            <w:r w:rsidRPr="009A06FA">
              <w:rPr>
                <w:rFonts w:ascii="Times New Roman" w:eastAsia="Times New Roman" w:hAnsi="Times New Roman" w:cs="Times New Roman"/>
                <w:kern w:val="0"/>
                <w:sz w:val="24"/>
                <w:szCs w:val="24"/>
                <w:lang w:eastAsia="uk-UA"/>
                <w14:ligatures w14:val="none"/>
              </w:rPr>
              <w:t xml:space="preserve">Адаптація до цифрових реалій: врегулювання глибинного аналізу тексту та даних (TDM), зокрема для тренування ШІ. Кодифікація публічної ліцензії та права на справедливу винагороду. Введення права </w:t>
            </w:r>
            <w:proofErr w:type="spellStart"/>
            <w:r w:rsidRPr="009A06FA">
              <w:rPr>
                <w:rFonts w:ascii="Times New Roman" w:eastAsia="Times New Roman" w:hAnsi="Times New Roman" w:cs="Times New Roman"/>
                <w:kern w:val="0"/>
                <w:sz w:val="24"/>
                <w:szCs w:val="24"/>
                <w:lang w:eastAsia="uk-UA"/>
                <w14:ligatures w14:val="none"/>
              </w:rPr>
              <w:t>sui</w:t>
            </w:r>
            <w:proofErr w:type="spellEnd"/>
            <w:r w:rsidRPr="009A06FA">
              <w:rPr>
                <w:rFonts w:ascii="Times New Roman" w:eastAsia="Times New Roman" w:hAnsi="Times New Roman" w:cs="Times New Roman"/>
                <w:kern w:val="0"/>
                <w:sz w:val="24"/>
                <w:szCs w:val="24"/>
                <w:lang w:eastAsia="uk-UA"/>
                <w14:ligatures w14:val="none"/>
              </w:rPr>
              <w:t xml:space="preserve"> </w:t>
            </w:r>
            <w:proofErr w:type="spellStart"/>
            <w:r w:rsidRPr="009A06FA">
              <w:rPr>
                <w:rFonts w:ascii="Times New Roman" w:eastAsia="Times New Roman" w:hAnsi="Times New Roman" w:cs="Times New Roman"/>
                <w:kern w:val="0"/>
                <w:sz w:val="24"/>
                <w:szCs w:val="24"/>
                <w:lang w:eastAsia="uk-UA"/>
                <w14:ligatures w14:val="none"/>
              </w:rPr>
              <w:t>generis</w:t>
            </w:r>
            <w:proofErr w:type="spellEnd"/>
            <w:r w:rsidRPr="009A06FA">
              <w:rPr>
                <w:rFonts w:ascii="Times New Roman" w:eastAsia="Times New Roman" w:hAnsi="Times New Roman" w:cs="Times New Roman"/>
                <w:kern w:val="0"/>
                <w:sz w:val="24"/>
                <w:szCs w:val="24"/>
                <w:lang w:eastAsia="uk-UA"/>
                <w14:ligatures w14:val="none"/>
              </w:rPr>
              <w:t> на неоригінальні бази даних та ШІ-генеровані об'єкти.</w:t>
            </w:r>
          </w:p>
        </w:tc>
      </w:tr>
      <w:tr w:rsidR="00EF5924" w:rsidRPr="009A246D" w14:paraId="5EFA723E" w14:textId="77777777">
        <w:trPr>
          <w:jc w:val="center"/>
        </w:trPr>
        <w:tc>
          <w:tcPr>
            <w:tcW w:w="1450" w:type="pct"/>
            <w:tcBorders>
              <w:top w:val="outset" w:sz="6" w:space="0" w:color="auto"/>
              <w:left w:val="outset" w:sz="6" w:space="0" w:color="auto"/>
              <w:bottom w:val="outset" w:sz="6" w:space="0" w:color="auto"/>
              <w:right w:val="outset" w:sz="6" w:space="0" w:color="auto"/>
            </w:tcBorders>
            <w:hideMark/>
          </w:tcPr>
          <w:p w14:paraId="0F3CCBA7" w14:textId="77777777" w:rsidR="00EF5924" w:rsidRPr="009A06FA" w:rsidRDefault="00EF5924" w:rsidP="00EF5924">
            <w:pPr>
              <w:spacing w:after="450" w:line="240" w:lineRule="auto"/>
              <w:rPr>
                <w:rFonts w:ascii="Times New Roman" w:eastAsia="Times New Roman" w:hAnsi="Times New Roman" w:cs="Times New Roman"/>
                <w:kern w:val="0"/>
                <w:sz w:val="24"/>
                <w:szCs w:val="24"/>
                <w:lang w:eastAsia="uk-UA"/>
                <w14:ligatures w14:val="none"/>
              </w:rPr>
            </w:pPr>
            <w:r w:rsidRPr="009A06FA">
              <w:rPr>
                <w:rFonts w:ascii="Times New Roman" w:eastAsia="Times New Roman" w:hAnsi="Times New Roman" w:cs="Times New Roman"/>
                <w:kern w:val="0"/>
                <w:sz w:val="24"/>
                <w:szCs w:val="24"/>
                <w:lang w:eastAsia="uk-UA"/>
                <w14:ligatures w14:val="none"/>
              </w:rPr>
              <w:t>5. Право зобов'язань</w:t>
            </w:r>
          </w:p>
        </w:tc>
        <w:tc>
          <w:tcPr>
            <w:tcW w:w="3550" w:type="pct"/>
            <w:tcBorders>
              <w:top w:val="outset" w:sz="6" w:space="0" w:color="auto"/>
              <w:left w:val="outset" w:sz="6" w:space="0" w:color="auto"/>
              <w:bottom w:val="outset" w:sz="6" w:space="0" w:color="auto"/>
              <w:right w:val="outset" w:sz="6" w:space="0" w:color="auto"/>
            </w:tcBorders>
            <w:hideMark/>
          </w:tcPr>
          <w:p w14:paraId="2A5D7912" w14:textId="77777777" w:rsidR="00EF5924" w:rsidRPr="009A06FA" w:rsidRDefault="00EF5924" w:rsidP="00EF5924">
            <w:pPr>
              <w:spacing w:after="450" w:line="240" w:lineRule="auto"/>
              <w:rPr>
                <w:rFonts w:ascii="Times New Roman" w:eastAsia="Times New Roman" w:hAnsi="Times New Roman" w:cs="Times New Roman"/>
                <w:kern w:val="0"/>
                <w:sz w:val="24"/>
                <w:szCs w:val="24"/>
                <w:lang w:eastAsia="uk-UA"/>
                <w14:ligatures w14:val="none"/>
              </w:rPr>
            </w:pPr>
            <w:r w:rsidRPr="009A06FA">
              <w:rPr>
                <w:rFonts w:ascii="Times New Roman" w:eastAsia="Times New Roman" w:hAnsi="Times New Roman" w:cs="Times New Roman"/>
                <w:kern w:val="0"/>
                <w:sz w:val="24"/>
                <w:szCs w:val="24"/>
                <w:lang w:eastAsia="uk-UA"/>
                <w14:ligatures w14:val="none"/>
              </w:rPr>
              <w:t>Оновлена структура, що базується на європейській моделі (виконання &gt; невиконання &gt; способи захисту). Запровадження відповідальності за недобросовісне ведення переговорів. Вдосконалення правил цесії та переведення боргу. Кодифікація делікту збройної агресії як підстави для відшкодування шкоди.</w:t>
            </w:r>
          </w:p>
        </w:tc>
      </w:tr>
      <w:tr w:rsidR="00EF5924" w:rsidRPr="009A246D" w14:paraId="7AE14188" w14:textId="77777777">
        <w:trPr>
          <w:jc w:val="center"/>
        </w:trPr>
        <w:tc>
          <w:tcPr>
            <w:tcW w:w="1450" w:type="pct"/>
            <w:tcBorders>
              <w:top w:val="outset" w:sz="6" w:space="0" w:color="auto"/>
              <w:left w:val="outset" w:sz="6" w:space="0" w:color="auto"/>
              <w:bottom w:val="outset" w:sz="6" w:space="0" w:color="auto"/>
              <w:right w:val="outset" w:sz="6" w:space="0" w:color="auto"/>
            </w:tcBorders>
            <w:hideMark/>
          </w:tcPr>
          <w:p w14:paraId="48FD9209" w14:textId="77777777" w:rsidR="00EF5924" w:rsidRPr="009A06FA" w:rsidRDefault="00EF5924" w:rsidP="00EF5924">
            <w:pPr>
              <w:spacing w:after="450" w:line="240" w:lineRule="auto"/>
              <w:rPr>
                <w:rFonts w:ascii="Times New Roman" w:eastAsia="Times New Roman" w:hAnsi="Times New Roman" w:cs="Times New Roman"/>
                <w:kern w:val="0"/>
                <w:sz w:val="24"/>
                <w:szCs w:val="24"/>
                <w:lang w:eastAsia="uk-UA"/>
                <w14:ligatures w14:val="none"/>
              </w:rPr>
            </w:pPr>
            <w:r w:rsidRPr="009A06FA">
              <w:rPr>
                <w:rFonts w:ascii="Times New Roman" w:eastAsia="Times New Roman" w:hAnsi="Times New Roman" w:cs="Times New Roman"/>
                <w:kern w:val="0"/>
                <w:sz w:val="24"/>
                <w:szCs w:val="24"/>
                <w:lang w:eastAsia="uk-UA"/>
                <w14:ligatures w14:val="none"/>
              </w:rPr>
              <w:t>6. Право сімейне</w:t>
            </w:r>
          </w:p>
        </w:tc>
        <w:tc>
          <w:tcPr>
            <w:tcW w:w="3550" w:type="pct"/>
            <w:tcBorders>
              <w:top w:val="outset" w:sz="6" w:space="0" w:color="auto"/>
              <w:left w:val="outset" w:sz="6" w:space="0" w:color="auto"/>
              <w:bottom w:val="outset" w:sz="6" w:space="0" w:color="auto"/>
              <w:right w:val="outset" w:sz="6" w:space="0" w:color="auto"/>
            </w:tcBorders>
            <w:hideMark/>
          </w:tcPr>
          <w:p w14:paraId="42D8311F" w14:textId="77777777" w:rsidR="00EF5924" w:rsidRPr="009A06FA" w:rsidRDefault="00EF5924" w:rsidP="00EF5924">
            <w:pPr>
              <w:spacing w:after="450" w:line="240" w:lineRule="auto"/>
              <w:rPr>
                <w:rFonts w:ascii="Times New Roman" w:eastAsia="Times New Roman" w:hAnsi="Times New Roman" w:cs="Times New Roman"/>
                <w:kern w:val="0"/>
                <w:sz w:val="24"/>
                <w:szCs w:val="24"/>
                <w:lang w:eastAsia="uk-UA"/>
                <w14:ligatures w14:val="none"/>
              </w:rPr>
            </w:pPr>
            <w:r w:rsidRPr="009A06FA">
              <w:rPr>
                <w:rFonts w:ascii="Times New Roman" w:eastAsia="Times New Roman" w:hAnsi="Times New Roman" w:cs="Times New Roman"/>
                <w:kern w:val="0"/>
                <w:sz w:val="24"/>
                <w:szCs w:val="24"/>
                <w:lang w:eastAsia="uk-UA"/>
                <w14:ligatures w14:val="none"/>
              </w:rPr>
              <w:t>Інтеграція Сімейного кодексу до ЦК. Чітке оформлення фактичного сімейного союзу ("цивільного шлюбу") та його наслідків. Спрощення розірвання шлюбу за спільною згодою подружжя, яке має дітей, через нотаріуса.</w:t>
            </w:r>
          </w:p>
        </w:tc>
      </w:tr>
      <w:tr w:rsidR="00EF5924" w:rsidRPr="009A246D" w14:paraId="6070BB63" w14:textId="77777777">
        <w:trPr>
          <w:jc w:val="center"/>
        </w:trPr>
        <w:tc>
          <w:tcPr>
            <w:tcW w:w="1450" w:type="pct"/>
            <w:tcBorders>
              <w:top w:val="outset" w:sz="6" w:space="0" w:color="auto"/>
              <w:left w:val="outset" w:sz="6" w:space="0" w:color="auto"/>
              <w:bottom w:val="outset" w:sz="6" w:space="0" w:color="auto"/>
              <w:right w:val="outset" w:sz="6" w:space="0" w:color="auto"/>
            </w:tcBorders>
            <w:hideMark/>
          </w:tcPr>
          <w:p w14:paraId="2E9C055A" w14:textId="77777777" w:rsidR="00EF5924" w:rsidRPr="009A06FA" w:rsidRDefault="00EF5924" w:rsidP="00EF5924">
            <w:pPr>
              <w:spacing w:after="450" w:line="240" w:lineRule="auto"/>
              <w:rPr>
                <w:rFonts w:ascii="Times New Roman" w:eastAsia="Times New Roman" w:hAnsi="Times New Roman" w:cs="Times New Roman"/>
                <w:kern w:val="0"/>
                <w:sz w:val="24"/>
                <w:szCs w:val="24"/>
                <w:lang w:eastAsia="uk-UA"/>
                <w14:ligatures w14:val="none"/>
              </w:rPr>
            </w:pPr>
            <w:r w:rsidRPr="009A06FA">
              <w:rPr>
                <w:rFonts w:ascii="Times New Roman" w:eastAsia="Times New Roman" w:hAnsi="Times New Roman" w:cs="Times New Roman"/>
                <w:kern w:val="0"/>
                <w:sz w:val="24"/>
                <w:szCs w:val="24"/>
                <w:lang w:eastAsia="uk-UA"/>
                <w14:ligatures w14:val="none"/>
              </w:rPr>
              <w:t>7. Право спадкове</w:t>
            </w:r>
          </w:p>
        </w:tc>
        <w:tc>
          <w:tcPr>
            <w:tcW w:w="3550" w:type="pct"/>
            <w:tcBorders>
              <w:top w:val="outset" w:sz="6" w:space="0" w:color="auto"/>
              <w:left w:val="outset" w:sz="6" w:space="0" w:color="auto"/>
              <w:bottom w:val="outset" w:sz="6" w:space="0" w:color="auto"/>
              <w:right w:val="outset" w:sz="6" w:space="0" w:color="auto"/>
            </w:tcBorders>
            <w:hideMark/>
          </w:tcPr>
          <w:p w14:paraId="32862CC8" w14:textId="77777777" w:rsidR="00EF5924" w:rsidRPr="009A06FA" w:rsidRDefault="00EF5924" w:rsidP="00EF5924">
            <w:pPr>
              <w:spacing w:after="450" w:line="240" w:lineRule="auto"/>
              <w:rPr>
                <w:rFonts w:ascii="Times New Roman" w:eastAsia="Times New Roman" w:hAnsi="Times New Roman" w:cs="Times New Roman"/>
                <w:kern w:val="0"/>
                <w:sz w:val="24"/>
                <w:szCs w:val="24"/>
                <w:lang w:eastAsia="uk-UA"/>
                <w14:ligatures w14:val="none"/>
              </w:rPr>
            </w:pPr>
            <w:r w:rsidRPr="009A06FA">
              <w:rPr>
                <w:rFonts w:ascii="Times New Roman" w:eastAsia="Times New Roman" w:hAnsi="Times New Roman" w:cs="Times New Roman"/>
                <w:kern w:val="0"/>
                <w:sz w:val="24"/>
                <w:szCs w:val="24"/>
                <w:lang w:eastAsia="uk-UA"/>
                <w14:ligatures w14:val="none"/>
              </w:rPr>
              <w:t>Врегулювання спадкування цифрових речей та прав доступу. Запровадження "заповіту про розпорядження репродуктивним біологічним матеріалом". Нові інструменти управління спадщиною до оформлення прав (договір управління). Збільшення кількості черг спадкоємців із п'яти до шести.</w:t>
            </w:r>
          </w:p>
        </w:tc>
      </w:tr>
      <w:tr w:rsidR="00EF5924" w:rsidRPr="009A246D" w14:paraId="375D9860" w14:textId="77777777">
        <w:trPr>
          <w:jc w:val="center"/>
        </w:trPr>
        <w:tc>
          <w:tcPr>
            <w:tcW w:w="1450" w:type="pct"/>
            <w:tcBorders>
              <w:top w:val="outset" w:sz="6" w:space="0" w:color="auto"/>
              <w:left w:val="outset" w:sz="6" w:space="0" w:color="auto"/>
              <w:bottom w:val="outset" w:sz="6" w:space="0" w:color="auto"/>
              <w:right w:val="outset" w:sz="6" w:space="0" w:color="auto"/>
            </w:tcBorders>
            <w:hideMark/>
          </w:tcPr>
          <w:p w14:paraId="5FD1B0C9" w14:textId="77777777" w:rsidR="00EF5924" w:rsidRPr="009A06FA" w:rsidRDefault="00EF5924" w:rsidP="00EF5924">
            <w:pPr>
              <w:spacing w:after="450" w:line="240" w:lineRule="auto"/>
              <w:rPr>
                <w:rFonts w:ascii="Times New Roman" w:eastAsia="Times New Roman" w:hAnsi="Times New Roman" w:cs="Times New Roman"/>
                <w:kern w:val="0"/>
                <w:sz w:val="24"/>
                <w:szCs w:val="24"/>
                <w:lang w:eastAsia="uk-UA"/>
                <w14:ligatures w14:val="none"/>
              </w:rPr>
            </w:pPr>
            <w:r w:rsidRPr="009A06FA">
              <w:rPr>
                <w:rFonts w:ascii="Times New Roman" w:eastAsia="Times New Roman" w:hAnsi="Times New Roman" w:cs="Times New Roman"/>
                <w:kern w:val="0"/>
                <w:sz w:val="24"/>
                <w:szCs w:val="24"/>
                <w:lang w:eastAsia="uk-UA"/>
                <w14:ligatures w14:val="none"/>
              </w:rPr>
              <w:t>8. Право приватне міжнародне</w:t>
            </w:r>
          </w:p>
        </w:tc>
        <w:tc>
          <w:tcPr>
            <w:tcW w:w="3550" w:type="pct"/>
            <w:tcBorders>
              <w:top w:val="outset" w:sz="6" w:space="0" w:color="auto"/>
              <w:left w:val="outset" w:sz="6" w:space="0" w:color="auto"/>
              <w:bottom w:val="outset" w:sz="6" w:space="0" w:color="auto"/>
              <w:right w:val="outset" w:sz="6" w:space="0" w:color="auto"/>
            </w:tcBorders>
            <w:hideMark/>
          </w:tcPr>
          <w:p w14:paraId="0A77F779" w14:textId="77777777" w:rsidR="00EF5924" w:rsidRPr="009A06FA" w:rsidRDefault="00EF5924" w:rsidP="00EF5924">
            <w:pPr>
              <w:spacing w:after="450" w:line="240" w:lineRule="auto"/>
              <w:rPr>
                <w:rFonts w:ascii="Times New Roman" w:eastAsia="Times New Roman" w:hAnsi="Times New Roman" w:cs="Times New Roman"/>
                <w:kern w:val="0"/>
                <w:sz w:val="24"/>
                <w:szCs w:val="24"/>
                <w:lang w:eastAsia="uk-UA"/>
                <w14:ligatures w14:val="none"/>
              </w:rPr>
            </w:pPr>
            <w:r w:rsidRPr="009A06FA">
              <w:rPr>
                <w:rFonts w:ascii="Times New Roman" w:eastAsia="Times New Roman" w:hAnsi="Times New Roman" w:cs="Times New Roman"/>
                <w:kern w:val="0"/>
                <w:sz w:val="24"/>
                <w:szCs w:val="24"/>
                <w:lang w:eastAsia="uk-UA"/>
                <w14:ligatures w14:val="none"/>
              </w:rPr>
              <w:t>Інтеграція закону про МПП до ЦК. Посилення автономії волі сторін у виборі права. Деталізація юрисдикційних правил та угод про вибір суду.</w:t>
            </w:r>
          </w:p>
        </w:tc>
      </w:tr>
      <w:tr w:rsidR="00EF5924" w:rsidRPr="009A246D" w14:paraId="20EDFB43" w14:textId="77777777" w:rsidTr="009A06FA">
        <w:trPr>
          <w:trHeight w:val="1343"/>
          <w:jc w:val="center"/>
        </w:trPr>
        <w:tc>
          <w:tcPr>
            <w:tcW w:w="1450" w:type="pct"/>
            <w:tcBorders>
              <w:top w:val="outset" w:sz="6" w:space="0" w:color="auto"/>
              <w:left w:val="outset" w:sz="6" w:space="0" w:color="auto"/>
              <w:bottom w:val="outset" w:sz="6" w:space="0" w:color="auto"/>
              <w:right w:val="outset" w:sz="6" w:space="0" w:color="auto"/>
            </w:tcBorders>
            <w:hideMark/>
          </w:tcPr>
          <w:p w14:paraId="1CAB764A" w14:textId="77777777" w:rsidR="00EF5924" w:rsidRPr="009A06FA" w:rsidRDefault="00EF5924" w:rsidP="00EF5924">
            <w:pPr>
              <w:spacing w:after="450" w:line="240" w:lineRule="auto"/>
              <w:rPr>
                <w:rFonts w:ascii="Times New Roman" w:eastAsia="Times New Roman" w:hAnsi="Times New Roman" w:cs="Times New Roman"/>
                <w:kern w:val="0"/>
                <w:sz w:val="24"/>
                <w:szCs w:val="24"/>
                <w:lang w:eastAsia="uk-UA"/>
                <w14:ligatures w14:val="none"/>
              </w:rPr>
            </w:pPr>
            <w:r w:rsidRPr="009A06FA">
              <w:rPr>
                <w:rFonts w:ascii="Times New Roman" w:eastAsia="Times New Roman" w:hAnsi="Times New Roman" w:cs="Times New Roman"/>
                <w:kern w:val="0"/>
                <w:sz w:val="24"/>
                <w:szCs w:val="24"/>
                <w:lang w:eastAsia="uk-UA"/>
                <w14:ligatures w14:val="none"/>
              </w:rPr>
              <w:t>9. Публічність прав цивільних</w:t>
            </w:r>
          </w:p>
        </w:tc>
        <w:tc>
          <w:tcPr>
            <w:tcW w:w="3550" w:type="pct"/>
            <w:tcBorders>
              <w:top w:val="outset" w:sz="6" w:space="0" w:color="auto"/>
              <w:left w:val="outset" w:sz="6" w:space="0" w:color="auto"/>
              <w:bottom w:val="outset" w:sz="6" w:space="0" w:color="auto"/>
              <w:right w:val="outset" w:sz="6" w:space="0" w:color="auto"/>
            </w:tcBorders>
            <w:hideMark/>
          </w:tcPr>
          <w:p w14:paraId="78E5BF6F" w14:textId="77777777" w:rsidR="00EF5924" w:rsidRPr="009A246D" w:rsidRDefault="00EF5924" w:rsidP="00EF5924">
            <w:pPr>
              <w:spacing w:after="450" w:line="240" w:lineRule="auto"/>
              <w:rPr>
                <w:rFonts w:ascii="Times New Roman" w:eastAsia="Times New Roman" w:hAnsi="Times New Roman" w:cs="Times New Roman"/>
                <w:kern w:val="0"/>
                <w:sz w:val="24"/>
                <w:szCs w:val="24"/>
                <w:lang w:eastAsia="uk-UA"/>
                <w14:ligatures w14:val="none"/>
              </w:rPr>
            </w:pPr>
            <w:r w:rsidRPr="009A246D">
              <w:rPr>
                <w:rFonts w:ascii="Times New Roman" w:eastAsia="Times New Roman" w:hAnsi="Times New Roman" w:cs="Times New Roman"/>
                <w:kern w:val="0"/>
                <w:sz w:val="24"/>
                <w:szCs w:val="24"/>
                <w:lang w:eastAsia="uk-UA"/>
                <w14:ligatures w14:val="none"/>
              </w:rPr>
              <w:t xml:space="preserve">Вперше кодифікується доктрина публічності. Чіткі правила </w:t>
            </w:r>
            <w:r w:rsidRPr="009A06FA">
              <w:rPr>
                <w:rFonts w:ascii="Times New Roman" w:eastAsia="Times New Roman" w:hAnsi="Times New Roman" w:cs="Times New Roman"/>
                <w:kern w:val="0"/>
                <w:sz w:val="24"/>
                <w:szCs w:val="24"/>
                <w:lang w:eastAsia="uk-UA"/>
                <w14:ligatures w14:val="none"/>
              </w:rPr>
              <w:t>про </w:t>
            </w:r>
            <w:proofErr w:type="spellStart"/>
            <w:r w:rsidRPr="009A06FA">
              <w:rPr>
                <w:rFonts w:ascii="Times New Roman" w:eastAsia="Times New Roman" w:hAnsi="Times New Roman" w:cs="Times New Roman"/>
                <w:kern w:val="0"/>
                <w:sz w:val="24"/>
                <w:szCs w:val="24"/>
                <w:lang w:eastAsia="uk-UA"/>
                <w14:ligatures w14:val="none"/>
              </w:rPr>
              <w:t>протиставність</w:t>
            </w:r>
            <w:proofErr w:type="spellEnd"/>
            <w:r w:rsidRPr="009A06FA">
              <w:rPr>
                <w:rFonts w:ascii="Times New Roman" w:eastAsia="Times New Roman" w:hAnsi="Times New Roman" w:cs="Times New Roman"/>
                <w:kern w:val="0"/>
                <w:sz w:val="24"/>
                <w:szCs w:val="24"/>
                <w:lang w:eastAsia="uk-UA"/>
                <w14:ligatures w14:val="none"/>
              </w:rPr>
              <w:t> прав третім особам, пріоритет реєстрації, а також інструменти захисту (відмітка про заперечення, відмітка про судовий спір).</w:t>
            </w:r>
          </w:p>
        </w:tc>
      </w:tr>
    </w:tbl>
    <w:p w14:paraId="3A2387A4" w14:textId="77777777" w:rsidR="00EB7E68" w:rsidRPr="009A246D" w:rsidRDefault="00EB7E68" w:rsidP="00EF5924">
      <w:pPr>
        <w:pStyle w:val="a9"/>
        <w:ind w:left="360"/>
        <w:jc w:val="both"/>
        <w:rPr>
          <w:rFonts w:ascii="Times New Roman" w:hAnsi="Times New Roman" w:cs="Times New Roman"/>
        </w:rPr>
      </w:pPr>
    </w:p>
    <w:p w14:paraId="32E77B20" w14:textId="4690EA15" w:rsidR="00EF5924" w:rsidRPr="009A246D" w:rsidRDefault="00EF5924" w:rsidP="009A06FA">
      <w:pPr>
        <w:pStyle w:val="a9"/>
        <w:ind w:left="0" w:firstLine="360"/>
        <w:jc w:val="both"/>
        <w:rPr>
          <w:rFonts w:ascii="Times New Roman" w:hAnsi="Times New Roman" w:cs="Times New Roman"/>
          <w:sz w:val="28"/>
          <w:szCs w:val="28"/>
        </w:rPr>
      </w:pPr>
      <w:r w:rsidRPr="009A246D">
        <w:rPr>
          <w:rFonts w:ascii="Times New Roman" w:hAnsi="Times New Roman" w:cs="Times New Roman"/>
          <w:sz w:val="28"/>
          <w:szCs w:val="28"/>
        </w:rPr>
        <w:lastRenderedPageBreak/>
        <w:t>Проєкт нового Цивільного кодексу є масштабною законодавчою ініціативою, яка потребуватиме тривалого та фахового обговорення у стінах парламенту.</w:t>
      </w:r>
    </w:p>
    <w:p w14:paraId="0F742BFD" w14:textId="77777777" w:rsidR="00EF5924" w:rsidRPr="009A246D" w:rsidRDefault="00EF5924" w:rsidP="00EF5924">
      <w:pPr>
        <w:pStyle w:val="a9"/>
        <w:ind w:left="0"/>
        <w:jc w:val="both"/>
        <w:rPr>
          <w:rFonts w:ascii="Times New Roman" w:hAnsi="Times New Roman" w:cs="Times New Roman"/>
          <w:sz w:val="28"/>
          <w:szCs w:val="28"/>
        </w:rPr>
      </w:pPr>
    </w:p>
    <w:p w14:paraId="25682F90" w14:textId="0AA4663D" w:rsidR="005B1205" w:rsidRPr="004E5398" w:rsidRDefault="00EF5924" w:rsidP="005B1205">
      <w:pPr>
        <w:pStyle w:val="a9"/>
        <w:numPr>
          <w:ilvl w:val="0"/>
          <w:numId w:val="2"/>
        </w:numPr>
        <w:jc w:val="both"/>
        <w:rPr>
          <w:rFonts w:ascii="Times New Roman" w:hAnsi="Times New Roman" w:cs="Times New Roman"/>
          <w:b/>
          <w:bCs/>
          <w:sz w:val="28"/>
          <w:szCs w:val="28"/>
        </w:rPr>
      </w:pPr>
      <w:r w:rsidRPr="004E5398">
        <w:rPr>
          <w:rFonts w:ascii="Times New Roman" w:hAnsi="Times New Roman" w:cs="Times New Roman"/>
          <w:b/>
          <w:bCs/>
          <w:sz w:val="28"/>
          <w:szCs w:val="28"/>
        </w:rPr>
        <w:t>Захист прав інтелектуальної власності.</w:t>
      </w:r>
    </w:p>
    <w:p w14:paraId="37BE8723" w14:textId="72A32853" w:rsidR="005B1205" w:rsidRDefault="005B1205" w:rsidP="005B1205">
      <w:pPr>
        <w:jc w:val="both"/>
        <w:rPr>
          <w:rFonts w:ascii="Times New Roman" w:hAnsi="Times New Roman" w:cs="Times New Roman"/>
          <w:sz w:val="28"/>
          <w:szCs w:val="28"/>
        </w:rPr>
      </w:pPr>
      <w:r w:rsidRPr="005B1205">
        <w:rPr>
          <w:rFonts w:ascii="Times New Roman" w:hAnsi="Times New Roman" w:cs="Times New Roman"/>
          <w:sz w:val="28"/>
          <w:szCs w:val="28"/>
        </w:rPr>
        <w:t>Основні напрями вдосконалення положень Книги четвертої обумовлені</w:t>
      </w:r>
      <w:r>
        <w:rPr>
          <w:rFonts w:ascii="Times New Roman" w:hAnsi="Times New Roman" w:cs="Times New Roman"/>
          <w:sz w:val="28"/>
          <w:szCs w:val="28"/>
        </w:rPr>
        <w:t xml:space="preserve"> </w:t>
      </w:r>
      <w:r w:rsidRPr="005B1205">
        <w:rPr>
          <w:rFonts w:ascii="Times New Roman" w:hAnsi="Times New Roman" w:cs="Times New Roman"/>
          <w:sz w:val="28"/>
          <w:szCs w:val="28"/>
        </w:rPr>
        <w:t xml:space="preserve">необхідністю: </w:t>
      </w:r>
    </w:p>
    <w:p w14:paraId="44CD4FAF" w14:textId="615705F1" w:rsidR="005B1205" w:rsidRDefault="005B1205" w:rsidP="005B1205">
      <w:pPr>
        <w:ind w:left="360"/>
        <w:jc w:val="both"/>
        <w:rPr>
          <w:rFonts w:ascii="Times New Roman" w:hAnsi="Times New Roman" w:cs="Times New Roman"/>
          <w:sz w:val="28"/>
          <w:szCs w:val="28"/>
        </w:rPr>
      </w:pPr>
      <w:r w:rsidRPr="005B1205">
        <w:rPr>
          <w:rFonts w:ascii="Times New Roman" w:hAnsi="Times New Roman" w:cs="Times New Roman"/>
          <w:sz w:val="28"/>
          <w:szCs w:val="28"/>
        </w:rPr>
        <w:t>1) внесення змін до ЦК України та спеціального законодавства,</w:t>
      </w:r>
      <w:r>
        <w:rPr>
          <w:rFonts w:ascii="Times New Roman" w:hAnsi="Times New Roman" w:cs="Times New Roman"/>
          <w:sz w:val="28"/>
          <w:szCs w:val="28"/>
        </w:rPr>
        <w:t xml:space="preserve"> </w:t>
      </w:r>
      <w:r w:rsidRPr="005B1205">
        <w:rPr>
          <w:rFonts w:ascii="Times New Roman" w:hAnsi="Times New Roman" w:cs="Times New Roman"/>
          <w:sz w:val="28"/>
          <w:szCs w:val="28"/>
        </w:rPr>
        <w:t>спрямованих на імплементацію Угоди про асоціацію, адаптацію законодавства</w:t>
      </w:r>
      <w:r>
        <w:rPr>
          <w:rFonts w:ascii="Times New Roman" w:hAnsi="Times New Roman" w:cs="Times New Roman"/>
          <w:sz w:val="28"/>
          <w:szCs w:val="28"/>
        </w:rPr>
        <w:t xml:space="preserve"> </w:t>
      </w:r>
      <w:r w:rsidRPr="005B1205">
        <w:rPr>
          <w:rFonts w:ascii="Times New Roman" w:hAnsi="Times New Roman" w:cs="Times New Roman"/>
          <w:sz w:val="28"/>
          <w:szCs w:val="28"/>
        </w:rPr>
        <w:t>України до законодавства ЄС;</w:t>
      </w:r>
    </w:p>
    <w:p w14:paraId="10CCC95C" w14:textId="628BC6F7" w:rsidR="005B1205" w:rsidRDefault="005B1205" w:rsidP="005B1205">
      <w:pPr>
        <w:ind w:left="360"/>
        <w:jc w:val="both"/>
        <w:rPr>
          <w:rFonts w:ascii="Times New Roman" w:hAnsi="Times New Roman" w:cs="Times New Roman"/>
          <w:sz w:val="28"/>
          <w:szCs w:val="28"/>
        </w:rPr>
      </w:pPr>
      <w:r w:rsidRPr="005B1205">
        <w:rPr>
          <w:rFonts w:ascii="Times New Roman" w:hAnsi="Times New Roman" w:cs="Times New Roman"/>
          <w:sz w:val="28"/>
          <w:szCs w:val="28"/>
        </w:rPr>
        <w:t xml:space="preserve"> 2) врахування національної практики</w:t>
      </w:r>
      <w:r>
        <w:rPr>
          <w:rFonts w:ascii="Times New Roman" w:hAnsi="Times New Roman" w:cs="Times New Roman"/>
          <w:sz w:val="28"/>
          <w:szCs w:val="28"/>
        </w:rPr>
        <w:t xml:space="preserve"> </w:t>
      </w:r>
      <w:r w:rsidRPr="005B1205">
        <w:rPr>
          <w:rFonts w:ascii="Times New Roman" w:hAnsi="Times New Roman" w:cs="Times New Roman"/>
          <w:sz w:val="28"/>
          <w:szCs w:val="28"/>
        </w:rPr>
        <w:t xml:space="preserve">застосування законодавства у сфері інтелектуальної власності; </w:t>
      </w:r>
    </w:p>
    <w:p w14:paraId="35AC5921" w14:textId="275CD876" w:rsidR="005B1205" w:rsidRDefault="005B1205" w:rsidP="005B1205">
      <w:pPr>
        <w:ind w:left="360"/>
        <w:jc w:val="both"/>
        <w:rPr>
          <w:rFonts w:ascii="Times New Roman" w:hAnsi="Times New Roman" w:cs="Times New Roman"/>
          <w:sz w:val="28"/>
          <w:szCs w:val="28"/>
        </w:rPr>
      </w:pPr>
      <w:r w:rsidRPr="005B1205">
        <w:rPr>
          <w:rFonts w:ascii="Times New Roman" w:hAnsi="Times New Roman" w:cs="Times New Roman"/>
          <w:sz w:val="28"/>
          <w:szCs w:val="28"/>
        </w:rPr>
        <w:t>3) узгодження</w:t>
      </w:r>
      <w:r>
        <w:rPr>
          <w:rFonts w:ascii="Times New Roman" w:hAnsi="Times New Roman" w:cs="Times New Roman"/>
          <w:sz w:val="28"/>
          <w:szCs w:val="28"/>
        </w:rPr>
        <w:t xml:space="preserve"> </w:t>
      </w:r>
      <w:r w:rsidRPr="005B1205">
        <w:rPr>
          <w:rFonts w:ascii="Times New Roman" w:hAnsi="Times New Roman" w:cs="Times New Roman"/>
          <w:sz w:val="28"/>
          <w:szCs w:val="28"/>
        </w:rPr>
        <w:t>положень Книги четвертої між собою та іншими положеннями ЦК України;</w:t>
      </w:r>
    </w:p>
    <w:p w14:paraId="75403AA6" w14:textId="2FE8DB78" w:rsidR="005B1205" w:rsidRPr="005B1205" w:rsidRDefault="005B1205" w:rsidP="005B1205">
      <w:pPr>
        <w:ind w:left="360"/>
        <w:jc w:val="both"/>
        <w:rPr>
          <w:rFonts w:ascii="Times New Roman" w:hAnsi="Times New Roman" w:cs="Times New Roman"/>
          <w:sz w:val="28"/>
          <w:szCs w:val="28"/>
        </w:rPr>
      </w:pPr>
      <w:r w:rsidRPr="005B1205">
        <w:rPr>
          <w:rFonts w:ascii="Times New Roman" w:hAnsi="Times New Roman" w:cs="Times New Roman"/>
          <w:sz w:val="28"/>
          <w:szCs w:val="28"/>
        </w:rPr>
        <w:t xml:space="preserve"> 4)</w:t>
      </w:r>
      <w:r>
        <w:rPr>
          <w:rFonts w:ascii="Times New Roman" w:hAnsi="Times New Roman" w:cs="Times New Roman"/>
          <w:sz w:val="28"/>
          <w:szCs w:val="28"/>
        </w:rPr>
        <w:t xml:space="preserve"> </w:t>
      </w:r>
      <w:r w:rsidRPr="005B1205">
        <w:rPr>
          <w:rFonts w:ascii="Times New Roman" w:hAnsi="Times New Roman" w:cs="Times New Roman"/>
          <w:sz w:val="28"/>
          <w:szCs w:val="28"/>
        </w:rPr>
        <w:t>врахування відповідного досвіду іноземних країн, зокрема країн ЄС.</w:t>
      </w:r>
    </w:p>
    <w:p w14:paraId="3F015B0E" w14:textId="77777777" w:rsidR="005B1205" w:rsidRPr="004E5398" w:rsidRDefault="005B1205" w:rsidP="005B1205">
      <w:pPr>
        <w:ind w:left="360" w:firstLine="348"/>
        <w:jc w:val="both"/>
        <w:rPr>
          <w:rFonts w:ascii="Times New Roman" w:hAnsi="Times New Roman" w:cs="Times New Roman"/>
          <w:sz w:val="28"/>
          <w:szCs w:val="28"/>
        </w:rPr>
      </w:pPr>
      <w:r w:rsidRPr="004E5398">
        <w:rPr>
          <w:rFonts w:ascii="Times New Roman" w:hAnsi="Times New Roman" w:cs="Times New Roman"/>
          <w:sz w:val="28"/>
          <w:szCs w:val="28"/>
        </w:rPr>
        <w:t xml:space="preserve">Імплементація положень Угоди про асоціацію та адаптація законодавства України до законодавства ЄС. </w:t>
      </w:r>
    </w:p>
    <w:p w14:paraId="1C476666" w14:textId="5CD7CD2F" w:rsidR="005B1205" w:rsidRPr="005B1205" w:rsidRDefault="005B1205" w:rsidP="005B1205">
      <w:pPr>
        <w:ind w:left="360" w:firstLine="348"/>
        <w:jc w:val="both"/>
        <w:rPr>
          <w:rFonts w:ascii="Times New Roman" w:hAnsi="Times New Roman" w:cs="Times New Roman"/>
          <w:b/>
          <w:bCs/>
          <w:sz w:val="28"/>
          <w:szCs w:val="28"/>
        </w:rPr>
      </w:pPr>
      <w:r w:rsidRPr="005B1205">
        <w:rPr>
          <w:rFonts w:ascii="Times New Roman" w:hAnsi="Times New Roman" w:cs="Times New Roman"/>
          <w:sz w:val="28"/>
          <w:szCs w:val="28"/>
        </w:rPr>
        <w:t>Умовою ефективної імплементації</w:t>
      </w:r>
      <w:r>
        <w:rPr>
          <w:rFonts w:ascii="Times New Roman" w:hAnsi="Times New Roman" w:cs="Times New Roman"/>
          <w:b/>
          <w:bCs/>
          <w:sz w:val="28"/>
          <w:szCs w:val="28"/>
        </w:rPr>
        <w:t xml:space="preserve"> </w:t>
      </w:r>
      <w:r w:rsidRPr="005B1205">
        <w:rPr>
          <w:rFonts w:ascii="Times New Roman" w:hAnsi="Times New Roman" w:cs="Times New Roman"/>
          <w:sz w:val="28"/>
          <w:szCs w:val="28"/>
        </w:rPr>
        <w:t>Угоди про асоціацію, адаптації законодавства є встановлення та прийняття до</w:t>
      </w:r>
      <w:r>
        <w:rPr>
          <w:rFonts w:ascii="Times New Roman" w:hAnsi="Times New Roman" w:cs="Times New Roman"/>
          <w:b/>
          <w:bCs/>
          <w:sz w:val="28"/>
          <w:szCs w:val="28"/>
        </w:rPr>
        <w:t xml:space="preserve"> </w:t>
      </w:r>
      <w:r w:rsidRPr="005B1205">
        <w:rPr>
          <w:rFonts w:ascii="Times New Roman" w:hAnsi="Times New Roman" w:cs="Times New Roman"/>
          <w:sz w:val="28"/>
          <w:szCs w:val="28"/>
        </w:rPr>
        <w:t>уваги сукупності норм права ЄС, рішень Суду ЄС та норм законодавства держав</w:t>
      </w:r>
      <w:r>
        <w:rPr>
          <w:rFonts w:ascii="Times New Roman" w:hAnsi="Times New Roman" w:cs="Times New Roman"/>
          <w:sz w:val="28"/>
          <w:szCs w:val="28"/>
        </w:rPr>
        <w:t>-</w:t>
      </w:r>
      <w:r w:rsidRPr="005B1205">
        <w:rPr>
          <w:rFonts w:ascii="Times New Roman" w:hAnsi="Times New Roman" w:cs="Times New Roman"/>
          <w:sz w:val="28"/>
          <w:szCs w:val="28"/>
        </w:rPr>
        <w:t>членів ЄС, що забезпечують функціонування відповідних інститутів охорони</w:t>
      </w:r>
      <w:r>
        <w:rPr>
          <w:rFonts w:ascii="Times New Roman" w:hAnsi="Times New Roman" w:cs="Times New Roman"/>
          <w:b/>
          <w:bCs/>
          <w:sz w:val="28"/>
          <w:szCs w:val="28"/>
        </w:rPr>
        <w:t xml:space="preserve"> </w:t>
      </w:r>
      <w:r w:rsidRPr="005B1205">
        <w:rPr>
          <w:rFonts w:ascii="Times New Roman" w:hAnsi="Times New Roman" w:cs="Times New Roman"/>
          <w:sz w:val="28"/>
          <w:szCs w:val="28"/>
        </w:rPr>
        <w:t>прав інтелектуальної власності. При реалізації Угоди про асоціацію істотним є</w:t>
      </w:r>
      <w:r>
        <w:rPr>
          <w:rFonts w:ascii="Times New Roman" w:hAnsi="Times New Roman" w:cs="Times New Roman"/>
          <w:b/>
          <w:bCs/>
          <w:sz w:val="28"/>
          <w:szCs w:val="28"/>
        </w:rPr>
        <w:t xml:space="preserve"> </w:t>
      </w:r>
      <w:r w:rsidRPr="005B1205">
        <w:rPr>
          <w:rFonts w:ascii="Times New Roman" w:hAnsi="Times New Roman" w:cs="Times New Roman"/>
          <w:sz w:val="28"/>
          <w:szCs w:val="28"/>
        </w:rPr>
        <w:t>запровадження однакового з ЄC правового режиму щодо охорони та захисту</w:t>
      </w:r>
      <w:r>
        <w:rPr>
          <w:rFonts w:ascii="Times New Roman" w:hAnsi="Times New Roman" w:cs="Times New Roman"/>
          <w:b/>
          <w:bCs/>
          <w:sz w:val="28"/>
          <w:szCs w:val="28"/>
        </w:rPr>
        <w:t xml:space="preserve"> </w:t>
      </w:r>
      <w:r w:rsidRPr="005B1205">
        <w:rPr>
          <w:rFonts w:ascii="Times New Roman" w:hAnsi="Times New Roman" w:cs="Times New Roman"/>
          <w:sz w:val="28"/>
          <w:szCs w:val="28"/>
        </w:rPr>
        <w:t>прав інтелектуальної власності в рамках поглибленої і всеохоплюючої зони</w:t>
      </w:r>
      <w:r>
        <w:rPr>
          <w:rFonts w:ascii="Times New Roman" w:hAnsi="Times New Roman" w:cs="Times New Roman"/>
          <w:b/>
          <w:bCs/>
          <w:sz w:val="28"/>
          <w:szCs w:val="28"/>
        </w:rPr>
        <w:t xml:space="preserve"> </w:t>
      </w:r>
      <w:r w:rsidRPr="005B1205">
        <w:rPr>
          <w:rFonts w:ascii="Times New Roman" w:hAnsi="Times New Roman" w:cs="Times New Roman"/>
          <w:sz w:val="28"/>
          <w:szCs w:val="28"/>
        </w:rPr>
        <w:t>вільної торгівлі між Україною та ЄС, а також реалізації цілі асоціації з підтримки</w:t>
      </w:r>
      <w:r>
        <w:rPr>
          <w:rFonts w:ascii="Times New Roman" w:hAnsi="Times New Roman" w:cs="Times New Roman"/>
          <w:b/>
          <w:bCs/>
          <w:sz w:val="28"/>
          <w:szCs w:val="28"/>
        </w:rPr>
        <w:t xml:space="preserve"> </w:t>
      </w:r>
      <w:r w:rsidRPr="005B1205">
        <w:rPr>
          <w:rFonts w:ascii="Times New Roman" w:hAnsi="Times New Roman" w:cs="Times New Roman"/>
          <w:sz w:val="28"/>
          <w:szCs w:val="28"/>
        </w:rPr>
        <w:t>зусиль України стосовно завершення переходу до діючої ринкової економіки, у</w:t>
      </w:r>
      <w:r>
        <w:rPr>
          <w:rFonts w:ascii="Times New Roman" w:hAnsi="Times New Roman" w:cs="Times New Roman"/>
          <w:b/>
          <w:bCs/>
          <w:sz w:val="28"/>
          <w:szCs w:val="28"/>
        </w:rPr>
        <w:t xml:space="preserve"> </w:t>
      </w:r>
      <w:r w:rsidRPr="005B1205">
        <w:rPr>
          <w:rFonts w:ascii="Times New Roman" w:hAnsi="Times New Roman" w:cs="Times New Roman"/>
          <w:sz w:val="28"/>
          <w:szCs w:val="28"/>
        </w:rPr>
        <w:t xml:space="preserve">тому числі шляхом поступової адаптації її законодавства до </w:t>
      </w:r>
      <w:proofErr w:type="spellStart"/>
      <w:r w:rsidRPr="005B1205">
        <w:rPr>
          <w:rFonts w:ascii="Times New Roman" w:hAnsi="Times New Roman" w:cs="Times New Roman"/>
          <w:sz w:val="28"/>
          <w:szCs w:val="28"/>
        </w:rPr>
        <w:t>acquis</w:t>
      </w:r>
      <w:proofErr w:type="spellEnd"/>
      <w:r w:rsidRPr="005B1205">
        <w:rPr>
          <w:rFonts w:ascii="Times New Roman" w:hAnsi="Times New Roman" w:cs="Times New Roman"/>
          <w:sz w:val="28"/>
          <w:szCs w:val="28"/>
        </w:rPr>
        <w:t xml:space="preserve"> ЄС (ст. 1Угоди).</w:t>
      </w:r>
    </w:p>
    <w:p w14:paraId="233B7EFF" w14:textId="06A0AB48" w:rsidR="005B1205" w:rsidRPr="005B1205" w:rsidRDefault="005B1205" w:rsidP="005B1205">
      <w:pPr>
        <w:ind w:left="360" w:firstLine="348"/>
        <w:jc w:val="both"/>
        <w:rPr>
          <w:rFonts w:ascii="Times New Roman" w:hAnsi="Times New Roman" w:cs="Times New Roman"/>
          <w:sz w:val="28"/>
          <w:szCs w:val="28"/>
        </w:rPr>
      </w:pPr>
      <w:r w:rsidRPr="004E5398">
        <w:rPr>
          <w:rFonts w:ascii="Times New Roman" w:hAnsi="Times New Roman" w:cs="Times New Roman"/>
          <w:sz w:val="28"/>
          <w:szCs w:val="28"/>
        </w:rPr>
        <w:t>Удосконалення окремих положень ЦК та усунення термінологічних розбіжностей</w:t>
      </w:r>
      <w:r w:rsidRPr="005B1205">
        <w:rPr>
          <w:rFonts w:ascii="Times New Roman" w:hAnsi="Times New Roman" w:cs="Times New Roman"/>
          <w:b/>
          <w:bCs/>
          <w:sz w:val="28"/>
          <w:szCs w:val="28"/>
        </w:rPr>
        <w:t>.</w:t>
      </w:r>
      <w:r w:rsidRPr="005B1205">
        <w:rPr>
          <w:rFonts w:ascii="Times New Roman" w:hAnsi="Times New Roman" w:cs="Times New Roman"/>
          <w:sz w:val="28"/>
          <w:szCs w:val="28"/>
        </w:rPr>
        <w:t xml:space="preserve"> Вказане, зокрема, стосується питань:</w:t>
      </w:r>
    </w:p>
    <w:p w14:paraId="264F7472" w14:textId="61E2FAFF" w:rsidR="005B1205" w:rsidRPr="005B1205" w:rsidRDefault="005B1205" w:rsidP="005B1205">
      <w:pPr>
        <w:ind w:left="360"/>
        <w:jc w:val="both"/>
        <w:rPr>
          <w:rFonts w:ascii="Times New Roman" w:hAnsi="Times New Roman" w:cs="Times New Roman"/>
          <w:sz w:val="28"/>
          <w:szCs w:val="28"/>
        </w:rPr>
      </w:pPr>
      <w:r w:rsidRPr="005B1205">
        <w:rPr>
          <w:rFonts w:ascii="Times New Roman" w:hAnsi="Times New Roman" w:cs="Times New Roman"/>
          <w:sz w:val="28"/>
          <w:szCs w:val="28"/>
        </w:rPr>
        <w:t>1) визначення способів використання опублікованого твору (ч. 1 ст. 441,</w:t>
      </w:r>
      <w:r>
        <w:rPr>
          <w:rFonts w:ascii="Times New Roman" w:hAnsi="Times New Roman" w:cs="Times New Roman"/>
          <w:sz w:val="28"/>
          <w:szCs w:val="28"/>
        </w:rPr>
        <w:t xml:space="preserve"> </w:t>
      </w:r>
      <w:r w:rsidRPr="005B1205">
        <w:rPr>
          <w:rFonts w:ascii="Times New Roman" w:hAnsi="Times New Roman" w:cs="Times New Roman"/>
          <w:sz w:val="28"/>
          <w:szCs w:val="28"/>
        </w:rPr>
        <w:t>ч. 1 ст. 442);</w:t>
      </w:r>
    </w:p>
    <w:p w14:paraId="513304B7" w14:textId="5561B2E1" w:rsidR="005B1205" w:rsidRPr="005B1205" w:rsidRDefault="005B1205" w:rsidP="005B1205">
      <w:pPr>
        <w:ind w:left="360"/>
        <w:jc w:val="both"/>
        <w:rPr>
          <w:rFonts w:ascii="Times New Roman" w:hAnsi="Times New Roman" w:cs="Times New Roman"/>
          <w:sz w:val="28"/>
          <w:szCs w:val="28"/>
        </w:rPr>
      </w:pPr>
      <w:r w:rsidRPr="005B1205">
        <w:rPr>
          <w:rFonts w:ascii="Times New Roman" w:hAnsi="Times New Roman" w:cs="Times New Roman"/>
          <w:sz w:val="28"/>
          <w:szCs w:val="28"/>
        </w:rPr>
        <w:t>2) обмеження автором використання творів після його смерті (ч. 4 ст. 442);</w:t>
      </w:r>
    </w:p>
    <w:p w14:paraId="5D48691E" w14:textId="382A0A3B" w:rsidR="005B1205" w:rsidRPr="005B1205" w:rsidRDefault="005B1205" w:rsidP="005B1205">
      <w:pPr>
        <w:ind w:left="360"/>
        <w:jc w:val="both"/>
        <w:rPr>
          <w:rFonts w:ascii="Times New Roman" w:hAnsi="Times New Roman" w:cs="Times New Roman"/>
          <w:sz w:val="28"/>
          <w:szCs w:val="28"/>
        </w:rPr>
      </w:pPr>
      <w:r w:rsidRPr="005B1205">
        <w:rPr>
          <w:rFonts w:ascii="Times New Roman" w:hAnsi="Times New Roman" w:cs="Times New Roman"/>
          <w:sz w:val="28"/>
          <w:szCs w:val="28"/>
        </w:rPr>
        <w:t>3) узгодження визначення складу майнових прав інтелектуальної</w:t>
      </w:r>
      <w:r>
        <w:rPr>
          <w:rFonts w:ascii="Times New Roman" w:hAnsi="Times New Roman" w:cs="Times New Roman"/>
          <w:sz w:val="28"/>
          <w:szCs w:val="28"/>
        </w:rPr>
        <w:t xml:space="preserve"> </w:t>
      </w:r>
      <w:r w:rsidRPr="005B1205">
        <w:rPr>
          <w:rFonts w:ascii="Times New Roman" w:hAnsi="Times New Roman" w:cs="Times New Roman"/>
          <w:sz w:val="28"/>
          <w:szCs w:val="28"/>
        </w:rPr>
        <w:t>власності (ст. 424 та ст. 440, 452, 464, 474, 487, 490, 495 тощо);</w:t>
      </w:r>
    </w:p>
    <w:p w14:paraId="1282F82F" w14:textId="428E5702" w:rsidR="005B1205" w:rsidRPr="005B1205" w:rsidRDefault="005B1205" w:rsidP="005B1205">
      <w:pPr>
        <w:ind w:left="360"/>
        <w:jc w:val="both"/>
        <w:rPr>
          <w:rFonts w:ascii="Times New Roman" w:hAnsi="Times New Roman" w:cs="Times New Roman"/>
          <w:sz w:val="28"/>
          <w:szCs w:val="28"/>
        </w:rPr>
      </w:pPr>
      <w:r w:rsidRPr="005B1205">
        <w:rPr>
          <w:rFonts w:ascii="Times New Roman" w:hAnsi="Times New Roman" w:cs="Times New Roman"/>
          <w:sz w:val="28"/>
          <w:szCs w:val="28"/>
        </w:rPr>
        <w:t>4) узгодження положень § 6 «Застава» Глави 49 ЦК щодо предмету</w:t>
      </w:r>
      <w:r>
        <w:rPr>
          <w:rFonts w:ascii="Times New Roman" w:hAnsi="Times New Roman" w:cs="Times New Roman"/>
          <w:sz w:val="28"/>
          <w:szCs w:val="28"/>
        </w:rPr>
        <w:t xml:space="preserve"> </w:t>
      </w:r>
      <w:r w:rsidRPr="005B1205">
        <w:rPr>
          <w:rFonts w:ascii="Times New Roman" w:hAnsi="Times New Roman" w:cs="Times New Roman"/>
          <w:sz w:val="28"/>
          <w:szCs w:val="28"/>
        </w:rPr>
        <w:t>застави з ч. 3 ст. 424 «Майнові права інтелектуальної власності»;</w:t>
      </w:r>
    </w:p>
    <w:p w14:paraId="6DB0C5A7" w14:textId="54DEE1D6" w:rsidR="005B1205" w:rsidRPr="005B1205" w:rsidRDefault="005B1205" w:rsidP="005B1205">
      <w:pPr>
        <w:ind w:left="360"/>
        <w:jc w:val="both"/>
        <w:rPr>
          <w:rFonts w:ascii="Times New Roman" w:hAnsi="Times New Roman" w:cs="Times New Roman"/>
          <w:sz w:val="28"/>
          <w:szCs w:val="28"/>
        </w:rPr>
      </w:pPr>
      <w:r w:rsidRPr="005B1205">
        <w:rPr>
          <w:rFonts w:ascii="Times New Roman" w:hAnsi="Times New Roman" w:cs="Times New Roman"/>
          <w:sz w:val="28"/>
          <w:szCs w:val="28"/>
        </w:rPr>
        <w:lastRenderedPageBreak/>
        <w:t>5) узгодження ч. 2 ст. 430 та ч. 3 ст. 1112 ЦК стосовно майнових прав</w:t>
      </w:r>
      <w:r>
        <w:rPr>
          <w:rFonts w:ascii="Times New Roman" w:hAnsi="Times New Roman" w:cs="Times New Roman"/>
          <w:sz w:val="28"/>
          <w:szCs w:val="28"/>
        </w:rPr>
        <w:t xml:space="preserve"> </w:t>
      </w:r>
      <w:r w:rsidRPr="005B1205">
        <w:rPr>
          <w:rFonts w:ascii="Times New Roman" w:hAnsi="Times New Roman" w:cs="Times New Roman"/>
          <w:sz w:val="28"/>
          <w:szCs w:val="28"/>
        </w:rPr>
        <w:t>інтелектуальної власності на об’єкт, створений за замовленням;</w:t>
      </w:r>
    </w:p>
    <w:p w14:paraId="38775F43" w14:textId="5FC115E9" w:rsidR="005B1205" w:rsidRPr="005B1205" w:rsidRDefault="005B1205" w:rsidP="005B1205">
      <w:pPr>
        <w:ind w:left="360"/>
        <w:jc w:val="both"/>
        <w:rPr>
          <w:rFonts w:ascii="Times New Roman" w:hAnsi="Times New Roman" w:cs="Times New Roman"/>
          <w:sz w:val="28"/>
          <w:szCs w:val="28"/>
        </w:rPr>
      </w:pPr>
      <w:r w:rsidRPr="005B1205">
        <w:rPr>
          <w:rFonts w:ascii="Times New Roman" w:hAnsi="Times New Roman" w:cs="Times New Roman"/>
          <w:sz w:val="28"/>
          <w:szCs w:val="28"/>
        </w:rPr>
        <w:t>6) уточнення положень ст. 432 щодо захисту права інтелектуальної</w:t>
      </w:r>
      <w:r>
        <w:rPr>
          <w:rFonts w:ascii="Times New Roman" w:hAnsi="Times New Roman" w:cs="Times New Roman"/>
          <w:sz w:val="28"/>
          <w:szCs w:val="28"/>
        </w:rPr>
        <w:t xml:space="preserve"> </w:t>
      </w:r>
      <w:r w:rsidRPr="005B1205">
        <w:rPr>
          <w:rFonts w:ascii="Times New Roman" w:hAnsi="Times New Roman" w:cs="Times New Roman"/>
          <w:sz w:val="28"/>
          <w:szCs w:val="28"/>
        </w:rPr>
        <w:t>власності судом відповідно до директиви 2004/48/ЄС;</w:t>
      </w:r>
    </w:p>
    <w:p w14:paraId="2CA6A916" w14:textId="5F96816B" w:rsidR="005B1205" w:rsidRPr="005B1205" w:rsidRDefault="005B1205" w:rsidP="005B1205">
      <w:pPr>
        <w:ind w:left="360"/>
        <w:jc w:val="both"/>
        <w:rPr>
          <w:rFonts w:ascii="Times New Roman" w:hAnsi="Times New Roman" w:cs="Times New Roman"/>
          <w:sz w:val="28"/>
          <w:szCs w:val="28"/>
        </w:rPr>
      </w:pPr>
      <w:r w:rsidRPr="005B1205">
        <w:rPr>
          <w:rFonts w:ascii="Times New Roman" w:hAnsi="Times New Roman" w:cs="Times New Roman"/>
          <w:sz w:val="28"/>
          <w:szCs w:val="28"/>
        </w:rPr>
        <w:t>7) уточнення термінології стосовно організацій мовлення (ч. 3 ст. 451, ст.</w:t>
      </w:r>
      <w:r>
        <w:rPr>
          <w:rFonts w:ascii="Times New Roman" w:hAnsi="Times New Roman" w:cs="Times New Roman"/>
          <w:sz w:val="28"/>
          <w:szCs w:val="28"/>
        </w:rPr>
        <w:t xml:space="preserve"> </w:t>
      </w:r>
      <w:r w:rsidRPr="005B1205">
        <w:rPr>
          <w:rFonts w:ascii="Times New Roman" w:hAnsi="Times New Roman" w:cs="Times New Roman"/>
          <w:sz w:val="28"/>
          <w:szCs w:val="28"/>
        </w:rPr>
        <w:t>455, ч. 3 ст. 456);</w:t>
      </w:r>
    </w:p>
    <w:p w14:paraId="05F70141" w14:textId="5D8CFE78" w:rsidR="005B1205" w:rsidRPr="005B1205" w:rsidRDefault="005B1205" w:rsidP="005B1205">
      <w:pPr>
        <w:ind w:left="360"/>
        <w:jc w:val="both"/>
        <w:rPr>
          <w:rFonts w:ascii="Times New Roman" w:hAnsi="Times New Roman" w:cs="Times New Roman"/>
          <w:sz w:val="28"/>
          <w:szCs w:val="28"/>
        </w:rPr>
      </w:pPr>
      <w:r w:rsidRPr="005B1205">
        <w:rPr>
          <w:rFonts w:ascii="Times New Roman" w:hAnsi="Times New Roman" w:cs="Times New Roman"/>
          <w:sz w:val="28"/>
          <w:szCs w:val="28"/>
        </w:rPr>
        <w:t>8) узгодження ч. 4 і ч. 6 ст. 488 ЦК щодо строків чинності майнових прав</w:t>
      </w:r>
      <w:r>
        <w:rPr>
          <w:rFonts w:ascii="Times New Roman" w:hAnsi="Times New Roman" w:cs="Times New Roman"/>
          <w:sz w:val="28"/>
          <w:szCs w:val="28"/>
        </w:rPr>
        <w:t xml:space="preserve"> </w:t>
      </w:r>
      <w:r w:rsidRPr="005B1205">
        <w:rPr>
          <w:rFonts w:ascii="Times New Roman" w:hAnsi="Times New Roman" w:cs="Times New Roman"/>
          <w:sz w:val="28"/>
          <w:szCs w:val="28"/>
        </w:rPr>
        <w:t>інтелектуальної власності на сорти рослин та породи тварин;</w:t>
      </w:r>
    </w:p>
    <w:p w14:paraId="56AC56A8" w14:textId="2ADED2F1" w:rsidR="005B1205" w:rsidRPr="005B1205" w:rsidRDefault="005B1205" w:rsidP="005B1205">
      <w:pPr>
        <w:ind w:left="360"/>
        <w:jc w:val="both"/>
        <w:rPr>
          <w:rFonts w:ascii="Times New Roman" w:hAnsi="Times New Roman" w:cs="Times New Roman"/>
          <w:sz w:val="28"/>
          <w:szCs w:val="28"/>
        </w:rPr>
      </w:pPr>
      <w:r w:rsidRPr="005B1205">
        <w:rPr>
          <w:rFonts w:ascii="Times New Roman" w:hAnsi="Times New Roman" w:cs="Times New Roman"/>
          <w:sz w:val="28"/>
          <w:szCs w:val="28"/>
        </w:rPr>
        <w:t>9) узгодження термінології щодо строків чинності майнових прав</w:t>
      </w:r>
      <w:r>
        <w:rPr>
          <w:rFonts w:ascii="Times New Roman" w:hAnsi="Times New Roman" w:cs="Times New Roman"/>
          <w:sz w:val="28"/>
          <w:szCs w:val="28"/>
        </w:rPr>
        <w:t xml:space="preserve"> </w:t>
      </w:r>
      <w:r w:rsidRPr="005B1205">
        <w:rPr>
          <w:rFonts w:ascii="Times New Roman" w:hAnsi="Times New Roman" w:cs="Times New Roman"/>
          <w:sz w:val="28"/>
          <w:szCs w:val="28"/>
        </w:rPr>
        <w:t>інтелектуальної власності (ст. 447, 466, 467, 476, 468, 477, 497, 488, 498) та щодо</w:t>
      </w:r>
      <w:r>
        <w:rPr>
          <w:rFonts w:ascii="Times New Roman" w:hAnsi="Times New Roman" w:cs="Times New Roman"/>
          <w:sz w:val="28"/>
          <w:szCs w:val="28"/>
        </w:rPr>
        <w:t xml:space="preserve"> </w:t>
      </w:r>
      <w:r w:rsidRPr="005B1205">
        <w:rPr>
          <w:rFonts w:ascii="Times New Roman" w:hAnsi="Times New Roman" w:cs="Times New Roman"/>
          <w:sz w:val="28"/>
          <w:szCs w:val="28"/>
        </w:rPr>
        <w:t>положень про правові наслідки припинення строку чинності майнових прав</w:t>
      </w:r>
      <w:r>
        <w:rPr>
          <w:rFonts w:ascii="Times New Roman" w:hAnsi="Times New Roman" w:cs="Times New Roman"/>
          <w:sz w:val="28"/>
          <w:szCs w:val="28"/>
        </w:rPr>
        <w:t xml:space="preserve"> </w:t>
      </w:r>
      <w:r w:rsidRPr="005B1205">
        <w:rPr>
          <w:rFonts w:ascii="Times New Roman" w:hAnsi="Times New Roman" w:cs="Times New Roman"/>
          <w:sz w:val="28"/>
          <w:szCs w:val="28"/>
        </w:rPr>
        <w:t>інтелектуальної власності;</w:t>
      </w:r>
    </w:p>
    <w:p w14:paraId="5BA2F0FD" w14:textId="0FF10774" w:rsidR="005B1205" w:rsidRPr="005B1205" w:rsidRDefault="005B1205" w:rsidP="005B1205">
      <w:pPr>
        <w:ind w:left="360"/>
        <w:jc w:val="both"/>
        <w:rPr>
          <w:rFonts w:ascii="Times New Roman" w:hAnsi="Times New Roman" w:cs="Times New Roman"/>
          <w:sz w:val="28"/>
          <w:szCs w:val="28"/>
        </w:rPr>
      </w:pPr>
      <w:r w:rsidRPr="005B1205">
        <w:rPr>
          <w:rFonts w:ascii="Times New Roman" w:hAnsi="Times New Roman" w:cs="Times New Roman"/>
          <w:sz w:val="28"/>
          <w:szCs w:val="28"/>
        </w:rPr>
        <w:t>10) узгодження положень щодо передання майнових прав інтелектуальної</w:t>
      </w:r>
      <w:r>
        <w:rPr>
          <w:rFonts w:ascii="Times New Roman" w:hAnsi="Times New Roman" w:cs="Times New Roman"/>
          <w:sz w:val="28"/>
          <w:szCs w:val="28"/>
        </w:rPr>
        <w:t xml:space="preserve"> </w:t>
      </w:r>
      <w:r w:rsidRPr="005B1205">
        <w:rPr>
          <w:rFonts w:ascii="Times New Roman" w:hAnsi="Times New Roman" w:cs="Times New Roman"/>
          <w:sz w:val="28"/>
          <w:szCs w:val="28"/>
        </w:rPr>
        <w:t>власності на комерційне найменування іншій особі лише разом з цілісним</w:t>
      </w:r>
      <w:r>
        <w:rPr>
          <w:rFonts w:ascii="Times New Roman" w:hAnsi="Times New Roman" w:cs="Times New Roman"/>
          <w:sz w:val="28"/>
          <w:szCs w:val="28"/>
        </w:rPr>
        <w:t xml:space="preserve"> </w:t>
      </w:r>
      <w:r w:rsidRPr="005B1205">
        <w:rPr>
          <w:rFonts w:ascii="Times New Roman" w:hAnsi="Times New Roman" w:cs="Times New Roman"/>
          <w:sz w:val="28"/>
          <w:szCs w:val="28"/>
        </w:rPr>
        <w:t>майновим комплексом особи, якій ці права належать, або його відповідною</w:t>
      </w:r>
      <w:r>
        <w:rPr>
          <w:rFonts w:ascii="Times New Roman" w:hAnsi="Times New Roman" w:cs="Times New Roman"/>
          <w:sz w:val="28"/>
          <w:szCs w:val="28"/>
        </w:rPr>
        <w:t xml:space="preserve"> </w:t>
      </w:r>
      <w:r w:rsidRPr="005B1205">
        <w:rPr>
          <w:rFonts w:ascii="Times New Roman" w:hAnsi="Times New Roman" w:cs="Times New Roman"/>
          <w:sz w:val="28"/>
          <w:szCs w:val="28"/>
        </w:rPr>
        <w:t>частиною (ч. 2 ст. 490 ЦК та положень ст. 191 ЦК «Підприємство як єдиний</w:t>
      </w:r>
      <w:r>
        <w:rPr>
          <w:rFonts w:ascii="Times New Roman" w:hAnsi="Times New Roman" w:cs="Times New Roman"/>
          <w:sz w:val="28"/>
          <w:szCs w:val="28"/>
        </w:rPr>
        <w:t xml:space="preserve"> </w:t>
      </w:r>
      <w:r w:rsidRPr="005B1205">
        <w:rPr>
          <w:rFonts w:ascii="Times New Roman" w:hAnsi="Times New Roman" w:cs="Times New Roman"/>
          <w:sz w:val="28"/>
          <w:szCs w:val="28"/>
        </w:rPr>
        <w:t>майновий комплекс»);</w:t>
      </w:r>
    </w:p>
    <w:p w14:paraId="4F761ADB" w14:textId="72459402" w:rsidR="005B1205" w:rsidRPr="005B1205" w:rsidRDefault="005B1205" w:rsidP="005B1205">
      <w:pPr>
        <w:ind w:left="360"/>
        <w:jc w:val="both"/>
        <w:rPr>
          <w:rFonts w:ascii="Times New Roman" w:hAnsi="Times New Roman" w:cs="Times New Roman"/>
          <w:sz w:val="28"/>
          <w:szCs w:val="28"/>
        </w:rPr>
      </w:pPr>
      <w:r w:rsidRPr="005B1205">
        <w:rPr>
          <w:rFonts w:ascii="Times New Roman" w:hAnsi="Times New Roman" w:cs="Times New Roman"/>
          <w:sz w:val="28"/>
          <w:szCs w:val="28"/>
        </w:rPr>
        <w:t>11) визначення ліцензії як одностороннього правочину, а не як договору</w:t>
      </w:r>
      <w:r>
        <w:rPr>
          <w:rFonts w:ascii="Times New Roman" w:hAnsi="Times New Roman" w:cs="Times New Roman"/>
          <w:sz w:val="28"/>
          <w:szCs w:val="28"/>
        </w:rPr>
        <w:t xml:space="preserve"> </w:t>
      </w:r>
      <w:r w:rsidRPr="005B1205">
        <w:rPr>
          <w:rFonts w:ascii="Times New Roman" w:hAnsi="Times New Roman" w:cs="Times New Roman"/>
          <w:sz w:val="28"/>
          <w:szCs w:val="28"/>
        </w:rPr>
        <w:t>(ст. 1107) із зазначенням про те, що особа, якій надано ліцензію, зобов’язана</w:t>
      </w:r>
      <w:r>
        <w:rPr>
          <w:rFonts w:ascii="Times New Roman" w:hAnsi="Times New Roman" w:cs="Times New Roman"/>
          <w:sz w:val="28"/>
          <w:szCs w:val="28"/>
        </w:rPr>
        <w:t xml:space="preserve"> </w:t>
      </w:r>
      <w:r w:rsidRPr="005B1205">
        <w:rPr>
          <w:rFonts w:ascii="Times New Roman" w:hAnsi="Times New Roman" w:cs="Times New Roman"/>
          <w:sz w:val="28"/>
          <w:szCs w:val="28"/>
        </w:rPr>
        <w:t>дотримуватися умов, на яких її було видано (ст. 1108);</w:t>
      </w:r>
    </w:p>
    <w:p w14:paraId="06C0B818" w14:textId="4ABC7C59" w:rsidR="005B1205" w:rsidRPr="005B1205" w:rsidRDefault="005B1205" w:rsidP="005B1205">
      <w:pPr>
        <w:ind w:left="360"/>
        <w:jc w:val="both"/>
        <w:rPr>
          <w:rFonts w:ascii="Times New Roman" w:hAnsi="Times New Roman" w:cs="Times New Roman"/>
          <w:sz w:val="28"/>
          <w:szCs w:val="28"/>
        </w:rPr>
      </w:pPr>
      <w:r w:rsidRPr="005B1205">
        <w:rPr>
          <w:rFonts w:ascii="Times New Roman" w:hAnsi="Times New Roman" w:cs="Times New Roman"/>
          <w:sz w:val="28"/>
          <w:szCs w:val="28"/>
        </w:rPr>
        <w:t>12) неможливості укладення договору про передання виключних</w:t>
      </w:r>
      <w:r>
        <w:rPr>
          <w:rFonts w:ascii="Times New Roman" w:hAnsi="Times New Roman" w:cs="Times New Roman"/>
          <w:sz w:val="28"/>
          <w:szCs w:val="28"/>
        </w:rPr>
        <w:t xml:space="preserve"> </w:t>
      </w:r>
      <w:r w:rsidRPr="005B1205">
        <w:rPr>
          <w:rFonts w:ascii="Times New Roman" w:hAnsi="Times New Roman" w:cs="Times New Roman"/>
          <w:sz w:val="28"/>
          <w:szCs w:val="28"/>
        </w:rPr>
        <w:t>майнових прав інтелектуальної власності, предметом якого є права, які на</w:t>
      </w:r>
      <w:r>
        <w:rPr>
          <w:rFonts w:ascii="Times New Roman" w:hAnsi="Times New Roman" w:cs="Times New Roman"/>
          <w:sz w:val="28"/>
          <w:szCs w:val="28"/>
        </w:rPr>
        <w:t xml:space="preserve"> </w:t>
      </w:r>
      <w:r w:rsidRPr="005B1205">
        <w:rPr>
          <w:rFonts w:ascii="Times New Roman" w:hAnsi="Times New Roman" w:cs="Times New Roman"/>
          <w:sz w:val="28"/>
          <w:szCs w:val="28"/>
        </w:rPr>
        <w:t>момент укладення договору, ще не виникли (ст. 1113);</w:t>
      </w:r>
    </w:p>
    <w:p w14:paraId="74572EF7" w14:textId="046721E2" w:rsidR="005B1205" w:rsidRPr="005B1205" w:rsidRDefault="005B1205" w:rsidP="005B1205">
      <w:pPr>
        <w:ind w:left="360"/>
        <w:jc w:val="both"/>
        <w:rPr>
          <w:rFonts w:ascii="Times New Roman" w:hAnsi="Times New Roman" w:cs="Times New Roman"/>
          <w:sz w:val="28"/>
          <w:szCs w:val="28"/>
        </w:rPr>
      </w:pPr>
      <w:r w:rsidRPr="005B1205">
        <w:rPr>
          <w:rFonts w:ascii="Times New Roman" w:hAnsi="Times New Roman" w:cs="Times New Roman"/>
          <w:sz w:val="28"/>
          <w:szCs w:val="28"/>
        </w:rPr>
        <w:t>13) уточнення предмета договору комерційної концесії у ст. 1116;</w:t>
      </w:r>
      <w:r>
        <w:rPr>
          <w:rFonts w:ascii="Times New Roman" w:hAnsi="Times New Roman" w:cs="Times New Roman"/>
          <w:sz w:val="28"/>
          <w:szCs w:val="28"/>
        </w:rPr>
        <w:t xml:space="preserve"> </w:t>
      </w:r>
      <w:r w:rsidRPr="005B1205">
        <w:rPr>
          <w:rFonts w:ascii="Times New Roman" w:hAnsi="Times New Roman" w:cs="Times New Roman"/>
          <w:sz w:val="28"/>
          <w:szCs w:val="28"/>
        </w:rPr>
        <w:t>узгодження ч. 2 та ч. 3 ст. 1122 ЦК «Особливі умови договору комерційної</w:t>
      </w:r>
      <w:r>
        <w:rPr>
          <w:rFonts w:ascii="Times New Roman" w:hAnsi="Times New Roman" w:cs="Times New Roman"/>
          <w:sz w:val="28"/>
          <w:szCs w:val="28"/>
        </w:rPr>
        <w:t xml:space="preserve"> </w:t>
      </w:r>
      <w:r w:rsidRPr="005B1205">
        <w:rPr>
          <w:rFonts w:ascii="Times New Roman" w:hAnsi="Times New Roman" w:cs="Times New Roman"/>
          <w:sz w:val="28"/>
          <w:szCs w:val="28"/>
        </w:rPr>
        <w:t>концесії» стосовно нікчемності умов договору;</w:t>
      </w:r>
    </w:p>
    <w:p w14:paraId="71536AD7" w14:textId="07FD22DE" w:rsidR="005B1205" w:rsidRPr="005B1205" w:rsidRDefault="005B1205" w:rsidP="005B1205">
      <w:pPr>
        <w:ind w:left="360"/>
        <w:jc w:val="both"/>
        <w:rPr>
          <w:rFonts w:ascii="Times New Roman" w:hAnsi="Times New Roman" w:cs="Times New Roman"/>
          <w:sz w:val="28"/>
          <w:szCs w:val="28"/>
        </w:rPr>
      </w:pPr>
      <w:r w:rsidRPr="005B1205">
        <w:rPr>
          <w:rFonts w:ascii="Times New Roman" w:hAnsi="Times New Roman" w:cs="Times New Roman"/>
          <w:sz w:val="28"/>
          <w:szCs w:val="28"/>
        </w:rPr>
        <w:t>14) уточнення положень ст. 1072 «Черговість списання грошових коштів</w:t>
      </w:r>
      <w:r>
        <w:rPr>
          <w:rFonts w:ascii="Times New Roman" w:hAnsi="Times New Roman" w:cs="Times New Roman"/>
          <w:sz w:val="28"/>
          <w:szCs w:val="28"/>
        </w:rPr>
        <w:t xml:space="preserve"> </w:t>
      </w:r>
      <w:r w:rsidRPr="005B1205">
        <w:rPr>
          <w:rFonts w:ascii="Times New Roman" w:hAnsi="Times New Roman" w:cs="Times New Roman"/>
          <w:sz w:val="28"/>
          <w:szCs w:val="28"/>
        </w:rPr>
        <w:t>з рахунка» щодо виплат за авторським договором тощо;</w:t>
      </w:r>
    </w:p>
    <w:p w14:paraId="54F56D46" w14:textId="4DDAFF52" w:rsidR="005B1205" w:rsidRPr="004E5398" w:rsidRDefault="005B1205" w:rsidP="005B1205">
      <w:pPr>
        <w:ind w:left="360"/>
        <w:jc w:val="both"/>
        <w:rPr>
          <w:rFonts w:ascii="Times New Roman" w:hAnsi="Times New Roman" w:cs="Times New Roman"/>
          <w:sz w:val="28"/>
          <w:szCs w:val="28"/>
        </w:rPr>
      </w:pPr>
      <w:r w:rsidRPr="005B1205">
        <w:rPr>
          <w:rFonts w:ascii="Times New Roman" w:hAnsi="Times New Roman" w:cs="Times New Roman"/>
          <w:sz w:val="28"/>
          <w:szCs w:val="28"/>
        </w:rPr>
        <w:t>15) врахування при визначенні збитків у ст. 22 ЦК крім втрат у вигляді</w:t>
      </w:r>
      <w:r>
        <w:rPr>
          <w:rFonts w:ascii="Times New Roman" w:hAnsi="Times New Roman" w:cs="Times New Roman"/>
          <w:sz w:val="28"/>
          <w:szCs w:val="28"/>
        </w:rPr>
        <w:t xml:space="preserve"> </w:t>
      </w:r>
      <w:r w:rsidRPr="004E5398">
        <w:rPr>
          <w:rFonts w:ascii="Times New Roman" w:hAnsi="Times New Roman" w:cs="Times New Roman"/>
          <w:sz w:val="28"/>
          <w:szCs w:val="28"/>
        </w:rPr>
        <w:t>знищення чи пошкодження речі – інших майнових втрат тощо.</w:t>
      </w:r>
    </w:p>
    <w:p w14:paraId="7978E14C" w14:textId="497FD021" w:rsidR="005B1205" w:rsidRPr="005B1205" w:rsidRDefault="005B1205" w:rsidP="005B1205">
      <w:pPr>
        <w:ind w:left="360" w:firstLine="348"/>
        <w:jc w:val="both"/>
        <w:rPr>
          <w:rFonts w:ascii="Times New Roman" w:hAnsi="Times New Roman" w:cs="Times New Roman"/>
          <w:b/>
          <w:bCs/>
          <w:sz w:val="28"/>
          <w:szCs w:val="28"/>
        </w:rPr>
      </w:pPr>
      <w:r w:rsidRPr="004E5398">
        <w:rPr>
          <w:rFonts w:ascii="Times New Roman" w:hAnsi="Times New Roman" w:cs="Times New Roman"/>
          <w:sz w:val="28"/>
          <w:szCs w:val="28"/>
        </w:rPr>
        <w:t>Удосконалення інститутів охорони прав на найменування особи та комерційне (фірмове) найменування.</w:t>
      </w:r>
      <w:r w:rsidRPr="005B1205">
        <w:rPr>
          <w:rFonts w:ascii="Times New Roman" w:hAnsi="Times New Roman" w:cs="Times New Roman"/>
          <w:sz w:val="28"/>
          <w:szCs w:val="28"/>
        </w:rPr>
        <w:t xml:space="preserve"> Пропонується уточнити, що комерційне</w:t>
      </w:r>
      <w:r>
        <w:rPr>
          <w:rFonts w:ascii="Times New Roman" w:hAnsi="Times New Roman" w:cs="Times New Roman"/>
          <w:b/>
          <w:bCs/>
          <w:sz w:val="28"/>
          <w:szCs w:val="28"/>
        </w:rPr>
        <w:t xml:space="preserve"> </w:t>
      </w:r>
      <w:r w:rsidRPr="005B1205">
        <w:rPr>
          <w:rFonts w:ascii="Times New Roman" w:hAnsi="Times New Roman" w:cs="Times New Roman"/>
          <w:sz w:val="28"/>
          <w:szCs w:val="28"/>
        </w:rPr>
        <w:t>(фірмове) найменування є додатковим до найменування позначенням особи, та</w:t>
      </w:r>
      <w:r>
        <w:rPr>
          <w:rFonts w:ascii="Times New Roman" w:hAnsi="Times New Roman" w:cs="Times New Roman"/>
          <w:b/>
          <w:bCs/>
          <w:sz w:val="28"/>
          <w:szCs w:val="28"/>
        </w:rPr>
        <w:t xml:space="preserve"> </w:t>
      </w:r>
      <w:r w:rsidRPr="005B1205">
        <w:rPr>
          <w:rFonts w:ascii="Times New Roman" w:hAnsi="Times New Roman" w:cs="Times New Roman"/>
          <w:sz w:val="28"/>
          <w:szCs w:val="28"/>
        </w:rPr>
        <w:t>може застосовуватися самостійно або складати частину найменування</w:t>
      </w:r>
      <w:r>
        <w:rPr>
          <w:rFonts w:ascii="Times New Roman" w:hAnsi="Times New Roman" w:cs="Times New Roman"/>
          <w:b/>
          <w:bCs/>
          <w:sz w:val="28"/>
          <w:szCs w:val="28"/>
        </w:rPr>
        <w:t xml:space="preserve"> </w:t>
      </w:r>
      <w:r w:rsidRPr="005B1205">
        <w:rPr>
          <w:rFonts w:ascii="Times New Roman" w:hAnsi="Times New Roman" w:cs="Times New Roman"/>
          <w:sz w:val="28"/>
          <w:szCs w:val="28"/>
        </w:rPr>
        <w:t>юридичної особи. З метою недопущення введення в оману суб’єктів відносин</w:t>
      </w:r>
      <w:r>
        <w:rPr>
          <w:rFonts w:ascii="Times New Roman" w:hAnsi="Times New Roman" w:cs="Times New Roman"/>
          <w:b/>
          <w:bCs/>
          <w:sz w:val="28"/>
          <w:szCs w:val="28"/>
        </w:rPr>
        <w:t xml:space="preserve"> </w:t>
      </w:r>
      <w:r w:rsidRPr="005B1205">
        <w:rPr>
          <w:rFonts w:ascii="Times New Roman" w:hAnsi="Times New Roman" w:cs="Times New Roman"/>
          <w:sz w:val="28"/>
          <w:szCs w:val="28"/>
        </w:rPr>
        <w:t>щодо діяльності певної особи, яка реєструє пізніше та використовує подібне</w:t>
      </w:r>
      <w:r>
        <w:rPr>
          <w:rFonts w:ascii="Times New Roman" w:hAnsi="Times New Roman" w:cs="Times New Roman"/>
          <w:b/>
          <w:bCs/>
          <w:sz w:val="28"/>
          <w:szCs w:val="28"/>
        </w:rPr>
        <w:t xml:space="preserve"> </w:t>
      </w:r>
      <w:r w:rsidRPr="005B1205">
        <w:rPr>
          <w:rFonts w:ascii="Times New Roman" w:hAnsi="Times New Roman" w:cs="Times New Roman"/>
          <w:sz w:val="28"/>
          <w:szCs w:val="28"/>
        </w:rPr>
        <w:t>(схоже) найменування або його елементи, відповідний правовий інститут також</w:t>
      </w:r>
      <w:r>
        <w:rPr>
          <w:rFonts w:ascii="Times New Roman" w:hAnsi="Times New Roman" w:cs="Times New Roman"/>
          <w:b/>
          <w:bCs/>
          <w:sz w:val="28"/>
          <w:szCs w:val="28"/>
        </w:rPr>
        <w:t xml:space="preserve"> </w:t>
      </w:r>
      <w:r w:rsidRPr="005B1205">
        <w:rPr>
          <w:rFonts w:ascii="Times New Roman" w:hAnsi="Times New Roman" w:cs="Times New Roman"/>
          <w:sz w:val="28"/>
          <w:szCs w:val="28"/>
        </w:rPr>
        <w:t>потребує удосконалення.</w:t>
      </w:r>
    </w:p>
    <w:p w14:paraId="04D45145" w14:textId="77777777" w:rsidR="005B1205" w:rsidRDefault="005B1205" w:rsidP="009A246D">
      <w:pPr>
        <w:ind w:firstLine="348"/>
        <w:jc w:val="both"/>
        <w:rPr>
          <w:rFonts w:ascii="Times New Roman" w:hAnsi="Times New Roman" w:cs="Times New Roman"/>
          <w:sz w:val="28"/>
          <w:szCs w:val="28"/>
        </w:rPr>
      </w:pPr>
      <w:r w:rsidRPr="004E5398">
        <w:rPr>
          <w:rFonts w:ascii="Times New Roman" w:hAnsi="Times New Roman" w:cs="Times New Roman"/>
          <w:sz w:val="28"/>
          <w:szCs w:val="28"/>
        </w:rPr>
        <w:lastRenderedPageBreak/>
        <w:t xml:space="preserve">Адаптація правових режимів охорони комерційної таємниці та </w:t>
      </w:r>
      <w:proofErr w:type="spellStart"/>
      <w:r w:rsidRPr="004E5398">
        <w:rPr>
          <w:rFonts w:ascii="Times New Roman" w:hAnsi="Times New Roman" w:cs="Times New Roman"/>
          <w:sz w:val="28"/>
          <w:szCs w:val="28"/>
        </w:rPr>
        <w:t>ноухау</w:t>
      </w:r>
      <w:proofErr w:type="spellEnd"/>
      <w:r w:rsidRPr="004E5398">
        <w:rPr>
          <w:rFonts w:ascii="Times New Roman" w:hAnsi="Times New Roman" w:cs="Times New Roman"/>
          <w:sz w:val="28"/>
          <w:szCs w:val="28"/>
        </w:rPr>
        <w:t xml:space="preserve"> до законодавства ЄС.</w:t>
      </w:r>
      <w:r w:rsidRPr="005B1205">
        <w:rPr>
          <w:rFonts w:ascii="Times New Roman" w:hAnsi="Times New Roman" w:cs="Times New Roman"/>
          <w:sz w:val="28"/>
          <w:szCs w:val="28"/>
        </w:rPr>
        <w:t xml:space="preserve"> Відповідно до директиви (ЄC) 2016/943 щодо охорони</w:t>
      </w:r>
      <w:r>
        <w:rPr>
          <w:rFonts w:ascii="Times New Roman" w:hAnsi="Times New Roman" w:cs="Times New Roman"/>
          <w:sz w:val="28"/>
          <w:szCs w:val="28"/>
        </w:rPr>
        <w:t xml:space="preserve"> </w:t>
      </w:r>
      <w:r w:rsidRPr="005B1205">
        <w:rPr>
          <w:rFonts w:ascii="Times New Roman" w:hAnsi="Times New Roman" w:cs="Times New Roman"/>
          <w:sz w:val="28"/>
          <w:szCs w:val="28"/>
        </w:rPr>
        <w:t>нерозкритого ноу-хау та бізнесової інформації (комерційної таємниці) проти їх</w:t>
      </w:r>
      <w:r>
        <w:rPr>
          <w:rFonts w:ascii="Times New Roman" w:hAnsi="Times New Roman" w:cs="Times New Roman"/>
          <w:sz w:val="28"/>
          <w:szCs w:val="28"/>
        </w:rPr>
        <w:t xml:space="preserve"> </w:t>
      </w:r>
      <w:r w:rsidRPr="005B1205">
        <w:rPr>
          <w:rFonts w:ascii="Times New Roman" w:hAnsi="Times New Roman" w:cs="Times New Roman"/>
          <w:sz w:val="28"/>
          <w:szCs w:val="28"/>
        </w:rPr>
        <w:t>неправомірного набуття, використання та розкриття, у складі комерційної</w:t>
      </w:r>
      <w:r>
        <w:rPr>
          <w:rFonts w:ascii="Times New Roman" w:hAnsi="Times New Roman" w:cs="Times New Roman"/>
          <w:sz w:val="28"/>
          <w:szCs w:val="28"/>
        </w:rPr>
        <w:t xml:space="preserve"> </w:t>
      </w:r>
      <w:r w:rsidRPr="005B1205">
        <w:rPr>
          <w:rFonts w:ascii="Times New Roman" w:hAnsi="Times New Roman" w:cs="Times New Roman"/>
          <w:sz w:val="28"/>
          <w:szCs w:val="28"/>
        </w:rPr>
        <w:t>таємниці виділяють два види об’єктів: творчого характеру – ноу-хау та</w:t>
      </w:r>
      <w:r>
        <w:rPr>
          <w:rFonts w:ascii="Times New Roman" w:hAnsi="Times New Roman" w:cs="Times New Roman"/>
          <w:sz w:val="28"/>
          <w:szCs w:val="28"/>
        </w:rPr>
        <w:t xml:space="preserve"> </w:t>
      </w:r>
      <w:r w:rsidRPr="005B1205">
        <w:rPr>
          <w:rFonts w:ascii="Times New Roman" w:hAnsi="Times New Roman" w:cs="Times New Roman"/>
          <w:sz w:val="28"/>
          <w:szCs w:val="28"/>
        </w:rPr>
        <w:t>нетворчого – бізнесової інформації. У зв’язку з цим пропонується</w:t>
      </w:r>
    </w:p>
    <w:p w14:paraId="40BB366A" w14:textId="77777777" w:rsidR="005B1205" w:rsidRDefault="005B1205" w:rsidP="005B1205">
      <w:pPr>
        <w:jc w:val="both"/>
        <w:rPr>
          <w:rFonts w:ascii="Times New Roman" w:hAnsi="Times New Roman" w:cs="Times New Roman"/>
          <w:sz w:val="28"/>
          <w:szCs w:val="28"/>
        </w:rPr>
      </w:pPr>
      <w:r>
        <w:rPr>
          <w:rFonts w:ascii="Times New Roman" w:hAnsi="Times New Roman" w:cs="Times New Roman"/>
          <w:b/>
          <w:bCs/>
          <w:sz w:val="28"/>
          <w:szCs w:val="28"/>
        </w:rPr>
        <w:t xml:space="preserve">   </w:t>
      </w:r>
      <w:r w:rsidRPr="005B1205">
        <w:rPr>
          <w:rFonts w:ascii="Times New Roman" w:hAnsi="Times New Roman" w:cs="Times New Roman"/>
          <w:sz w:val="28"/>
          <w:szCs w:val="28"/>
        </w:rPr>
        <w:t xml:space="preserve"> 1) доповнити</w:t>
      </w:r>
      <w:r>
        <w:rPr>
          <w:rFonts w:ascii="Times New Roman" w:hAnsi="Times New Roman" w:cs="Times New Roman"/>
          <w:sz w:val="28"/>
          <w:szCs w:val="28"/>
        </w:rPr>
        <w:t xml:space="preserve"> </w:t>
      </w:r>
      <w:r w:rsidRPr="005B1205">
        <w:rPr>
          <w:rFonts w:ascii="Times New Roman" w:hAnsi="Times New Roman" w:cs="Times New Roman"/>
          <w:sz w:val="28"/>
          <w:szCs w:val="28"/>
        </w:rPr>
        <w:t>Главу 15 ЦК України окремою статтею «Комерційна таємниця» (див. також</w:t>
      </w:r>
      <w:r>
        <w:rPr>
          <w:rFonts w:ascii="Times New Roman" w:hAnsi="Times New Roman" w:cs="Times New Roman"/>
          <w:sz w:val="28"/>
          <w:szCs w:val="28"/>
        </w:rPr>
        <w:t xml:space="preserve"> </w:t>
      </w:r>
      <w:r w:rsidRPr="005B1205">
        <w:rPr>
          <w:rFonts w:ascii="Times New Roman" w:hAnsi="Times New Roman" w:cs="Times New Roman"/>
          <w:sz w:val="28"/>
          <w:szCs w:val="28"/>
        </w:rPr>
        <w:t>пара. 1.13.);</w:t>
      </w:r>
    </w:p>
    <w:p w14:paraId="7E49B257" w14:textId="77777777" w:rsidR="009A246D" w:rsidRDefault="005B1205" w:rsidP="005B1205">
      <w:pPr>
        <w:jc w:val="both"/>
        <w:rPr>
          <w:rFonts w:ascii="Times New Roman" w:hAnsi="Times New Roman" w:cs="Times New Roman"/>
          <w:sz w:val="28"/>
          <w:szCs w:val="28"/>
        </w:rPr>
      </w:pPr>
      <w:r w:rsidRPr="005B120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B1205">
        <w:rPr>
          <w:rFonts w:ascii="Times New Roman" w:hAnsi="Times New Roman" w:cs="Times New Roman"/>
          <w:sz w:val="28"/>
          <w:szCs w:val="28"/>
        </w:rPr>
        <w:t>2) Главу 46 ЦК «Право інтелектуальної власності на комерційну</w:t>
      </w:r>
      <w:r>
        <w:rPr>
          <w:rFonts w:ascii="Times New Roman" w:hAnsi="Times New Roman" w:cs="Times New Roman"/>
          <w:sz w:val="28"/>
          <w:szCs w:val="28"/>
        </w:rPr>
        <w:t xml:space="preserve"> </w:t>
      </w:r>
      <w:r w:rsidRPr="005B1205">
        <w:rPr>
          <w:rFonts w:ascii="Times New Roman" w:hAnsi="Times New Roman" w:cs="Times New Roman"/>
          <w:sz w:val="28"/>
          <w:szCs w:val="28"/>
        </w:rPr>
        <w:t xml:space="preserve">таємницю» замінити Главою «Право інтелектуальної власності на ноу-хау»; </w:t>
      </w:r>
    </w:p>
    <w:p w14:paraId="2101D24D" w14:textId="3569C725" w:rsidR="005B1205" w:rsidRPr="005B1205" w:rsidRDefault="009A246D" w:rsidP="009A246D">
      <w:pPr>
        <w:jc w:val="both"/>
        <w:rPr>
          <w:rFonts w:ascii="Times New Roman" w:hAnsi="Times New Roman" w:cs="Times New Roman"/>
          <w:sz w:val="28"/>
          <w:szCs w:val="28"/>
        </w:rPr>
      </w:pPr>
      <w:r>
        <w:rPr>
          <w:rFonts w:ascii="Times New Roman" w:hAnsi="Times New Roman" w:cs="Times New Roman"/>
          <w:sz w:val="28"/>
          <w:szCs w:val="28"/>
        </w:rPr>
        <w:t xml:space="preserve">   </w:t>
      </w:r>
      <w:r w:rsidR="005B1205" w:rsidRPr="005B1205">
        <w:rPr>
          <w:rFonts w:ascii="Times New Roman" w:hAnsi="Times New Roman" w:cs="Times New Roman"/>
          <w:sz w:val="28"/>
          <w:szCs w:val="28"/>
        </w:rPr>
        <w:t>3)</w:t>
      </w:r>
      <w:r>
        <w:rPr>
          <w:rFonts w:ascii="Times New Roman" w:hAnsi="Times New Roman" w:cs="Times New Roman"/>
          <w:sz w:val="28"/>
          <w:szCs w:val="28"/>
        </w:rPr>
        <w:t xml:space="preserve"> </w:t>
      </w:r>
      <w:r w:rsidR="005B1205" w:rsidRPr="005B1205">
        <w:rPr>
          <w:rFonts w:ascii="Times New Roman" w:hAnsi="Times New Roman" w:cs="Times New Roman"/>
          <w:sz w:val="28"/>
          <w:szCs w:val="28"/>
        </w:rPr>
        <w:t>передбачити, що особливості охорони прав на комерційну таємницю</w:t>
      </w:r>
      <w:r>
        <w:rPr>
          <w:rFonts w:ascii="Times New Roman" w:hAnsi="Times New Roman" w:cs="Times New Roman"/>
          <w:sz w:val="28"/>
          <w:szCs w:val="28"/>
        </w:rPr>
        <w:t xml:space="preserve"> </w:t>
      </w:r>
      <w:r w:rsidR="005B1205" w:rsidRPr="005B1205">
        <w:rPr>
          <w:rFonts w:ascii="Times New Roman" w:hAnsi="Times New Roman" w:cs="Times New Roman"/>
          <w:sz w:val="28"/>
          <w:szCs w:val="28"/>
        </w:rPr>
        <w:t>визначаються законом.</w:t>
      </w:r>
    </w:p>
    <w:p w14:paraId="5DED954F" w14:textId="3D801113" w:rsidR="005B1205" w:rsidRPr="004E5398" w:rsidRDefault="005B1205" w:rsidP="009A246D">
      <w:pPr>
        <w:ind w:firstLine="360"/>
        <w:jc w:val="both"/>
        <w:rPr>
          <w:rFonts w:ascii="Times New Roman" w:hAnsi="Times New Roman" w:cs="Times New Roman"/>
          <w:sz w:val="28"/>
          <w:szCs w:val="28"/>
        </w:rPr>
      </w:pPr>
      <w:r w:rsidRPr="004E5398">
        <w:rPr>
          <w:rFonts w:ascii="Times New Roman" w:hAnsi="Times New Roman" w:cs="Times New Roman"/>
          <w:sz w:val="28"/>
          <w:szCs w:val="28"/>
        </w:rPr>
        <w:t>Посилення охорони прав на корисні моделі та промислові зразки.</w:t>
      </w:r>
    </w:p>
    <w:p w14:paraId="73433C2F" w14:textId="5A91EDCF" w:rsidR="005B1205" w:rsidRPr="005B1205" w:rsidRDefault="005B1205" w:rsidP="009A246D">
      <w:pPr>
        <w:jc w:val="both"/>
        <w:rPr>
          <w:rFonts w:ascii="Times New Roman" w:hAnsi="Times New Roman" w:cs="Times New Roman"/>
          <w:sz w:val="28"/>
          <w:szCs w:val="28"/>
        </w:rPr>
      </w:pPr>
      <w:r w:rsidRPr="005B1205">
        <w:rPr>
          <w:rFonts w:ascii="Times New Roman" w:hAnsi="Times New Roman" w:cs="Times New Roman"/>
          <w:sz w:val="28"/>
          <w:szCs w:val="28"/>
        </w:rPr>
        <w:t>Законодавство України з охорони прав на корисні моделі потребує</w:t>
      </w:r>
      <w:r w:rsidR="009A246D">
        <w:rPr>
          <w:rFonts w:ascii="Times New Roman" w:hAnsi="Times New Roman" w:cs="Times New Roman"/>
          <w:sz w:val="28"/>
          <w:szCs w:val="28"/>
        </w:rPr>
        <w:t xml:space="preserve"> </w:t>
      </w:r>
      <w:r w:rsidRPr="005B1205">
        <w:rPr>
          <w:rFonts w:ascii="Times New Roman" w:hAnsi="Times New Roman" w:cs="Times New Roman"/>
          <w:sz w:val="28"/>
          <w:szCs w:val="28"/>
        </w:rPr>
        <w:t>вдосконалення з наближенням до сучасної законодавчої та судової практики</w:t>
      </w:r>
      <w:r w:rsidR="009A246D">
        <w:rPr>
          <w:rFonts w:ascii="Times New Roman" w:hAnsi="Times New Roman" w:cs="Times New Roman"/>
          <w:sz w:val="28"/>
          <w:szCs w:val="28"/>
        </w:rPr>
        <w:t xml:space="preserve"> </w:t>
      </w:r>
      <w:r w:rsidRPr="005B1205">
        <w:rPr>
          <w:rFonts w:ascii="Times New Roman" w:hAnsi="Times New Roman" w:cs="Times New Roman"/>
          <w:sz w:val="28"/>
          <w:szCs w:val="28"/>
        </w:rPr>
        <w:t>провідних держав-членів ЄС, які в інтересах розвитку промисловості та</w:t>
      </w:r>
      <w:r w:rsidR="009A246D">
        <w:rPr>
          <w:rFonts w:ascii="Times New Roman" w:hAnsi="Times New Roman" w:cs="Times New Roman"/>
          <w:sz w:val="28"/>
          <w:szCs w:val="28"/>
        </w:rPr>
        <w:t xml:space="preserve"> </w:t>
      </w:r>
      <w:r w:rsidRPr="005B1205">
        <w:rPr>
          <w:rFonts w:ascii="Times New Roman" w:hAnsi="Times New Roman" w:cs="Times New Roman"/>
          <w:sz w:val="28"/>
          <w:szCs w:val="28"/>
        </w:rPr>
        <w:t>інвестицій забезпечують високий рівень захисту прав на винаходи та</w:t>
      </w:r>
      <w:r w:rsidR="009A246D">
        <w:rPr>
          <w:rFonts w:ascii="Times New Roman" w:hAnsi="Times New Roman" w:cs="Times New Roman"/>
          <w:sz w:val="28"/>
          <w:szCs w:val="28"/>
        </w:rPr>
        <w:t xml:space="preserve"> </w:t>
      </w:r>
      <w:r w:rsidRPr="005B1205">
        <w:rPr>
          <w:rFonts w:ascii="Times New Roman" w:hAnsi="Times New Roman" w:cs="Times New Roman"/>
          <w:sz w:val="28"/>
          <w:szCs w:val="28"/>
        </w:rPr>
        <w:t>унеможливлюють зловживання правами на корисну модель для обходу</w:t>
      </w:r>
      <w:r w:rsidR="009A246D">
        <w:rPr>
          <w:rFonts w:ascii="Times New Roman" w:hAnsi="Times New Roman" w:cs="Times New Roman"/>
          <w:sz w:val="28"/>
          <w:szCs w:val="28"/>
        </w:rPr>
        <w:t xml:space="preserve"> </w:t>
      </w:r>
      <w:r w:rsidRPr="005B1205">
        <w:rPr>
          <w:rFonts w:ascii="Times New Roman" w:hAnsi="Times New Roman" w:cs="Times New Roman"/>
          <w:sz w:val="28"/>
          <w:szCs w:val="28"/>
        </w:rPr>
        <w:t>винаходу, зокрема, через виключення з правової охорони корисної моделі або</w:t>
      </w:r>
      <w:r w:rsidR="009A246D">
        <w:rPr>
          <w:rFonts w:ascii="Times New Roman" w:hAnsi="Times New Roman" w:cs="Times New Roman"/>
          <w:sz w:val="28"/>
          <w:szCs w:val="28"/>
        </w:rPr>
        <w:t xml:space="preserve"> </w:t>
      </w:r>
      <w:r w:rsidRPr="005B1205">
        <w:rPr>
          <w:rFonts w:ascii="Times New Roman" w:hAnsi="Times New Roman" w:cs="Times New Roman"/>
          <w:sz w:val="28"/>
          <w:szCs w:val="28"/>
        </w:rPr>
        <w:t>визначення корисної моделі як форми охорони прав на винахід з наявністю</w:t>
      </w:r>
      <w:r w:rsidR="009A246D">
        <w:rPr>
          <w:rFonts w:ascii="Times New Roman" w:hAnsi="Times New Roman" w:cs="Times New Roman"/>
          <w:sz w:val="28"/>
          <w:szCs w:val="28"/>
        </w:rPr>
        <w:t xml:space="preserve"> </w:t>
      </w:r>
      <w:r w:rsidRPr="005B1205">
        <w:rPr>
          <w:rFonts w:ascii="Times New Roman" w:hAnsi="Times New Roman" w:cs="Times New Roman"/>
          <w:sz w:val="28"/>
          <w:szCs w:val="28"/>
        </w:rPr>
        <w:t>критерію винахідницького рівня. Інший підхід – розгляд корисної моделі як</w:t>
      </w:r>
      <w:r w:rsidR="009A246D">
        <w:rPr>
          <w:rFonts w:ascii="Times New Roman" w:hAnsi="Times New Roman" w:cs="Times New Roman"/>
          <w:sz w:val="28"/>
          <w:szCs w:val="28"/>
        </w:rPr>
        <w:t xml:space="preserve"> </w:t>
      </w:r>
      <w:r w:rsidRPr="005B1205">
        <w:rPr>
          <w:rFonts w:ascii="Times New Roman" w:hAnsi="Times New Roman" w:cs="Times New Roman"/>
          <w:sz w:val="28"/>
          <w:szCs w:val="28"/>
        </w:rPr>
        <w:t>окремого об’єкту, проте з наявністю критерію винахідницького рівня</w:t>
      </w:r>
      <w:r w:rsidR="009A246D">
        <w:rPr>
          <w:rFonts w:ascii="Times New Roman" w:hAnsi="Times New Roman" w:cs="Times New Roman"/>
          <w:sz w:val="28"/>
          <w:szCs w:val="28"/>
        </w:rPr>
        <w:t xml:space="preserve"> </w:t>
      </w:r>
      <w:r w:rsidRPr="005B1205">
        <w:rPr>
          <w:rFonts w:ascii="Times New Roman" w:hAnsi="Times New Roman" w:cs="Times New Roman"/>
          <w:sz w:val="28"/>
          <w:szCs w:val="28"/>
        </w:rPr>
        <w:t>(прирівнювання критерію винахідницького кроку до винахідницького рівня) або</w:t>
      </w:r>
      <w:r w:rsidR="009A246D">
        <w:rPr>
          <w:rFonts w:ascii="Times New Roman" w:hAnsi="Times New Roman" w:cs="Times New Roman"/>
          <w:sz w:val="28"/>
          <w:szCs w:val="28"/>
        </w:rPr>
        <w:t xml:space="preserve"> </w:t>
      </w:r>
      <w:r w:rsidRPr="005B1205">
        <w:rPr>
          <w:rFonts w:ascii="Times New Roman" w:hAnsi="Times New Roman" w:cs="Times New Roman"/>
          <w:sz w:val="28"/>
          <w:szCs w:val="28"/>
        </w:rPr>
        <w:t>лише як тривимірного об’єкту.</w:t>
      </w:r>
    </w:p>
    <w:p w14:paraId="1A83ECCD" w14:textId="3D539B6A" w:rsidR="005B1205" w:rsidRPr="009A246D" w:rsidRDefault="005B1205" w:rsidP="009A246D">
      <w:pPr>
        <w:ind w:firstLine="348"/>
        <w:jc w:val="both"/>
        <w:rPr>
          <w:rFonts w:ascii="Times New Roman" w:hAnsi="Times New Roman" w:cs="Times New Roman"/>
          <w:b/>
          <w:bCs/>
          <w:sz w:val="28"/>
          <w:szCs w:val="28"/>
        </w:rPr>
      </w:pPr>
      <w:r w:rsidRPr="004E5398">
        <w:rPr>
          <w:rFonts w:ascii="Times New Roman" w:hAnsi="Times New Roman" w:cs="Times New Roman"/>
          <w:sz w:val="28"/>
          <w:szCs w:val="28"/>
        </w:rPr>
        <w:t>Уточнення форми правочинів щодо розпорядження майновими правами</w:t>
      </w:r>
      <w:r w:rsidR="009A246D" w:rsidRPr="004E5398">
        <w:rPr>
          <w:rFonts w:ascii="Times New Roman" w:hAnsi="Times New Roman" w:cs="Times New Roman"/>
          <w:sz w:val="28"/>
          <w:szCs w:val="28"/>
        </w:rPr>
        <w:t xml:space="preserve"> </w:t>
      </w:r>
      <w:r w:rsidRPr="004E5398">
        <w:rPr>
          <w:rFonts w:ascii="Times New Roman" w:hAnsi="Times New Roman" w:cs="Times New Roman"/>
          <w:sz w:val="28"/>
          <w:szCs w:val="28"/>
        </w:rPr>
        <w:t>інтелектуальної власності та порядку укладення публічного ліцензійного</w:t>
      </w:r>
      <w:r w:rsidR="009A246D" w:rsidRPr="004E5398">
        <w:rPr>
          <w:rFonts w:ascii="Times New Roman" w:hAnsi="Times New Roman" w:cs="Times New Roman"/>
          <w:sz w:val="28"/>
          <w:szCs w:val="28"/>
        </w:rPr>
        <w:t xml:space="preserve"> </w:t>
      </w:r>
      <w:r w:rsidRPr="004E5398">
        <w:rPr>
          <w:rFonts w:ascii="Times New Roman" w:hAnsi="Times New Roman" w:cs="Times New Roman"/>
          <w:sz w:val="28"/>
          <w:szCs w:val="28"/>
        </w:rPr>
        <w:t>договору</w:t>
      </w:r>
      <w:r w:rsidRPr="009A246D">
        <w:rPr>
          <w:rFonts w:ascii="Times New Roman" w:hAnsi="Times New Roman" w:cs="Times New Roman"/>
          <w:b/>
          <w:bCs/>
          <w:sz w:val="28"/>
          <w:szCs w:val="28"/>
        </w:rPr>
        <w:t>.</w:t>
      </w:r>
      <w:r w:rsidRPr="005B1205">
        <w:rPr>
          <w:rFonts w:ascii="Times New Roman" w:hAnsi="Times New Roman" w:cs="Times New Roman"/>
          <w:sz w:val="28"/>
          <w:szCs w:val="28"/>
        </w:rPr>
        <w:t xml:space="preserve"> У зв’язку з широким використанням в іноземних країнах ліцензій</w:t>
      </w:r>
      <w:r w:rsidR="009A246D">
        <w:rPr>
          <w:rFonts w:ascii="Times New Roman" w:hAnsi="Times New Roman" w:cs="Times New Roman"/>
          <w:b/>
          <w:bCs/>
          <w:sz w:val="28"/>
          <w:szCs w:val="28"/>
        </w:rPr>
        <w:t xml:space="preserve"> </w:t>
      </w:r>
      <w:r w:rsidRPr="005B1205">
        <w:rPr>
          <w:rFonts w:ascii="Times New Roman" w:hAnsi="Times New Roman" w:cs="Times New Roman"/>
          <w:sz w:val="28"/>
          <w:szCs w:val="28"/>
        </w:rPr>
        <w:t>відкритого доступу до твору, пропонується у Главі 75 ЦК передбачити</w:t>
      </w:r>
      <w:r w:rsidR="009A246D">
        <w:rPr>
          <w:rFonts w:ascii="Times New Roman" w:hAnsi="Times New Roman" w:cs="Times New Roman"/>
          <w:b/>
          <w:bCs/>
          <w:sz w:val="28"/>
          <w:szCs w:val="28"/>
        </w:rPr>
        <w:t xml:space="preserve"> </w:t>
      </w:r>
      <w:r w:rsidRPr="005B1205">
        <w:rPr>
          <w:rFonts w:ascii="Times New Roman" w:hAnsi="Times New Roman" w:cs="Times New Roman"/>
          <w:sz w:val="28"/>
          <w:szCs w:val="28"/>
        </w:rPr>
        <w:t>можливість укладення правочинів щодо розпорядження майновими правами</w:t>
      </w:r>
      <w:r w:rsidR="009A246D">
        <w:rPr>
          <w:rFonts w:ascii="Times New Roman" w:hAnsi="Times New Roman" w:cs="Times New Roman"/>
          <w:b/>
          <w:bCs/>
          <w:sz w:val="28"/>
          <w:szCs w:val="28"/>
        </w:rPr>
        <w:t xml:space="preserve"> </w:t>
      </w:r>
      <w:r w:rsidRPr="005B1205">
        <w:rPr>
          <w:rFonts w:ascii="Times New Roman" w:hAnsi="Times New Roman" w:cs="Times New Roman"/>
          <w:sz w:val="28"/>
          <w:szCs w:val="28"/>
        </w:rPr>
        <w:t>інтелектуальної власності в електронній формі, а також правила про порядок</w:t>
      </w:r>
      <w:r w:rsidR="009A246D">
        <w:rPr>
          <w:rFonts w:ascii="Times New Roman" w:hAnsi="Times New Roman" w:cs="Times New Roman"/>
          <w:b/>
          <w:bCs/>
          <w:sz w:val="28"/>
          <w:szCs w:val="28"/>
        </w:rPr>
        <w:t xml:space="preserve"> </w:t>
      </w:r>
      <w:r w:rsidRPr="005B1205">
        <w:rPr>
          <w:rFonts w:ascii="Times New Roman" w:hAnsi="Times New Roman" w:cs="Times New Roman"/>
          <w:sz w:val="28"/>
          <w:szCs w:val="28"/>
        </w:rPr>
        <w:t>укладення публічного ліцензійного договору. Такі правила містяться, зокрема у</w:t>
      </w:r>
      <w:r w:rsidR="009A246D">
        <w:rPr>
          <w:rFonts w:ascii="Times New Roman" w:hAnsi="Times New Roman" w:cs="Times New Roman"/>
          <w:b/>
          <w:bCs/>
          <w:sz w:val="28"/>
          <w:szCs w:val="28"/>
        </w:rPr>
        <w:t xml:space="preserve"> </w:t>
      </w:r>
      <w:r w:rsidRPr="005B1205">
        <w:rPr>
          <w:rFonts w:ascii="Times New Roman" w:hAnsi="Times New Roman" w:cs="Times New Roman"/>
          <w:sz w:val="28"/>
          <w:szCs w:val="28"/>
        </w:rPr>
        <w:t>проєкті Закону України «Про авторське право і суміжні права» від 10 березня</w:t>
      </w:r>
      <w:r w:rsidR="009A246D">
        <w:rPr>
          <w:rFonts w:ascii="Times New Roman" w:hAnsi="Times New Roman" w:cs="Times New Roman"/>
          <w:b/>
          <w:bCs/>
          <w:sz w:val="28"/>
          <w:szCs w:val="28"/>
        </w:rPr>
        <w:t xml:space="preserve"> </w:t>
      </w:r>
      <w:r w:rsidRPr="005B1205">
        <w:rPr>
          <w:rFonts w:ascii="Times New Roman" w:hAnsi="Times New Roman" w:cs="Times New Roman"/>
          <w:sz w:val="28"/>
          <w:szCs w:val="28"/>
        </w:rPr>
        <w:t>2020 р. (Мінекономіки України).</w:t>
      </w:r>
    </w:p>
    <w:p w14:paraId="52203B6E" w14:textId="00F4E74B" w:rsidR="005B1205" w:rsidRPr="004E5398" w:rsidRDefault="005B1205" w:rsidP="009A246D">
      <w:pPr>
        <w:ind w:firstLine="360"/>
        <w:jc w:val="both"/>
        <w:rPr>
          <w:rFonts w:ascii="Times New Roman" w:hAnsi="Times New Roman" w:cs="Times New Roman"/>
          <w:sz w:val="28"/>
          <w:szCs w:val="28"/>
        </w:rPr>
      </w:pPr>
      <w:r w:rsidRPr="004E5398">
        <w:rPr>
          <w:rFonts w:ascii="Times New Roman" w:hAnsi="Times New Roman" w:cs="Times New Roman"/>
          <w:sz w:val="28"/>
          <w:szCs w:val="28"/>
        </w:rPr>
        <w:t xml:space="preserve"> Конкретизація змісту майнових прав інтелектуальної власності.</w:t>
      </w:r>
    </w:p>
    <w:p w14:paraId="047D2E99" w14:textId="3AF2C7D4" w:rsidR="005B1205" w:rsidRDefault="005B1205" w:rsidP="009A246D">
      <w:pPr>
        <w:jc w:val="both"/>
        <w:rPr>
          <w:rFonts w:ascii="Times New Roman" w:hAnsi="Times New Roman" w:cs="Times New Roman"/>
          <w:sz w:val="28"/>
          <w:szCs w:val="28"/>
        </w:rPr>
      </w:pPr>
      <w:r w:rsidRPr="005B1205">
        <w:rPr>
          <w:rFonts w:ascii="Times New Roman" w:hAnsi="Times New Roman" w:cs="Times New Roman"/>
          <w:sz w:val="28"/>
          <w:szCs w:val="28"/>
        </w:rPr>
        <w:t>Актуальним в рамках оновлення спеціального законодавства з охорони</w:t>
      </w:r>
      <w:r w:rsidR="009A246D">
        <w:rPr>
          <w:rFonts w:ascii="Times New Roman" w:hAnsi="Times New Roman" w:cs="Times New Roman"/>
          <w:sz w:val="28"/>
          <w:szCs w:val="28"/>
        </w:rPr>
        <w:t xml:space="preserve"> </w:t>
      </w:r>
      <w:r w:rsidRPr="005B1205">
        <w:rPr>
          <w:rFonts w:ascii="Times New Roman" w:hAnsi="Times New Roman" w:cs="Times New Roman"/>
          <w:sz w:val="28"/>
          <w:szCs w:val="28"/>
        </w:rPr>
        <w:t>винаходів, корисних моделей, промислових зразків, є внесення змін щодо змісту</w:t>
      </w:r>
      <w:r w:rsidR="009A246D">
        <w:rPr>
          <w:rFonts w:ascii="Times New Roman" w:hAnsi="Times New Roman" w:cs="Times New Roman"/>
          <w:sz w:val="28"/>
          <w:szCs w:val="28"/>
        </w:rPr>
        <w:t xml:space="preserve"> </w:t>
      </w:r>
      <w:r w:rsidRPr="005B1205">
        <w:rPr>
          <w:rFonts w:ascii="Times New Roman" w:hAnsi="Times New Roman" w:cs="Times New Roman"/>
          <w:sz w:val="28"/>
          <w:szCs w:val="28"/>
        </w:rPr>
        <w:t>майнових прав інтелектуальної власності, а також узгодження положень</w:t>
      </w:r>
      <w:r w:rsidR="009A246D">
        <w:rPr>
          <w:rFonts w:ascii="Times New Roman" w:hAnsi="Times New Roman" w:cs="Times New Roman"/>
          <w:sz w:val="28"/>
          <w:szCs w:val="28"/>
        </w:rPr>
        <w:t xml:space="preserve"> </w:t>
      </w:r>
      <w:r w:rsidRPr="005B1205">
        <w:rPr>
          <w:rFonts w:ascii="Times New Roman" w:hAnsi="Times New Roman" w:cs="Times New Roman"/>
          <w:sz w:val="28"/>
          <w:szCs w:val="28"/>
        </w:rPr>
        <w:t>спеціального законодавства та положень ЦК.</w:t>
      </w:r>
    </w:p>
    <w:p w14:paraId="54709C7A" w14:textId="77777777" w:rsidR="009A246D" w:rsidRDefault="009A246D" w:rsidP="009A246D">
      <w:pPr>
        <w:jc w:val="both"/>
        <w:rPr>
          <w:rFonts w:ascii="Times New Roman" w:hAnsi="Times New Roman" w:cs="Times New Roman"/>
          <w:sz w:val="28"/>
          <w:szCs w:val="28"/>
        </w:rPr>
      </w:pPr>
    </w:p>
    <w:p w14:paraId="66D13A67" w14:textId="17D3B9E8" w:rsidR="009A246D" w:rsidRPr="00685307" w:rsidRDefault="009A246D" w:rsidP="009A246D">
      <w:pPr>
        <w:pStyle w:val="a9"/>
        <w:numPr>
          <w:ilvl w:val="0"/>
          <w:numId w:val="2"/>
        </w:numPr>
        <w:jc w:val="both"/>
        <w:rPr>
          <w:rFonts w:ascii="Times New Roman" w:hAnsi="Times New Roman" w:cs="Times New Roman"/>
          <w:b/>
          <w:bCs/>
          <w:sz w:val="28"/>
          <w:szCs w:val="28"/>
        </w:rPr>
      </w:pPr>
      <w:r w:rsidRPr="009A246D">
        <w:rPr>
          <w:rFonts w:ascii="Times New Roman" w:hAnsi="Times New Roman" w:cs="Times New Roman"/>
          <w:b/>
          <w:bCs/>
          <w:iCs/>
          <w:sz w:val="28"/>
          <w:szCs w:val="28"/>
        </w:rPr>
        <w:t>Створення сприятливого клімату для європейських інвестицій</w:t>
      </w:r>
    </w:p>
    <w:p w14:paraId="29F4F7C3" w14:textId="77777777" w:rsidR="00685307" w:rsidRPr="00685307" w:rsidRDefault="00685307" w:rsidP="00685307">
      <w:pPr>
        <w:pStyle w:val="a9"/>
        <w:ind w:left="360"/>
        <w:jc w:val="both"/>
        <w:rPr>
          <w:rFonts w:ascii="Times New Roman" w:hAnsi="Times New Roman" w:cs="Times New Roman"/>
          <w:sz w:val="28"/>
          <w:szCs w:val="28"/>
        </w:rPr>
      </w:pPr>
      <w:r w:rsidRPr="00685307">
        <w:rPr>
          <w:rFonts w:ascii="Times New Roman" w:hAnsi="Times New Roman" w:cs="Times New Roman"/>
          <w:sz w:val="28"/>
          <w:szCs w:val="28"/>
        </w:rPr>
        <w:lastRenderedPageBreak/>
        <w:t>Створення сприятливого інвестиційного клімату для європейських партнерів — це не лише економічне, а й юридичне питання. Для інвестора з ЄС ключовими є передбачуваність, верховенство права та захист активів.</w:t>
      </w:r>
    </w:p>
    <w:p w14:paraId="485CF0F7" w14:textId="01082F94" w:rsidR="00685307" w:rsidRPr="00685307" w:rsidRDefault="00685307" w:rsidP="00685307">
      <w:pPr>
        <w:ind w:firstLine="708"/>
        <w:jc w:val="both"/>
        <w:rPr>
          <w:rFonts w:ascii="Times New Roman" w:hAnsi="Times New Roman" w:cs="Times New Roman"/>
          <w:sz w:val="28"/>
          <w:szCs w:val="28"/>
        </w:rPr>
      </w:pPr>
      <w:r w:rsidRPr="00685307">
        <w:rPr>
          <w:rFonts w:ascii="Times New Roman" w:hAnsi="Times New Roman" w:cs="Times New Roman"/>
          <w:sz w:val="28"/>
          <w:szCs w:val="28"/>
        </w:rPr>
        <w:t xml:space="preserve"> </w:t>
      </w:r>
      <w:r>
        <w:rPr>
          <w:rFonts w:ascii="Times New Roman" w:hAnsi="Times New Roman" w:cs="Times New Roman"/>
          <w:sz w:val="28"/>
          <w:szCs w:val="28"/>
        </w:rPr>
        <w:tab/>
        <w:t>С</w:t>
      </w:r>
      <w:r w:rsidRPr="00685307">
        <w:rPr>
          <w:rFonts w:ascii="Times New Roman" w:hAnsi="Times New Roman" w:cs="Times New Roman"/>
          <w:sz w:val="28"/>
          <w:szCs w:val="28"/>
        </w:rPr>
        <w:t>труктур</w:t>
      </w:r>
      <w:r>
        <w:rPr>
          <w:rFonts w:ascii="Times New Roman" w:hAnsi="Times New Roman" w:cs="Times New Roman"/>
          <w:sz w:val="28"/>
          <w:szCs w:val="28"/>
        </w:rPr>
        <w:t>а</w:t>
      </w:r>
      <w:r w:rsidRPr="00685307">
        <w:rPr>
          <w:rFonts w:ascii="Times New Roman" w:hAnsi="Times New Roman" w:cs="Times New Roman"/>
          <w:sz w:val="28"/>
          <w:szCs w:val="28"/>
        </w:rPr>
        <w:t xml:space="preserve"> правової бази, яка формує цей клімат в Укр</w:t>
      </w:r>
      <w:r>
        <w:rPr>
          <w:rFonts w:ascii="Times New Roman" w:hAnsi="Times New Roman" w:cs="Times New Roman"/>
          <w:sz w:val="28"/>
          <w:szCs w:val="28"/>
        </w:rPr>
        <w:t>аїні</w:t>
      </w:r>
    </w:p>
    <w:p w14:paraId="30951DAE" w14:textId="77777777" w:rsidR="00685307" w:rsidRPr="00685307" w:rsidRDefault="00685307" w:rsidP="00685307">
      <w:pPr>
        <w:pStyle w:val="a9"/>
        <w:jc w:val="both"/>
        <w:rPr>
          <w:rFonts w:ascii="Times New Roman" w:hAnsi="Times New Roman" w:cs="Times New Roman"/>
          <w:b/>
          <w:bCs/>
          <w:sz w:val="28"/>
          <w:szCs w:val="28"/>
        </w:rPr>
      </w:pPr>
      <w:r w:rsidRPr="00685307">
        <w:rPr>
          <w:rFonts w:ascii="Times New Roman" w:hAnsi="Times New Roman" w:cs="Times New Roman"/>
          <w:b/>
          <w:bCs/>
          <w:sz w:val="28"/>
          <w:szCs w:val="28"/>
        </w:rPr>
        <w:t>1. Міжнародно-правовий фундамент</w:t>
      </w:r>
    </w:p>
    <w:p w14:paraId="63A06FE7" w14:textId="77777777" w:rsidR="00685307" w:rsidRPr="00685307" w:rsidRDefault="00685307" w:rsidP="00685307">
      <w:pPr>
        <w:pStyle w:val="a9"/>
        <w:jc w:val="both"/>
        <w:rPr>
          <w:rFonts w:ascii="Times New Roman" w:hAnsi="Times New Roman" w:cs="Times New Roman"/>
          <w:sz w:val="28"/>
          <w:szCs w:val="28"/>
        </w:rPr>
      </w:pPr>
      <w:r w:rsidRPr="00685307">
        <w:rPr>
          <w:rFonts w:ascii="Times New Roman" w:hAnsi="Times New Roman" w:cs="Times New Roman"/>
          <w:sz w:val="28"/>
          <w:szCs w:val="28"/>
        </w:rPr>
        <w:t>Основою відносин між Україною та ЄС є документи, що гармонізують наше законодавство з європейськими стандартами.</w:t>
      </w:r>
    </w:p>
    <w:p w14:paraId="1CF1ED00" w14:textId="77777777" w:rsidR="00685307" w:rsidRPr="004E5398" w:rsidRDefault="00685307" w:rsidP="00685307">
      <w:pPr>
        <w:pStyle w:val="a9"/>
        <w:numPr>
          <w:ilvl w:val="0"/>
          <w:numId w:val="8"/>
        </w:numPr>
        <w:jc w:val="both"/>
        <w:rPr>
          <w:rFonts w:ascii="Times New Roman" w:hAnsi="Times New Roman" w:cs="Times New Roman"/>
          <w:sz w:val="28"/>
          <w:szCs w:val="28"/>
        </w:rPr>
      </w:pPr>
      <w:r w:rsidRPr="004E5398">
        <w:rPr>
          <w:rFonts w:ascii="Times New Roman" w:hAnsi="Times New Roman" w:cs="Times New Roman"/>
          <w:sz w:val="28"/>
          <w:szCs w:val="28"/>
        </w:rPr>
        <w:t>Угода про асоціацію між Україною та ЄС: Головний документ, що зобов’язує Україну впроваджувати "</w:t>
      </w:r>
      <w:proofErr w:type="spellStart"/>
      <w:r w:rsidRPr="004E5398">
        <w:rPr>
          <w:rFonts w:ascii="Times New Roman" w:hAnsi="Times New Roman" w:cs="Times New Roman"/>
          <w:sz w:val="28"/>
          <w:szCs w:val="28"/>
        </w:rPr>
        <w:t>acquis</w:t>
      </w:r>
      <w:proofErr w:type="spellEnd"/>
      <w:r w:rsidRPr="004E5398">
        <w:rPr>
          <w:rFonts w:ascii="Times New Roman" w:hAnsi="Times New Roman" w:cs="Times New Roman"/>
          <w:sz w:val="28"/>
          <w:szCs w:val="28"/>
        </w:rPr>
        <w:t xml:space="preserve"> </w:t>
      </w:r>
      <w:proofErr w:type="spellStart"/>
      <w:r w:rsidRPr="004E5398">
        <w:rPr>
          <w:rFonts w:ascii="Times New Roman" w:hAnsi="Times New Roman" w:cs="Times New Roman"/>
          <w:sz w:val="28"/>
          <w:szCs w:val="28"/>
        </w:rPr>
        <w:t>communautaire</w:t>
      </w:r>
      <w:proofErr w:type="spellEnd"/>
      <w:r w:rsidRPr="004E5398">
        <w:rPr>
          <w:rFonts w:ascii="Times New Roman" w:hAnsi="Times New Roman" w:cs="Times New Roman"/>
          <w:sz w:val="28"/>
          <w:szCs w:val="28"/>
        </w:rPr>
        <w:t>" (систему права ЄС), що робить правила гри зрозумілими для європейського бізнесу.</w:t>
      </w:r>
    </w:p>
    <w:p w14:paraId="081DEB0D" w14:textId="77777777" w:rsidR="00685307" w:rsidRPr="004E5398" w:rsidRDefault="00685307" w:rsidP="00685307">
      <w:pPr>
        <w:pStyle w:val="a9"/>
        <w:numPr>
          <w:ilvl w:val="0"/>
          <w:numId w:val="8"/>
        </w:numPr>
        <w:jc w:val="both"/>
        <w:rPr>
          <w:rFonts w:ascii="Times New Roman" w:hAnsi="Times New Roman" w:cs="Times New Roman"/>
          <w:sz w:val="28"/>
          <w:szCs w:val="28"/>
        </w:rPr>
      </w:pPr>
      <w:r w:rsidRPr="004E5398">
        <w:rPr>
          <w:rFonts w:ascii="Times New Roman" w:hAnsi="Times New Roman" w:cs="Times New Roman"/>
          <w:sz w:val="28"/>
          <w:szCs w:val="28"/>
        </w:rPr>
        <w:t>Двосторонні угоди про сприяння та взаємний захист інвестицій (</w:t>
      </w:r>
      <w:proofErr w:type="spellStart"/>
      <w:r w:rsidRPr="004E5398">
        <w:rPr>
          <w:rFonts w:ascii="Times New Roman" w:hAnsi="Times New Roman" w:cs="Times New Roman"/>
          <w:sz w:val="28"/>
          <w:szCs w:val="28"/>
        </w:rPr>
        <w:t>BITs</w:t>
      </w:r>
      <w:proofErr w:type="spellEnd"/>
      <w:r w:rsidRPr="004E5398">
        <w:rPr>
          <w:rFonts w:ascii="Times New Roman" w:hAnsi="Times New Roman" w:cs="Times New Roman"/>
          <w:sz w:val="28"/>
          <w:szCs w:val="28"/>
        </w:rPr>
        <w:t>): Україна має такі угоди майже з усіма країнами-членами ЄС. Вони гарантують:</w:t>
      </w:r>
    </w:p>
    <w:p w14:paraId="7ECF0139" w14:textId="77777777" w:rsidR="00685307" w:rsidRPr="004E5398" w:rsidRDefault="00685307" w:rsidP="00685307">
      <w:pPr>
        <w:pStyle w:val="a9"/>
        <w:numPr>
          <w:ilvl w:val="1"/>
          <w:numId w:val="8"/>
        </w:numPr>
        <w:jc w:val="both"/>
        <w:rPr>
          <w:rFonts w:ascii="Times New Roman" w:hAnsi="Times New Roman" w:cs="Times New Roman"/>
          <w:sz w:val="28"/>
          <w:szCs w:val="28"/>
        </w:rPr>
      </w:pPr>
      <w:r w:rsidRPr="004E5398">
        <w:rPr>
          <w:rFonts w:ascii="Times New Roman" w:hAnsi="Times New Roman" w:cs="Times New Roman"/>
          <w:sz w:val="28"/>
          <w:szCs w:val="28"/>
        </w:rPr>
        <w:t>Захист від незаконної експропріації.</w:t>
      </w:r>
    </w:p>
    <w:p w14:paraId="666EEE0D" w14:textId="77777777" w:rsidR="00685307" w:rsidRPr="004E5398" w:rsidRDefault="00685307" w:rsidP="00685307">
      <w:pPr>
        <w:pStyle w:val="a9"/>
        <w:numPr>
          <w:ilvl w:val="1"/>
          <w:numId w:val="8"/>
        </w:numPr>
        <w:jc w:val="both"/>
        <w:rPr>
          <w:rFonts w:ascii="Times New Roman" w:hAnsi="Times New Roman" w:cs="Times New Roman"/>
          <w:sz w:val="28"/>
          <w:szCs w:val="28"/>
        </w:rPr>
      </w:pPr>
      <w:r w:rsidRPr="004E5398">
        <w:rPr>
          <w:rFonts w:ascii="Times New Roman" w:hAnsi="Times New Roman" w:cs="Times New Roman"/>
          <w:sz w:val="28"/>
          <w:szCs w:val="28"/>
        </w:rPr>
        <w:t>Репатріацію (виведення) прибутків.</w:t>
      </w:r>
    </w:p>
    <w:p w14:paraId="0A8772B9" w14:textId="5BEB4597" w:rsidR="00685307" w:rsidRPr="004E5398" w:rsidRDefault="00685307" w:rsidP="00685307">
      <w:pPr>
        <w:pStyle w:val="a9"/>
        <w:numPr>
          <w:ilvl w:val="1"/>
          <w:numId w:val="8"/>
        </w:numPr>
        <w:jc w:val="both"/>
        <w:rPr>
          <w:rFonts w:ascii="Times New Roman" w:hAnsi="Times New Roman" w:cs="Times New Roman"/>
          <w:sz w:val="28"/>
          <w:szCs w:val="28"/>
        </w:rPr>
      </w:pPr>
      <w:r w:rsidRPr="004E5398">
        <w:rPr>
          <w:rFonts w:ascii="Times New Roman" w:hAnsi="Times New Roman" w:cs="Times New Roman"/>
          <w:sz w:val="28"/>
          <w:szCs w:val="28"/>
        </w:rPr>
        <w:t>Право на міжнародний арбітраж (наприклад, ICSID).</w:t>
      </w:r>
    </w:p>
    <w:p w14:paraId="0948E5AC" w14:textId="77777777" w:rsidR="00685307" w:rsidRPr="004E5398" w:rsidRDefault="00685307" w:rsidP="00685307">
      <w:pPr>
        <w:pStyle w:val="a9"/>
        <w:jc w:val="both"/>
        <w:rPr>
          <w:rFonts w:ascii="Times New Roman" w:hAnsi="Times New Roman" w:cs="Times New Roman"/>
          <w:sz w:val="28"/>
          <w:szCs w:val="28"/>
        </w:rPr>
      </w:pPr>
      <w:r w:rsidRPr="004E5398">
        <w:rPr>
          <w:rFonts w:ascii="Times New Roman" w:hAnsi="Times New Roman" w:cs="Times New Roman"/>
          <w:sz w:val="28"/>
          <w:szCs w:val="28"/>
        </w:rPr>
        <w:t>2. Ключове національне законодавство</w:t>
      </w:r>
    </w:p>
    <w:p w14:paraId="4C9FAF61" w14:textId="77777777" w:rsidR="00685307" w:rsidRPr="00685307" w:rsidRDefault="00685307" w:rsidP="00685307">
      <w:pPr>
        <w:pStyle w:val="a9"/>
        <w:jc w:val="both"/>
        <w:rPr>
          <w:rFonts w:ascii="Times New Roman" w:hAnsi="Times New Roman" w:cs="Times New Roman"/>
          <w:sz w:val="28"/>
          <w:szCs w:val="28"/>
        </w:rPr>
      </w:pPr>
      <w:r w:rsidRPr="00685307">
        <w:rPr>
          <w:rFonts w:ascii="Times New Roman" w:hAnsi="Times New Roman" w:cs="Times New Roman"/>
          <w:sz w:val="28"/>
          <w:szCs w:val="28"/>
        </w:rPr>
        <w:t>Внутрішні закони визначають щоденну діяльність інвестора.</w:t>
      </w:r>
    </w:p>
    <w:p w14:paraId="25180969" w14:textId="77777777" w:rsidR="00685307" w:rsidRPr="00685307" w:rsidRDefault="00685307" w:rsidP="00685307">
      <w:pPr>
        <w:pStyle w:val="a9"/>
        <w:numPr>
          <w:ilvl w:val="0"/>
          <w:numId w:val="9"/>
        </w:numPr>
        <w:jc w:val="both"/>
        <w:rPr>
          <w:rFonts w:ascii="Times New Roman" w:hAnsi="Times New Roman" w:cs="Times New Roman"/>
          <w:sz w:val="28"/>
          <w:szCs w:val="28"/>
        </w:rPr>
      </w:pPr>
      <w:r w:rsidRPr="00685307">
        <w:rPr>
          <w:rFonts w:ascii="Times New Roman" w:hAnsi="Times New Roman" w:cs="Times New Roman"/>
          <w:sz w:val="28"/>
          <w:szCs w:val="28"/>
        </w:rPr>
        <w:t>Закон «Про інвестиційну діяльність»: Визначає загальні засади та гарантії захисту інвесторів від зміни законодавства (стабілізаційне застереження).</w:t>
      </w:r>
    </w:p>
    <w:p w14:paraId="262DCD93" w14:textId="77777777" w:rsidR="00685307" w:rsidRPr="00685307" w:rsidRDefault="00685307" w:rsidP="00685307">
      <w:pPr>
        <w:pStyle w:val="a9"/>
        <w:numPr>
          <w:ilvl w:val="0"/>
          <w:numId w:val="9"/>
        </w:numPr>
        <w:jc w:val="both"/>
        <w:rPr>
          <w:rFonts w:ascii="Times New Roman" w:hAnsi="Times New Roman" w:cs="Times New Roman"/>
          <w:sz w:val="28"/>
          <w:szCs w:val="28"/>
        </w:rPr>
      </w:pPr>
      <w:r w:rsidRPr="00685307">
        <w:rPr>
          <w:rFonts w:ascii="Times New Roman" w:hAnsi="Times New Roman" w:cs="Times New Roman"/>
          <w:sz w:val="28"/>
          <w:szCs w:val="28"/>
        </w:rPr>
        <w:t>Закон «Про режим іноземного інвестування»: Встановлює державну реєстрацію інвестицій та гарантії у разі припинення діяльності.</w:t>
      </w:r>
    </w:p>
    <w:p w14:paraId="5D497E4E" w14:textId="4801A38B" w:rsidR="00685307" w:rsidRPr="00685307" w:rsidRDefault="00685307" w:rsidP="00685307">
      <w:pPr>
        <w:pStyle w:val="a9"/>
        <w:numPr>
          <w:ilvl w:val="0"/>
          <w:numId w:val="9"/>
        </w:numPr>
        <w:jc w:val="both"/>
        <w:rPr>
          <w:rFonts w:ascii="Times New Roman" w:hAnsi="Times New Roman" w:cs="Times New Roman"/>
          <w:sz w:val="28"/>
          <w:szCs w:val="28"/>
        </w:rPr>
      </w:pPr>
      <w:r w:rsidRPr="00685307">
        <w:rPr>
          <w:rFonts w:ascii="Times New Roman" w:hAnsi="Times New Roman" w:cs="Times New Roman"/>
          <w:sz w:val="28"/>
          <w:szCs w:val="28"/>
        </w:rPr>
        <w:t xml:space="preserve">Закон про «Інвест-нянь» (Про державну підтримку інвестиційних </w:t>
      </w:r>
      <w:proofErr w:type="spellStart"/>
      <w:r w:rsidRPr="00685307">
        <w:rPr>
          <w:rFonts w:ascii="Times New Roman" w:hAnsi="Times New Roman" w:cs="Times New Roman"/>
          <w:sz w:val="28"/>
          <w:szCs w:val="28"/>
        </w:rPr>
        <w:t>проектів</w:t>
      </w:r>
      <w:proofErr w:type="spellEnd"/>
      <w:r w:rsidRPr="00685307">
        <w:rPr>
          <w:rFonts w:ascii="Times New Roman" w:hAnsi="Times New Roman" w:cs="Times New Roman"/>
          <w:sz w:val="28"/>
          <w:szCs w:val="28"/>
        </w:rPr>
        <w:t xml:space="preserve"> із значними інвестиціями): Надає податкові пільги (звільнення від ПДВ, мита) та допомогу в інфраструктурі для проєктів понад €12 млн.</w:t>
      </w:r>
    </w:p>
    <w:p w14:paraId="677F4E3A" w14:textId="77777777" w:rsidR="00685307" w:rsidRPr="004E5398" w:rsidRDefault="00685307" w:rsidP="00685307">
      <w:pPr>
        <w:pStyle w:val="a9"/>
        <w:jc w:val="both"/>
        <w:rPr>
          <w:rFonts w:ascii="Times New Roman" w:hAnsi="Times New Roman" w:cs="Times New Roman"/>
          <w:sz w:val="28"/>
          <w:szCs w:val="28"/>
        </w:rPr>
      </w:pPr>
      <w:r w:rsidRPr="004E5398">
        <w:rPr>
          <w:rFonts w:ascii="Times New Roman" w:hAnsi="Times New Roman" w:cs="Times New Roman"/>
          <w:sz w:val="28"/>
          <w:szCs w:val="28"/>
        </w:rPr>
        <w:t>3. Судовий захист та антикорупційна архітектура</w:t>
      </w:r>
    </w:p>
    <w:p w14:paraId="19E8E362" w14:textId="77777777" w:rsidR="00685307" w:rsidRPr="004E5398" w:rsidRDefault="00685307" w:rsidP="00685307">
      <w:pPr>
        <w:pStyle w:val="a9"/>
        <w:jc w:val="both"/>
        <w:rPr>
          <w:rFonts w:ascii="Times New Roman" w:hAnsi="Times New Roman" w:cs="Times New Roman"/>
          <w:sz w:val="28"/>
          <w:szCs w:val="28"/>
        </w:rPr>
      </w:pPr>
      <w:r w:rsidRPr="004E5398">
        <w:rPr>
          <w:rFonts w:ascii="Times New Roman" w:hAnsi="Times New Roman" w:cs="Times New Roman"/>
          <w:sz w:val="28"/>
          <w:szCs w:val="28"/>
        </w:rPr>
        <w:t>Для європейських інвесторів важливі не стільки закони, скільки механізм їх виконання.</w:t>
      </w:r>
    </w:p>
    <w:p w14:paraId="1667F80D" w14:textId="77777777" w:rsidR="00685307" w:rsidRPr="004E5398" w:rsidRDefault="00685307" w:rsidP="00685307">
      <w:pPr>
        <w:pStyle w:val="a9"/>
        <w:numPr>
          <w:ilvl w:val="0"/>
          <w:numId w:val="10"/>
        </w:numPr>
        <w:jc w:val="both"/>
        <w:rPr>
          <w:rFonts w:ascii="Times New Roman" w:hAnsi="Times New Roman" w:cs="Times New Roman"/>
          <w:sz w:val="28"/>
          <w:szCs w:val="28"/>
        </w:rPr>
      </w:pPr>
      <w:r w:rsidRPr="004E5398">
        <w:rPr>
          <w:rFonts w:ascii="Times New Roman" w:hAnsi="Times New Roman" w:cs="Times New Roman"/>
          <w:sz w:val="28"/>
          <w:szCs w:val="28"/>
        </w:rPr>
        <w:t>Спеціалізовані органи: Створення НАБУ, САП та Вищого антикорупційного суду (ВАКС) є критичним сигналом для ЄС про боротьбу з корупцією.</w:t>
      </w:r>
    </w:p>
    <w:p w14:paraId="2DA3CF35" w14:textId="77777777" w:rsidR="00685307" w:rsidRPr="004E5398" w:rsidRDefault="00685307" w:rsidP="00685307">
      <w:pPr>
        <w:pStyle w:val="a9"/>
        <w:numPr>
          <w:ilvl w:val="0"/>
          <w:numId w:val="10"/>
        </w:numPr>
        <w:jc w:val="both"/>
        <w:rPr>
          <w:rFonts w:ascii="Times New Roman" w:hAnsi="Times New Roman" w:cs="Times New Roman"/>
          <w:sz w:val="28"/>
          <w:szCs w:val="28"/>
        </w:rPr>
      </w:pPr>
      <w:r w:rsidRPr="004E5398">
        <w:rPr>
          <w:rFonts w:ascii="Times New Roman" w:hAnsi="Times New Roman" w:cs="Times New Roman"/>
          <w:sz w:val="28"/>
          <w:szCs w:val="28"/>
        </w:rPr>
        <w:t>Реформа судової системи: Очищення Вищої ради правосуддя та Вищої кваліфікаційної комісії суддів (ВККС) для забезпечення незалежного правосуддя.</w:t>
      </w:r>
    </w:p>
    <w:p w14:paraId="3E4D6F19" w14:textId="6CC465DB" w:rsidR="00685307" w:rsidRPr="004E5398" w:rsidRDefault="00685307" w:rsidP="00685307">
      <w:pPr>
        <w:pStyle w:val="a9"/>
        <w:numPr>
          <w:ilvl w:val="0"/>
          <w:numId w:val="10"/>
        </w:numPr>
        <w:jc w:val="both"/>
        <w:rPr>
          <w:rFonts w:ascii="Times New Roman" w:hAnsi="Times New Roman" w:cs="Times New Roman"/>
          <w:sz w:val="28"/>
          <w:szCs w:val="28"/>
        </w:rPr>
      </w:pPr>
      <w:r w:rsidRPr="004E5398">
        <w:rPr>
          <w:rFonts w:ascii="Times New Roman" w:hAnsi="Times New Roman" w:cs="Times New Roman"/>
          <w:sz w:val="28"/>
          <w:szCs w:val="28"/>
        </w:rPr>
        <w:t>Бізнес-омбудсмен: Інституція, яка допомагає захищати права бізнесу в досудовому порядку при конфліктах з державними органами.</w:t>
      </w:r>
    </w:p>
    <w:p w14:paraId="3BABE8A0" w14:textId="77777777" w:rsidR="00685307" w:rsidRPr="004E5398" w:rsidRDefault="00685307" w:rsidP="00685307">
      <w:pPr>
        <w:pStyle w:val="a9"/>
        <w:jc w:val="both"/>
        <w:rPr>
          <w:rFonts w:ascii="Times New Roman" w:hAnsi="Times New Roman" w:cs="Times New Roman"/>
          <w:sz w:val="28"/>
          <w:szCs w:val="28"/>
        </w:rPr>
      </w:pPr>
      <w:r w:rsidRPr="004E5398">
        <w:rPr>
          <w:rFonts w:ascii="Times New Roman" w:hAnsi="Times New Roman" w:cs="Times New Roman"/>
          <w:sz w:val="28"/>
          <w:szCs w:val="28"/>
        </w:rPr>
        <w:t>4. Страхування воєнних ризиків</w:t>
      </w:r>
    </w:p>
    <w:p w14:paraId="4D08227B" w14:textId="77777777" w:rsidR="00685307" w:rsidRPr="00685307" w:rsidRDefault="00685307" w:rsidP="00685307">
      <w:pPr>
        <w:pStyle w:val="a9"/>
        <w:jc w:val="both"/>
        <w:rPr>
          <w:rFonts w:ascii="Times New Roman" w:hAnsi="Times New Roman" w:cs="Times New Roman"/>
          <w:sz w:val="28"/>
          <w:szCs w:val="28"/>
        </w:rPr>
      </w:pPr>
      <w:r w:rsidRPr="00685307">
        <w:rPr>
          <w:rFonts w:ascii="Times New Roman" w:hAnsi="Times New Roman" w:cs="Times New Roman"/>
          <w:sz w:val="28"/>
          <w:szCs w:val="28"/>
        </w:rPr>
        <w:t>В умовах війни це найактуальніший елемент правової основи для інвестицій.</w:t>
      </w:r>
    </w:p>
    <w:tbl>
      <w:tblPr>
        <w:tblW w:w="9780" w:type="dxa"/>
        <w:tblCellMar>
          <w:top w:w="15" w:type="dxa"/>
          <w:left w:w="15" w:type="dxa"/>
          <w:bottom w:w="15" w:type="dxa"/>
          <w:right w:w="15" w:type="dxa"/>
        </w:tblCellMar>
        <w:tblLook w:val="04A0" w:firstRow="1" w:lastRow="0" w:firstColumn="1" w:lastColumn="0" w:noHBand="0" w:noVBand="1"/>
      </w:tblPr>
      <w:tblGrid>
        <w:gridCol w:w="3374"/>
        <w:gridCol w:w="6406"/>
      </w:tblGrid>
      <w:tr w:rsidR="00685307" w:rsidRPr="004E5398" w14:paraId="6CB30110" w14:textId="77777777" w:rsidTr="00685307">
        <w:tc>
          <w:tcPr>
            <w:tcW w:w="0" w:type="auto"/>
            <w:tcBorders>
              <w:bottom w:val="single" w:sz="4" w:space="0" w:color="DCDFE5"/>
            </w:tcBorders>
            <w:tcMar>
              <w:top w:w="120" w:type="dxa"/>
              <w:left w:w="0" w:type="dxa"/>
              <w:bottom w:w="120" w:type="dxa"/>
              <w:right w:w="240" w:type="dxa"/>
            </w:tcMar>
            <w:hideMark/>
          </w:tcPr>
          <w:p w14:paraId="4C1FB927" w14:textId="77777777" w:rsidR="00685307" w:rsidRPr="004E5398" w:rsidRDefault="00685307" w:rsidP="00685307">
            <w:pPr>
              <w:pStyle w:val="a9"/>
              <w:jc w:val="both"/>
              <w:rPr>
                <w:rFonts w:ascii="Times New Roman" w:hAnsi="Times New Roman" w:cs="Times New Roman"/>
                <w:sz w:val="28"/>
                <w:szCs w:val="28"/>
              </w:rPr>
            </w:pPr>
            <w:r w:rsidRPr="004E5398">
              <w:rPr>
                <w:rFonts w:ascii="Times New Roman" w:hAnsi="Times New Roman" w:cs="Times New Roman"/>
                <w:sz w:val="28"/>
                <w:szCs w:val="28"/>
              </w:rPr>
              <w:t>Інституція</w:t>
            </w:r>
          </w:p>
        </w:tc>
        <w:tc>
          <w:tcPr>
            <w:tcW w:w="6406" w:type="dxa"/>
            <w:tcBorders>
              <w:bottom w:val="single" w:sz="4" w:space="0" w:color="DCDFE5"/>
            </w:tcBorders>
            <w:tcMar>
              <w:top w:w="120" w:type="dxa"/>
              <w:left w:w="0" w:type="dxa"/>
              <w:bottom w:w="120" w:type="dxa"/>
              <w:right w:w="0" w:type="dxa"/>
            </w:tcMar>
            <w:hideMark/>
          </w:tcPr>
          <w:p w14:paraId="780ED94B" w14:textId="77777777" w:rsidR="00685307" w:rsidRPr="004E5398" w:rsidRDefault="00685307" w:rsidP="00685307">
            <w:pPr>
              <w:pStyle w:val="a9"/>
              <w:jc w:val="both"/>
              <w:rPr>
                <w:rFonts w:ascii="Times New Roman" w:hAnsi="Times New Roman" w:cs="Times New Roman"/>
                <w:sz w:val="28"/>
                <w:szCs w:val="28"/>
              </w:rPr>
            </w:pPr>
            <w:r w:rsidRPr="004E5398">
              <w:rPr>
                <w:rFonts w:ascii="Times New Roman" w:hAnsi="Times New Roman" w:cs="Times New Roman"/>
                <w:sz w:val="28"/>
                <w:szCs w:val="28"/>
              </w:rPr>
              <w:t>Що забезпечує</w:t>
            </w:r>
          </w:p>
        </w:tc>
      </w:tr>
      <w:tr w:rsidR="00685307" w:rsidRPr="004E5398" w14:paraId="66000A90" w14:textId="77777777" w:rsidTr="00685307">
        <w:tc>
          <w:tcPr>
            <w:tcW w:w="0" w:type="auto"/>
            <w:tcBorders>
              <w:bottom w:val="single" w:sz="4" w:space="0" w:color="DCDFE5"/>
            </w:tcBorders>
            <w:tcMar>
              <w:top w:w="180" w:type="dxa"/>
              <w:left w:w="0" w:type="dxa"/>
              <w:bottom w:w="180" w:type="dxa"/>
              <w:right w:w="240" w:type="dxa"/>
            </w:tcMar>
            <w:hideMark/>
          </w:tcPr>
          <w:p w14:paraId="2A3CB588" w14:textId="77777777" w:rsidR="00685307" w:rsidRPr="004E5398" w:rsidRDefault="00685307" w:rsidP="00685307">
            <w:pPr>
              <w:pStyle w:val="a9"/>
              <w:jc w:val="both"/>
              <w:rPr>
                <w:rFonts w:ascii="Times New Roman" w:hAnsi="Times New Roman" w:cs="Times New Roman"/>
                <w:sz w:val="28"/>
                <w:szCs w:val="28"/>
              </w:rPr>
            </w:pPr>
            <w:r w:rsidRPr="004E5398">
              <w:rPr>
                <w:rFonts w:ascii="Times New Roman" w:hAnsi="Times New Roman" w:cs="Times New Roman"/>
                <w:sz w:val="28"/>
                <w:szCs w:val="28"/>
              </w:rPr>
              <w:lastRenderedPageBreak/>
              <w:t>MIGA (Світовий банк)</w:t>
            </w:r>
          </w:p>
        </w:tc>
        <w:tc>
          <w:tcPr>
            <w:tcW w:w="6406" w:type="dxa"/>
            <w:tcBorders>
              <w:bottom w:val="single" w:sz="4" w:space="0" w:color="DCDFE5"/>
            </w:tcBorders>
            <w:tcMar>
              <w:top w:w="180" w:type="dxa"/>
              <w:left w:w="0" w:type="dxa"/>
              <w:bottom w:w="180" w:type="dxa"/>
              <w:right w:w="0" w:type="dxa"/>
            </w:tcMar>
            <w:hideMark/>
          </w:tcPr>
          <w:p w14:paraId="760CD97A" w14:textId="77777777" w:rsidR="00685307" w:rsidRPr="004E5398" w:rsidRDefault="00685307" w:rsidP="00685307">
            <w:pPr>
              <w:pStyle w:val="a9"/>
              <w:jc w:val="both"/>
              <w:rPr>
                <w:rFonts w:ascii="Times New Roman" w:hAnsi="Times New Roman" w:cs="Times New Roman"/>
                <w:sz w:val="28"/>
                <w:szCs w:val="28"/>
              </w:rPr>
            </w:pPr>
            <w:r w:rsidRPr="004E5398">
              <w:rPr>
                <w:rFonts w:ascii="Times New Roman" w:hAnsi="Times New Roman" w:cs="Times New Roman"/>
                <w:sz w:val="28"/>
                <w:szCs w:val="28"/>
              </w:rPr>
              <w:t>Страхування від політичних та воєнних ризиків.</w:t>
            </w:r>
          </w:p>
        </w:tc>
      </w:tr>
      <w:tr w:rsidR="00685307" w:rsidRPr="004E5398" w14:paraId="22D20FB3" w14:textId="77777777" w:rsidTr="00685307">
        <w:tc>
          <w:tcPr>
            <w:tcW w:w="0" w:type="auto"/>
            <w:tcBorders>
              <w:bottom w:val="single" w:sz="4" w:space="0" w:color="DCDFE5"/>
            </w:tcBorders>
            <w:tcMar>
              <w:top w:w="180" w:type="dxa"/>
              <w:left w:w="0" w:type="dxa"/>
              <w:bottom w:w="180" w:type="dxa"/>
              <w:right w:w="240" w:type="dxa"/>
            </w:tcMar>
            <w:hideMark/>
          </w:tcPr>
          <w:p w14:paraId="2AA23039" w14:textId="77777777" w:rsidR="00685307" w:rsidRPr="004E5398" w:rsidRDefault="00685307" w:rsidP="00685307">
            <w:pPr>
              <w:pStyle w:val="a9"/>
              <w:jc w:val="both"/>
              <w:rPr>
                <w:rFonts w:ascii="Times New Roman" w:hAnsi="Times New Roman" w:cs="Times New Roman"/>
                <w:sz w:val="28"/>
                <w:szCs w:val="28"/>
              </w:rPr>
            </w:pPr>
            <w:r w:rsidRPr="004E5398">
              <w:rPr>
                <w:rFonts w:ascii="Times New Roman" w:hAnsi="Times New Roman" w:cs="Times New Roman"/>
                <w:sz w:val="28"/>
                <w:szCs w:val="28"/>
              </w:rPr>
              <w:t>DFC (США)</w:t>
            </w:r>
          </w:p>
        </w:tc>
        <w:tc>
          <w:tcPr>
            <w:tcW w:w="6406" w:type="dxa"/>
            <w:tcBorders>
              <w:bottom w:val="single" w:sz="4" w:space="0" w:color="DCDFE5"/>
            </w:tcBorders>
            <w:tcMar>
              <w:top w:w="180" w:type="dxa"/>
              <w:left w:w="0" w:type="dxa"/>
              <w:bottom w:w="180" w:type="dxa"/>
              <w:right w:w="0" w:type="dxa"/>
            </w:tcMar>
            <w:hideMark/>
          </w:tcPr>
          <w:p w14:paraId="2B20C27D" w14:textId="77777777" w:rsidR="00685307" w:rsidRPr="004E5398" w:rsidRDefault="00685307" w:rsidP="00685307">
            <w:pPr>
              <w:pStyle w:val="a9"/>
              <w:jc w:val="both"/>
              <w:rPr>
                <w:rFonts w:ascii="Times New Roman" w:hAnsi="Times New Roman" w:cs="Times New Roman"/>
                <w:sz w:val="28"/>
                <w:szCs w:val="28"/>
              </w:rPr>
            </w:pPr>
            <w:r w:rsidRPr="004E5398">
              <w:rPr>
                <w:rFonts w:ascii="Times New Roman" w:hAnsi="Times New Roman" w:cs="Times New Roman"/>
                <w:sz w:val="28"/>
                <w:szCs w:val="28"/>
              </w:rPr>
              <w:t>Кредитування та страхування проєктів, в тому числі за участю європейського капіталу.</w:t>
            </w:r>
          </w:p>
        </w:tc>
      </w:tr>
      <w:tr w:rsidR="00685307" w:rsidRPr="004E5398" w14:paraId="45BB6924" w14:textId="77777777" w:rsidTr="00685307">
        <w:tc>
          <w:tcPr>
            <w:tcW w:w="0" w:type="auto"/>
            <w:tcBorders>
              <w:bottom w:val="nil"/>
            </w:tcBorders>
            <w:tcMar>
              <w:top w:w="180" w:type="dxa"/>
              <w:left w:w="0" w:type="dxa"/>
              <w:bottom w:w="180" w:type="dxa"/>
              <w:right w:w="240" w:type="dxa"/>
            </w:tcMar>
            <w:hideMark/>
          </w:tcPr>
          <w:p w14:paraId="6FB11B25" w14:textId="77777777" w:rsidR="00685307" w:rsidRPr="004E5398" w:rsidRDefault="00685307" w:rsidP="00685307">
            <w:pPr>
              <w:pStyle w:val="a9"/>
              <w:jc w:val="both"/>
              <w:rPr>
                <w:rFonts w:ascii="Times New Roman" w:hAnsi="Times New Roman" w:cs="Times New Roman"/>
                <w:sz w:val="28"/>
                <w:szCs w:val="28"/>
              </w:rPr>
            </w:pPr>
            <w:r w:rsidRPr="004E5398">
              <w:rPr>
                <w:rFonts w:ascii="Times New Roman" w:hAnsi="Times New Roman" w:cs="Times New Roman"/>
                <w:sz w:val="28"/>
                <w:szCs w:val="28"/>
              </w:rPr>
              <w:t>Експортно-кредитні агентства (ECA)</w:t>
            </w:r>
          </w:p>
        </w:tc>
        <w:tc>
          <w:tcPr>
            <w:tcW w:w="6406" w:type="dxa"/>
            <w:tcBorders>
              <w:bottom w:val="nil"/>
            </w:tcBorders>
            <w:tcMar>
              <w:top w:w="180" w:type="dxa"/>
              <w:left w:w="0" w:type="dxa"/>
              <w:bottom w:w="180" w:type="dxa"/>
              <w:right w:w="0" w:type="dxa"/>
            </w:tcMar>
            <w:hideMark/>
          </w:tcPr>
          <w:p w14:paraId="786B4177" w14:textId="77777777" w:rsidR="00685307" w:rsidRPr="004E5398" w:rsidRDefault="00685307" w:rsidP="00685307">
            <w:pPr>
              <w:pStyle w:val="a9"/>
              <w:jc w:val="both"/>
              <w:rPr>
                <w:rFonts w:ascii="Times New Roman" w:hAnsi="Times New Roman" w:cs="Times New Roman"/>
                <w:sz w:val="28"/>
                <w:szCs w:val="28"/>
              </w:rPr>
            </w:pPr>
            <w:r w:rsidRPr="004E5398">
              <w:rPr>
                <w:rFonts w:ascii="Times New Roman" w:hAnsi="Times New Roman" w:cs="Times New Roman"/>
                <w:sz w:val="28"/>
                <w:szCs w:val="28"/>
              </w:rPr>
              <w:t xml:space="preserve">Національні агентства країн ЄС (наприклад, </w:t>
            </w:r>
            <w:proofErr w:type="spellStart"/>
            <w:r w:rsidRPr="004E5398">
              <w:rPr>
                <w:rFonts w:ascii="Times New Roman" w:hAnsi="Times New Roman" w:cs="Times New Roman"/>
                <w:sz w:val="28"/>
                <w:szCs w:val="28"/>
              </w:rPr>
              <w:t>Euler</w:t>
            </w:r>
            <w:proofErr w:type="spellEnd"/>
            <w:r w:rsidRPr="004E5398">
              <w:rPr>
                <w:rFonts w:ascii="Times New Roman" w:hAnsi="Times New Roman" w:cs="Times New Roman"/>
                <w:sz w:val="28"/>
                <w:szCs w:val="28"/>
              </w:rPr>
              <w:t xml:space="preserve"> </w:t>
            </w:r>
            <w:proofErr w:type="spellStart"/>
            <w:r w:rsidRPr="004E5398">
              <w:rPr>
                <w:rFonts w:ascii="Times New Roman" w:hAnsi="Times New Roman" w:cs="Times New Roman"/>
                <w:sz w:val="28"/>
                <w:szCs w:val="28"/>
              </w:rPr>
              <w:t>Hermes</w:t>
            </w:r>
            <w:proofErr w:type="spellEnd"/>
            <w:r w:rsidRPr="004E5398">
              <w:rPr>
                <w:rFonts w:ascii="Times New Roman" w:hAnsi="Times New Roman" w:cs="Times New Roman"/>
                <w:sz w:val="28"/>
                <w:szCs w:val="28"/>
              </w:rPr>
              <w:t xml:space="preserve"> у Німеччині) надають гарантії своїм компаніям для роботи в Україні.</w:t>
            </w:r>
          </w:p>
        </w:tc>
      </w:tr>
    </w:tbl>
    <w:p w14:paraId="1B35EE75" w14:textId="3253318E" w:rsidR="00685307" w:rsidRPr="004E5398" w:rsidRDefault="00685307" w:rsidP="00685307">
      <w:pPr>
        <w:jc w:val="both"/>
        <w:rPr>
          <w:rFonts w:ascii="Times New Roman" w:hAnsi="Times New Roman" w:cs="Times New Roman"/>
          <w:sz w:val="28"/>
          <w:szCs w:val="28"/>
        </w:rPr>
      </w:pPr>
    </w:p>
    <w:p w14:paraId="7F09C083" w14:textId="7CEC7D3B" w:rsidR="00685307" w:rsidRPr="00685307" w:rsidRDefault="00685307" w:rsidP="00685307">
      <w:pPr>
        <w:pStyle w:val="a9"/>
        <w:ind w:left="0" w:firstLine="708"/>
        <w:jc w:val="both"/>
        <w:rPr>
          <w:rFonts w:ascii="Times New Roman" w:hAnsi="Times New Roman" w:cs="Times New Roman"/>
          <w:sz w:val="28"/>
          <w:szCs w:val="28"/>
        </w:rPr>
      </w:pPr>
      <w:r w:rsidRPr="00685307">
        <w:rPr>
          <w:rFonts w:ascii="Times New Roman" w:hAnsi="Times New Roman" w:cs="Times New Roman"/>
          <w:sz w:val="28"/>
          <w:szCs w:val="28"/>
        </w:rPr>
        <w:t>Отже, правова основа для європейських інвестицій базується на трьох "китах": національне законодавство (пільги та гарантії), міжнародні зобов'язання (Угода про асоціацію) та інституційна спроможність (суди та антикорупційні органи).</w:t>
      </w:r>
    </w:p>
    <w:p w14:paraId="58B4815C" w14:textId="77777777" w:rsidR="00685307" w:rsidRPr="00685307" w:rsidRDefault="00685307" w:rsidP="00685307">
      <w:pPr>
        <w:pStyle w:val="a9"/>
        <w:numPr>
          <w:ilvl w:val="0"/>
          <w:numId w:val="2"/>
        </w:numPr>
        <w:rPr>
          <w:rFonts w:ascii="Times New Roman" w:hAnsi="Times New Roman" w:cs="Times New Roman"/>
          <w:b/>
          <w:bCs/>
          <w:sz w:val="28"/>
          <w:szCs w:val="28"/>
        </w:rPr>
      </w:pPr>
      <w:r w:rsidRPr="00685307">
        <w:rPr>
          <w:rFonts w:ascii="Times New Roman" w:hAnsi="Times New Roman" w:cs="Times New Roman"/>
          <w:b/>
          <w:bCs/>
          <w:sz w:val="28"/>
          <w:szCs w:val="28"/>
        </w:rPr>
        <w:t xml:space="preserve">Гармонізація з Митними кодексом ЄС. </w:t>
      </w:r>
    </w:p>
    <w:p w14:paraId="7B34103D" w14:textId="77777777" w:rsidR="00685307" w:rsidRPr="00685307" w:rsidRDefault="00685307" w:rsidP="00685307">
      <w:pPr>
        <w:ind w:left="360" w:firstLine="348"/>
        <w:jc w:val="both"/>
        <w:rPr>
          <w:rFonts w:ascii="Times New Roman" w:hAnsi="Times New Roman" w:cs="Times New Roman"/>
          <w:sz w:val="28"/>
          <w:szCs w:val="28"/>
        </w:rPr>
      </w:pPr>
      <w:r w:rsidRPr="00685307">
        <w:rPr>
          <w:rFonts w:ascii="Times New Roman" w:hAnsi="Times New Roman" w:cs="Times New Roman"/>
          <w:sz w:val="28"/>
          <w:szCs w:val="28"/>
        </w:rPr>
        <w:t>Гармонізація митного законодавства України з правом ЄС є ключовим етапом інтеграції до спільного митного простору. Основні напрями та результати цього процесу:</w:t>
      </w:r>
    </w:p>
    <w:p w14:paraId="175FF4E4" w14:textId="77777777" w:rsidR="00685307" w:rsidRPr="00685307" w:rsidRDefault="00685307" w:rsidP="00685307">
      <w:pPr>
        <w:ind w:left="360" w:firstLine="348"/>
        <w:jc w:val="both"/>
        <w:rPr>
          <w:rFonts w:ascii="Times New Roman" w:hAnsi="Times New Roman" w:cs="Times New Roman"/>
          <w:sz w:val="28"/>
          <w:szCs w:val="28"/>
        </w:rPr>
      </w:pPr>
      <w:r w:rsidRPr="00685307">
        <w:rPr>
          <w:rFonts w:ascii="Times New Roman" w:hAnsi="Times New Roman" w:cs="Times New Roman"/>
          <w:sz w:val="28"/>
          <w:szCs w:val="28"/>
        </w:rPr>
        <w:t>Розробка нового Митного кодексу: Уряд схвалив проєкт нового Митного кодексу України, який базується на Митному кодексі ЄС (UCC). Нова редакція має пройти оцінку експертів Єврокомісії.</w:t>
      </w:r>
    </w:p>
    <w:p w14:paraId="574284B3" w14:textId="77777777" w:rsidR="00685307" w:rsidRPr="00685307" w:rsidRDefault="00685307" w:rsidP="00685307">
      <w:pPr>
        <w:ind w:left="360" w:firstLine="348"/>
        <w:jc w:val="both"/>
        <w:rPr>
          <w:rFonts w:ascii="Times New Roman" w:hAnsi="Times New Roman" w:cs="Times New Roman"/>
          <w:sz w:val="28"/>
          <w:szCs w:val="28"/>
        </w:rPr>
      </w:pPr>
      <w:proofErr w:type="spellStart"/>
      <w:r w:rsidRPr="00685307">
        <w:rPr>
          <w:rFonts w:ascii="Times New Roman" w:hAnsi="Times New Roman" w:cs="Times New Roman"/>
          <w:sz w:val="28"/>
          <w:szCs w:val="28"/>
        </w:rPr>
        <w:t>Цифровізація</w:t>
      </w:r>
      <w:proofErr w:type="spellEnd"/>
      <w:r w:rsidRPr="00685307">
        <w:rPr>
          <w:rFonts w:ascii="Times New Roman" w:hAnsi="Times New Roman" w:cs="Times New Roman"/>
          <w:sz w:val="28"/>
          <w:szCs w:val="28"/>
        </w:rPr>
        <w:t xml:space="preserve"> та ІТ-системи: Запущено розробку системи NCTS Фаза 6, що є необхідною умовою для взаємодії з митними органами країн ЄС у режимі реального часу.</w:t>
      </w:r>
    </w:p>
    <w:p w14:paraId="2DE9B7DF" w14:textId="77777777" w:rsidR="00685307" w:rsidRPr="00685307" w:rsidRDefault="00685307" w:rsidP="00685307">
      <w:pPr>
        <w:ind w:left="360" w:firstLine="348"/>
        <w:jc w:val="both"/>
        <w:rPr>
          <w:rFonts w:ascii="Times New Roman" w:hAnsi="Times New Roman" w:cs="Times New Roman"/>
          <w:sz w:val="28"/>
          <w:szCs w:val="28"/>
        </w:rPr>
      </w:pPr>
      <w:r w:rsidRPr="00685307">
        <w:rPr>
          <w:rFonts w:ascii="Times New Roman" w:hAnsi="Times New Roman" w:cs="Times New Roman"/>
          <w:sz w:val="28"/>
          <w:szCs w:val="28"/>
        </w:rPr>
        <w:t>Митні спрощення та АЕО: Впроваджуються європейські правила надання статусів Авторизованого економічного оператора (АЕО) та застосування митних спрощень, що значно прискорює проходження кордону для сумлінного бізнесу.</w:t>
      </w:r>
    </w:p>
    <w:p w14:paraId="7A3FAE9D" w14:textId="77777777" w:rsidR="00685307" w:rsidRPr="00685307" w:rsidRDefault="00685307" w:rsidP="00685307">
      <w:pPr>
        <w:ind w:left="360" w:firstLine="348"/>
        <w:jc w:val="both"/>
        <w:rPr>
          <w:rFonts w:ascii="Times New Roman" w:hAnsi="Times New Roman" w:cs="Times New Roman"/>
          <w:sz w:val="28"/>
          <w:szCs w:val="28"/>
        </w:rPr>
      </w:pPr>
      <w:r w:rsidRPr="00685307">
        <w:rPr>
          <w:rFonts w:ascii="Times New Roman" w:hAnsi="Times New Roman" w:cs="Times New Roman"/>
          <w:sz w:val="28"/>
          <w:szCs w:val="28"/>
        </w:rPr>
        <w:t>Адміністрування платежів: Здійснюється гармонізація правил адміністрування митних платежів, зокрема процедур нарахування та сплати ПДВ при імпорті.</w:t>
      </w:r>
    </w:p>
    <w:p w14:paraId="781ABD9C" w14:textId="77777777" w:rsidR="00685307" w:rsidRPr="00685307" w:rsidRDefault="00685307" w:rsidP="00685307">
      <w:pPr>
        <w:ind w:left="360" w:firstLine="348"/>
        <w:jc w:val="both"/>
        <w:rPr>
          <w:rFonts w:ascii="Times New Roman" w:hAnsi="Times New Roman" w:cs="Times New Roman"/>
          <w:sz w:val="28"/>
          <w:szCs w:val="28"/>
        </w:rPr>
      </w:pPr>
      <w:r w:rsidRPr="00685307">
        <w:rPr>
          <w:rFonts w:ascii="Times New Roman" w:hAnsi="Times New Roman" w:cs="Times New Roman"/>
          <w:sz w:val="28"/>
          <w:szCs w:val="28"/>
        </w:rPr>
        <w:t xml:space="preserve">Інституційна реформа: Передбачається трансформація Державної митної служби в </w:t>
      </w:r>
      <w:proofErr w:type="spellStart"/>
      <w:r w:rsidRPr="00685307">
        <w:rPr>
          <w:rFonts w:ascii="Times New Roman" w:hAnsi="Times New Roman" w:cs="Times New Roman"/>
          <w:sz w:val="28"/>
          <w:szCs w:val="28"/>
        </w:rPr>
        <w:t>сервісно</w:t>
      </w:r>
      <w:proofErr w:type="spellEnd"/>
      <w:r w:rsidRPr="00685307">
        <w:rPr>
          <w:rFonts w:ascii="Times New Roman" w:hAnsi="Times New Roman" w:cs="Times New Roman"/>
          <w:sz w:val="28"/>
          <w:szCs w:val="28"/>
        </w:rPr>
        <w:t xml:space="preserve">-орієнтований орган за європейським зразком. </w:t>
      </w:r>
    </w:p>
    <w:p w14:paraId="14711E27" w14:textId="34E8FE30" w:rsidR="00685307" w:rsidRDefault="00685307" w:rsidP="00685307">
      <w:pPr>
        <w:ind w:left="360"/>
        <w:jc w:val="both"/>
        <w:rPr>
          <w:rFonts w:ascii="Times New Roman" w:hAnsi="Times New Roman" w:cs="Times New Roman"/>
          <w:sz w:val="28"/>
          <w:szCs w:val="28"/>
        </w:rPr>
      </w:pPr>
      <w:r w:rsidRPr="00685307">
        <w:rPr>
          <w:rFonts w:ascii="Times New Roman" w:hAnsi="Times New Roman" w:cs="Times New Roman"/>
          <w:sz w:val="28"/>
          <w:szCs w:val="28"/>
        </w:rPr>
        <w:t>Відповідно до Плану пріоритетних дій Уряду на 2025-2026 роки, ці кроки мають забезпечити повну відповідність українських митних формальностей стандартам Євросоюзу до 2030 року.</w:t>
      </w:r>
    </w:p>
    <w:p w14:paraId="4B9DBA0C" w14:textId="77777777" w:rsidR="00116FF6" w:rsidRDefault="00116FF6" w:rsidP="00685307">
      <w:pPr>
        <w:ind w:left="360"/>
        <w:jc w:val="both"/>
        <w:rPr>
          <w:rFonts w:ascii="Times New Roman" w:hAnsi="Times New Roman" w:cs="Times New Roman"/>
          <w:sz w:val="28"/>
          <w:szCs w:val="28"/>
        </w:rPr>
      </w:pPr>
    </w:p>
    <w:p w14:paraId="197A439C" w14:textId="68F88580" w:rsidR="00116FF6" w:rsidRPr="00116FF6" w:rsidRDefault="00116FF6" w:rsidP="004F415F">
      <w:pPr>
        <w:ind w:left="360"/>
        <w:jc w:val="both"/>
        <w:rPr>
          <w:rFonts w:ascii="Times New Roman" w:hAnsi="Times New Roman" w:cs="Times New Roman"/>
          <w:sz w:val="28"/>
          <w:szCs w:val="28"/>
        </w:rPr>
      </w:pPr>
      <w:r w:rsidRPr="00116FF6">
        <w:rPr>
          <w:rFonts w:ascii="Times New Roman" w:hAnsi="Times New Roman" w:cs="Times New Roman"/>
          <w:b/>
          <w:sz w:val="28"/>
          <w:szCs w:val="28"/>
        </w:rPr>
        <w:lastRenderedPageBreak/>
        <w:t>Рекомендована література</w:t>
      </w:r>
    </w:p>
    <w:p w14:paraId="02807352" w14:textId="360CB6E9" w:rsidR="00116FF6" w:rsidRPr="00116FF6" w:rsidRDefault="00AF4729" w:rsidP="00AF4729">
      <w:pPr>
        <w:ind w:left="360"/>
        <w:jc w:val="both"/>
        <w:rPr>
          <w:rFonts w:ascii="Times New Roman" w:hAnsi="Times New Roman" w:cs="Times New Roman"/>
          <w:sz w:val="28"/>
          <w:szCs w:val="28"/>
        </w:rPr>
      </w:pPr>
      <w:r>
        <w:rPr>
          <w:rFonts w:ascii="Times New Roman" w:hAnsi="Times New Roman" w:cs="Times New Roman"/>
          <w:sz w:val="28"/>
          <w:szCs w:val="28"/>
        </w:rPr>
        <w:t>1.</w:t>
      </w:r>
      <w:r w:rsidR="00116FF6" w:rsidRPr="00116FF6">
        <w:rPr>
          <w:rFonts w:ascii="Times New Roman" w:hAnsi="Times New Roman" w:cs="Times New Roman"/>
          <w:sz w:val="28"/>
          <w:szCs w:val="28"/>
        </w:rPr>
        <w:t xml:space="preserve"> Про затвердження Порядку проведення первинної оцінки стану імплементації актів права Європейського Союзу (</w:t>
      </w:r>
      <w:proofErr w:type="spellStart"/>
      <w:r w:rsidR="00116FF6" w:rsidRPr="00116FF6">
        <w:rPr>
          <w:rFonts w:ascii="Times New Roman" w:hAnsi="Times New Roman" w:cs="Times New Roman"/>
          <w:sz w:val="28"/>
          <w:szCs w:val="28"/>
        </w:rPr>
        <w:t>acquis</w:t>
      </w:r>
      <w:proofErr w:type="spellEnd"/>
      <w:r w:rsidR="00116FF6" w:rsidRPr="00116FF6">
        <w:rPr>
          <w:rFonts w:ascii="Times New Roman" w:hAnsi="Times New Roman" w:cs="Times New Roman"/>
          <w:sz w:val="28"/>
          <w:szCs w:val="28"/>
        </w:rPr>
        <w:t xml:space="preserve"> ЄС): Постанова Кабінет Міністрів України № 189. 28.02.2023 URL: https://zakon.rada.gov.ua/laws/show/189-2023-%D0%BF#Text (дата звернення: 15.10.2024). </w:t>
      </w:r>
    </w:p>
    <w:p w14:paraId="3E75DAA2" w14:textId="77777777" w:rsidR="00AF4729" w:rsidRPr="00AF4729" w:rsidRDefault="00AF4729" w:rsidP="00AF4729">
      <w:pPr>
        <w:ind w:left="360"/>
        <w:jc w:val="both"/>
        <w:rPr>
          <w:rFonts w:ascii="Times New Roman" w:hAnsi="Times New Roman" w:cs="Times New Roman"/>
          <w:sz w:val="28"/>
          <w:szCs w:val="28"/>
        </w:rPr>
      </w:pPr>
      <w:r w:rsidRPr="00AF4729">
        <w:rPr>
          <w:rFonts w:ascii="Times New Roman" w:hAnsi="Times New Roman" w:cs="Times New Roman"/>
          <w:sz w:val="28"/>
          <w:szCs w:val="28"/>
        </w:rPr>
        <w:t>3.</w:t>
      </w:r>
      <w:r w:rsidRPr="00AF4729">
        <w:rPr>
          <w:rFonts w:ascii="Times New Roman" w:hAnsi="Times New Roman" w:cs="Times New Roman"/>
          <w:sz w:val="28"/>
          <w:szCs w:val="28"/>
        </w:rPr>
        <w:tab/>
        <w:t xml:space="preserve">Адаптація правової системи України до права європейського союзу: </w:t>
      </w:r>
      <w:proofErr w:type="spellStart"/>
      <w:r w:rsidRPr="00AF4729">
        <w:rPr>
          <w:rFonts w:ascii="Times New Roman" w:hAnsi="Times New Roman" w:cs="Times New Roman"/>
          <w:sz w:val="28"/>
          <w:szCs w:val="28"/>
        </w:rPr>
        <w:t>тео-ретичні</w:t>
      </w:r>
      <w:proofErr w:type="spellEnd"/>
      <w:r w:rsidRPr="00AF4729">
        <w:rPr>
          <w:rFonts w:ascii="Times New Roman" w:hAnsi="Times New Roman" w:cs="Times New Roman"/>
          <w:sz w:val="28"/>
          <w:szCs w:val="28"/>
        </w:rPr>
        <w:t xml:space="preserve"> та практичні аспекти Матеріали IX Всеукраїнської науково-практичної конференції 24 жовтня 2024 року Полтава 2024 УДК 340.11 (477) : 341.1 А28 Редакційна колегія: </w:t>
      </w:r>
      <w:proofErr w:type="spellStart"/>
      <w:r w:rsidRPr="00AF4729">
        <w:rPr>
          <w:rFonts w:ascii="Times New Roman" w:hAnsi="Times New Roman" w:cs="Times New Roman"/>
          <w:sz w:val="28"/>
          <w:szCs w:val="28"/>
        </w:rPr>
        <w:t>І.Є.Криницький</w:t>
      </w:r>
      <w:proofErr w:type="spellEnd"/>
      <w:r w:rsidRPr="00AF4729">
        <w:rPr>
          <w:rFonts w:ascii="Times New Roman" w:hAnsi="Times New Roman" w:cs="Times New Roman"/>
          <w:sz w:val="28"/>
          <w:szCs w:val="28"/>
        </w:rPr>
        <w:t xml:space="preserve">, </w:t>
      </w:r>
      <w:proofErr w:type="spellStart"/>
      <w:r w:rsidRPr="00AF4729">
        <w:rPr>
          <w:rFonts w:ascii="Times New Roman" w:hAnsi="Times New Roman" w:cs="Times New Roman"/>
          <w:sz w:val="28"/>
          <w:szCs w:val="28"/>
        </w:rPr>
        <w:t>д.ю.н</w:t>
      </w:r>
      <w:proofErr w:type="spellEnd"/>
      <w:r w:rsidRPr="00AF4729">
        <w:rPr>
          <w:rFonts w:ascii="Times New Roman" w:hAnsi="Times New Roman" w:cs="Times New Roman"/>
          <w:sz w:val="28"/>
          <w:szCs w:val="28"/>
        </w:rPr>
        <w:t xml:space="preserve">., професор; В.М. </w:t>
      </w:r>
      <w:proofErr w:type="spellStart"/>
      <w:r w:rsidRPr="00AF4729">
        <w:rPr>
          <w:rFonts w:ascii="Times New Roman" w:hAnsi="Times New Roman" w:cs="Times New Roman"/>
          <w:sz w:val="28"/>
          <w:szCs w:val="28"/>
        </w:rPr>
        <w:t>Божко</w:t>
      </w:r>
      <w:proofErr w:type="spellEnd"/>
      <w:r w:rsidRPr="00AF4729">
        <w:rPr>
          <w:rFonts w:ascii="Times New Roman" w:hAnsi="Times New Roman" w:cs="Times New Roman"/>
          <w:sz w:val="28"/>
          <w:szCs w:val="28"/>
        </w:rPr>
        <w:t xml:space="preserve">, </w:t>
      </w:r>
      <w:proofErr w:type="spellStart"/>
      <w:r w:rsidRPr="00AF4729">
        <w:rPr>
          <w:rFonts w:ascii="Times New Roman" w:hAnsi="Times New Roman" w:cs="Times New Roman"/>
          <w:sz w:val="28"/>
          <w:szCs w:val="28"/>
        </w:rPr>
        <w:t>д.ю.н</w:t>
      </w:r>
      <w:proofErr w:type="spellEnd"/>
      <w:r w:rsidRPr="00AF4729">
        <w:rPr>
          <w:rFonts w:ascii="Times New Roman" w:hAnsi="Times New Roman" w:cs="Times New Roman"/>
          <w:sz w:val="28"/>
          <w:szCs w:val="28"/>
        </w:rPr>
        <w:t xml:space="preserve">., доцент; </w:t>
      </w:r>
      <w:proofErr w:type="spellStart"/>
      <w:r w:rsidRPr="00AF4729">
        <w:rPr>
          <w:rFonts w:ascii="Times New Roman" w:hAnsi="Times New Roman" w:cs="Times New Roman"/>
          <w:sz w:val="28"/>
          <w:szCs w:val="28"/>
        </w:rPr>
        <w:t>А.О.Гаркуша</w:t>
      </w:r>
      <w:proofErr w:type="spellEnd"/>
      <w:r w:rsidRPr="00AF4729">
        <w:rPr>
          <w:rFonts w:ascii="Times New Roman" w:hAnsi="Times New Roman" w:cs="Times New Roman"/>
          <w:sz w:val="28"/>
          <w:szCs w:val="28"/>
        </w:rPr>
        <w:t xml:space="preserve">, </w:t>
      </w:r>
      <w:proofErr w:type="spellStart"/>
      <w:r w:rsidRPr="00AF4729">
        <w:rPr>
          <w:rFonts w:ascii="Times New Roman" w:hAnsi="Times New Roman" w:cs="Times New Roman"/>
          <w:sz w:val="28"/>
          <w:szCs w:val="28"/>
        </w:rPr>
        <w:t>к.ю.н</w:t>
      </w:r>
      <w:proofErr w:type="spellEnd"/>
      <w:r w:rsidRPr="00AF4729">
        <w:rPr>
          <w:rFonts w:ascii="Times New Roman" w:hAnsi="Times New Roman" w:cs="Times New Roman"/>
          <w:sz w:val="28"/>
          <w:szCs w:val="28"/>
        </w:rPr>
        <w:t xml:space="preserve">., доцент; </w:t>
      </w:r>
      <w:proofErr w:type="spellStart"/>
      <w:r w:rsidRPr="00AF4729">
        <w:rPr>
          <w:rFonts w:ascii="Times New Roman" w:hAnsi="Times New Roman" w:cs="Times New Roman"/>
          <w:sz w:val="28"/>
          <w:szCs w:val="28"/>
        </w:rPr>
        <w:t>А.І.Козаченко</w:t>
      </w:r>
      <w:proofErr w:type="spellEnd"/>
      <w:r w:rsidRPr="00AF4729">
        <w:rPr>
          <w:rFonts w:ascii="Times New Roman" w:hAnsi="Times New Roman" w:cs="Times New Roman"/>
          <w:sz w:val="28"/>
          <w:szCs w:val="28"/>
        </w:rPr>
        <w:t xml:space="preserve">, </w:t>
      </w:r>
      <w:proofErr w:type="spellStart"/>
      <w:r w:rsidRPr="00AF4729">
        <w:rPr>
          <w:rFonts w:ascii="Times New Roman" w:hAnsi="Times New Roman" w:cs="Times New Roman"/>
          <w:sz w:val="28"/>
          <w:szCs w:val="28"/>
        </w:rPr>
        <w:t>д.ю.н</w:t>
      </w:r>
      <w:proofErr w:type="spellEnd"/>
      <w:r w:rsidRPr="00AF4729">
        <w:rPr>
          <w:rFonts w:ascii="Times New Roman" w:hAnsi="Times New Roman" w:cs="Times New Roman"/>
          <w:sz w:val="28"/>
          <w:szCs w:val="28"/>
        </w:rPr>
        <w:t xml:space="preserve">., доцент </w:t>
      </w:r>
      <w:proofErr w:type="spellStart"/>
      <w:r w:rsidRPr="00AF4729">
        <w:rPr>
          <w:rFonts w:ascii="Times New Roman" w:hAnsi="Times New Roman" w:cs="Times New Roman"/>
          <w:sz w:val="28"/>
          <w:szCs w:val="28"/>
        </w:rPr>
        <w:t>І.А.Тітко</w:t>
      </w:r>
      <w:proofErr w:type="spellEnd"/>
      <w:r w:rsidRPr="00AF4729">
        <w:rPr>
          <w:rFonts w:ascii="Times New Roman" w:hAnsi="Times New Roman" w:cs="Times New Roman"/>
          <w:sz w:val="28"/>
          <w:szCs w:val="28"/>
        </w:rPr>
        <w:t>.</w:t>
      </w:r>
    </w:p>
    <w:p w14:paraId="5F49081B" w14:textId="265C7BA1" w:rsidR="00E459B8" w:rsidRDefault="00AF4729" w:rsidP="00AF4729">
      <w:pPr>
        <w:ind w:left="360"/>
        <w:jc w:val="both"/>
        <w:rPr>
          <w:rFonts w:ascii="Times New Roman" w:hAnsi="Times New Roman" w:cs="Times New Roman"/>
          <w:sz w:val="28"/>
          <w:szCs w:val="28"/>
        </w:rPr>
      </w:pPr>
      <w:r w:rsidRPr="00AF4729">
        <w:rPr>
          <w:rFonts w:ascii="Times New Roman" w:hAnsi="Times New Roman" w:cs="Times New Roman"/>
          <w:sz w:val="28"/>
          <w:szCs w:val="28"/>
        </w:rPr>
        <w:t>4.</w:t>
      </w:r>
      <w:r w:rsidRPr="00AF4729">
        <w:rPr>
          <w:rFonts w:ascii="Times New Roman" w:hAnsi="Times New Roman" w:cs="Times New Roman"/>
          <w:sz w:val="28"/>
          <w:szCs w:val="28"/>
        </w:rPr>
        <w:tab/>
        <w:t xml:space="preserve">Гармонізація правової системи України до права ЄС : </w:t>
      </w:r>
      <w:proofErr w:type="spellStart"/>
      <w:r w:rsidRPr="00AF4729">
        <w:rPr>
          <w:rFonts w:ascii="Times New Roman" w:hAnsi="Times New Roman" w:cs="Times New Roman"/>
          <w:sz w:val="28"/>
          <w:szCs w:val="28"/>
        </w:rPr>
        <w:t>навч</w:t>
      </w:r>
      <w:proofErr w:type="spellEnd"/>
      <w:r w:rsidRPr="00AF4729">
        <w:rPr>
          <w:rFonts w:ascii="Times New Roman" w:hAnsi="Times New Roman" w:cs="Times New Roman"/>
          <w:sz w:val="28"/>
          <w:szCs w:val="28"/>
        </w:rPr>
        <w:t xml:space="preserve">.-метод. </w:t>
      </w:r>
      <w:proofErr w:type="spellStart"/>
      <w:r w:rsidRPr="00AF4729">
        <w:rPr>
          <w:rFonts w:ascii="Times New Roman" w:hAnsi="Times New Roman" w:cs="Times New Roman"/>
          <w:sz w:val="28"/>
          <w:szCs w:val="28"/>
        </w:rPr>
        <w:t>посіб-ник</w:t>
      </w:r>
      <w:proofErr w:type="spellEnd"/>
      <w:r w:rsidRPr="00AF4729">
        <w:rPr>
          <w:rFonts w:ascii="Times New Roman" w:hAnsi="Times New Roman" w:cs="Times New Roman"/>
          <w:sz w:val="28"/>
          <w:szCs w:val="28"/>
        </w:rPr>
        <w:t xml:space="preserve"> [Електронне видання] / Ю. </w:t>
      </w:r>
      <w:proofErr w:type="spellStart"/>
      <w:r w:rsidRPr="00AF4729">
        <w:rPr>
          <w:rFonts w:ascii="Times New Roman" w:hAnsi="Times New Roman" w:cs="Times New Roman"/>
          <w:sz w:val="28"/>
          <w:szCs w:val="28"/>
        </w:rPr>
        <w:t>Акіменко</w:t>
      </w:r>
      <w:proofErr w:type="spellEnd"/>
      <w:r w:rsidRPr="00AF4729">
        <w:rPr>
          <w:rFonts w:ascii="Times New Roman" w:hAnsi="Times New Roman" w:cs="Times New Roman"/>
          <w:sz w:val="28"/>
          <w:szCs w:val="28"/>
        </w:rPr>
        <w:t xml:space="preserve">, Р. </w:t>
      </w:r>
      <w:proofErr w:type="spellStart"/>
      <w:r w:rsidRPr="00AF4729">
        <w:rPr>
          <w:rFonts w:ascii="Times New Roman" w:hAnsi="Times New Roman" w:cs="Times New Roman"/>
          <w:sz w:val="28"/>
          <w:szCs w:val="28"/>
        </w:rPr>
        <w:t>Харитонов</w:t>
      </w:r>
      <w:proofErr w:type="spellEnd"/>
      <w:r w:rsidRPr="00AF4729">
        <w:rPr>
          <w:rFonts w:ascii="Times New Roman" w:hAnsi="Times New Roman" w:cs="Times New Roman"/>
          <w:sz w:val="28"/>
          <w:szCs w:val="28"/>
        </w:rPr>
        <w:t xml:space="preserve"> ; </w:t>
      </w:r>
      <w:proofErr w:type="spellStart"/>
      <w:r w:rsidRPr="00AF4729">
        <w:rPr>
          <w:rFonts w:ascii="Times New Roman" w:hAnsi="Times New Roman" w:cs="Times New Roman"/>
          <w:sz w:val="28"/>
          <w:szCs w:val="28"/>
        </w:rPr>
        <w:t>Нац</w:t>
      </w:r>
      <w:proofErr w:type="spellEnd"/>
      <w:r w:rsidRPr="00AF4729">
        <w:rPr>
          <w:rFonts w:ascii="Times New Roman" w:hAnsi="Times New Roman" w:cs="Times New Roman"/>
          <w:sz w:val="28"/>
          <w:szCs w:val="28"/>
        </w:rPr>
        <w:t>. ун-т «</w:t>
      </w:r>
      <w:proofErr w:type="spellStart"/>
      <w:r w:rsidRPr="00AF4729">
        <w:rPr>
          <w:rFonts w:ascii="Times New Roman" w:hAnsi="Times New Roman" w:cs="Times New Roman"/>
          <w:sz w:val="28"/>
          <w:szCs w:val="28"/>
        </w:rPr>
        <w:t>Одес</w:t>
      </w:r>
      <w:proofErr w:type="spellEnd"/>
      <w:r w:rsidRPr="00AF4729">
        <w:rPr>
          <w:rFonts w:ascii="Times New Roman" w:hAnsi="Times New Roman" w:cs="Times New Roman"/>
          <w:sz w:val="28"/>
          <w:szCs w:val="28"/>
        </w:rPr>
        <w:t xml:space="preserve">. </w:t>
      </w:r>
      <w:proofErr w:type="spellStart"/>
      <w:r w:rsidRPr="00AF4729">
        <w:rPr>
          <w:rFonts w:ascii="Times New Roman" w:hAnsi="Times New Roman" w:cs="Times New Roman"/>
          <w:sz w:val="28"/>
          <w:szCs w:val="28"/>
        </w:rPr>
        <w:t>юрид</w:t>
      </w:r>
      <w:proofErr w:type="spellEnd"/>
      <w:r w:rsidRPr="00AF4729">
        <w:rPr>
          <w:rFonts w:ascii="Times New Roman" w:hAnsi="Times New Roman" w:cs="Times New Roman"/>
          <w:sz w:val="28"/>
          <w:szCs w:val="28"/>
        </w:rPr>
        <w:t>. академія». – Одеса :</w:t>
      </w:r>
      <w:r w:rsidR="00F31B30">
        <w:rPr>
          <w:rFonts w:ascii="Times New Roman" w:hAnsi="Times New Roman" w:cs="Times New Roman"/>
          <w:sz w:val="28"/>
          <w:szCs w:val="28"/>
        </w:rPr>
        <w:t xml:space="preserve"> </w:t>
      </w:r>
      <w:r w:rsidRPr="00AF4729">
        <w:rPr>
          <w:rFonts w:ascii="Times New Roman" w:hAnsi="Times New Roman" w:cs="Times New Roman"/>
          <w:sz w:val="28"/>
          <w:szCs w:val="28"/>
        </w:rPr>
        <w:t xml:space="preserve">Фенікс, 2023.– 84 с. – Режим доступу: </w:t>
      </w:r>
      <w:r w:rsidR="00E459B8">
        <w:rPr>
          <w:rFonts w:ascii="Times New Roman" w:hAnsi="Times New Roman" w:cs="Times New Roman"/>
          <w:sz w:val="28"/>
          <w:szCs w:val="28"/>
        </w:rPr>
        <w:fldChar w:fldCharType="begin"/>
      </w:r>
      <w:r w:rsidR="00E459B8">
        <w:rPr>
          <w:rFonts w:ascii="Times New Roman" w:hAnsi="Times New Roman" w:cs="Times New Roman"/>
          <w:sz w:val="28"/>
          <w:szCs w:val="28"/>
        </w:rPr>
        <w:instrText>HYPERLINK "</w:instrText>
      </w:r>
      <w:r w:rsidR="00E459B8" w:rsidRPr="00AF4729">
        <w:rPr>
          <w:rFonts w:ascii="Times New Roman" w:hAnsi="Times New Roman" w:cs="Times New Roman"/>
          <w:sz w:val="28"/>
          <w:szCs w:val="28"/>
        </w:rPr>
        <w:instrText xml:space="preserve">https://hdl.handle.net/11300/27081 </w:instrText>
      </w:r>
    </w:p>
    <w:p w14:paraId="0FC8D43F" w14:textId="77777777" w:rsidR="00E459B8" w:rsidRPr="00FB5131" w:rsidRDefault="00E459B8" w:rsidP="00AF4729">
      <w:pPr>
        <w:ind w:left="360"/>
        <w:jc w:val="both"/>
        <w:rPr>
          <w:rStyle w:val="ae"/>
          <w:rFonts w:ascii="Times New Roman" w:hAnsi="Times New Roman" w:cs="Times New Roman"/>
          <w:sz w:val="28"/>
          <w:szCs w:val="28"/>
        </w:rPr>
      </w:pPr>
      <w:r>
        <w:rPr>
          <w:rFonts w:ascii="Times New Roman" w:hAnsi="Times New Roman" w:cs="Times New Roman"/>
          <w:sz w:val="28"/>
          <w:szCs w:val="28"/>
        </w:rPr>
        <w:instrText>5"</w:instrText>
      </w:r>
      <w:r>
        <w:rPr>
          <w:rFonts w:ascii="Times New Roman" w:hAnsi="Times New Roman" w:cs="Times New Roman"/>
          <w:sz w:val="28"/>
          <w:szCs w:val="28"/>
        </w:rPr>
      </w:r>
      <w:r>
        <w:rPr>
          <w:rFonts w:ascii="Times New Roman" w:hAnsi="Times New Roman" w:cs="Times New Roman"/>
          <w:sz w:val="28"/>
          <w:szCs w:val="28"/>
        </w:rPr>
        <w:fldChar w:fldCharType="separate"/>
      </w:r>
      <w:r w:rsidRPr="00FB5131">
        <w:rPr>
          <w:rStyle w:val="ae"/>
          <w:rFonts w:ascii="Times New Roman" w:hAnsi="Times New Roman" w:cs="Times New Roman"/>
          <w:sz w:val="28"/>
          <w:szCs w:val="28"/>
        </w:rPr>
        <w:t xml:space="preserve">https://hdl.handle.net/11300/27081 </w:t>
      </w:r>
    </w:p>
    <w:p w14:paraId="7F629FB0" w14:textId="33168DAD" w:rsidR="00E459B8" w:rsidRDefault="00E459B8" w:rsidP="00AF4729">
      <w:pPr>
        <w:ind w:left="360"/>
        <w:jc w:val="both"/>
        <w:rPr>
          <w:rFonts w:ascii="Times New Roman" w:hAnsi="Times New Roman" w:cs="Times New Roman"/>
          <w:sz w:val="28"/>
          <w:szCs w:val="28"/>
        </w:rPr>
      </w:pPr>
      <w:r w:rsidRPr="00FB5131">
        <w:rPr>
          <w:rStyle w:val="ae"/>
          <w:rFonts w:ascii="Times New Roman" w:hAnsi="Times New Roman" w:cs="Times New Roman"/>
          <w:sz w:val="28"/>
          <w:szCs w:val="28"/>
        </w:rPr>
        <w:t>5</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sidRPr="00E459B8">
        <w:rPr>
          <w:rFonts w:ascii="Times New Roman" w:hAnsi="Times New Roman" w:cs="Times New Roman"/>
          <w:sz w:val="28"/>
          <w:szCs w:val="28"/>
        </w:rPr>
        <w:t>Концепція оновлення Цивільного кодексу України. Київ: Видавничий дім “</w:t>
      </w:r>
      <w:proofErr w:type="spellStart"/>
      <w:r w:rsidRPr="00E459B8">
        <w:rPr>
          <w:rFonts w:ascii="Times New Roman" w:hAnsi="Times New Roman" w:cs="Times New Roman"/>
          <w:sz w:val="28"/>
          <w:szCs w:val="28"/>
        </w:rPr>
        <w:t>АртЕк</w:t>
      </w:r>
      <w:proofErr w:type="spellEnd"/>
      <w:r w:rsidRPr="00E459B8">
        <w:rPr>
          <w:rFonts w:ascii="Times New Roman" w:hAnsi="Times New Roman" w:cs="Times New Roman"/>
          <w:sz w:val="28"/>
          <w:szCs w:val="28"/>
        </w:rPr>
        <w:t>”, 2020. 128 с.</w:t>
      </w:r>
      <w:r w:rsidR="00584CF3">
        <w:rPr>
          <w:rFonts w:ascii="Times New Roman" w:hAnsi="Times New Roman" w:cs="Times New Roman"/>
          <w:sz w:val="28"/>
          <w:szCs w:val="28"/>
        </w:rPr>
        <w:t xml:space="preserve"> </w:t>
      </w:r>
      <w:hyperlink r:id="rId8" w:history="1">
        <w:r w:rsidR="00584CF3" w:rsidRPr="00FB5131">
          <w:rPr>
            <w:rStyle w:val="ae"/>
            <w:rFonts w:ascii="Times New Roman" w:hAnsi="Times New Roman" w:cs="Times New Roman"/>
            <w:sz w:val="28"/>
            <w:szCs w:val="28"/>
          </w:rPr>
          <w:t>https://pravo.ua/wp-content/uploads/2021/01/Proekt-Koncepcii-onovlennja-Civilnogo-kodeksu-Ukraini.pdf</w:t>
        </w:r>
      </w:hyperlink>
    </w:p>
    <w:p w14:paraId="2D20C575" w14:textId="468F8B6C" w:rsidR="00E4560A" w:rsidRPr="0037745A" w:rsidRDefault="0037745A" w:rsidP="0037745A">
      <w:pPr>
        <w:pStyle w:val="a9"/>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Проєкт Митного кодексу України </w:t>
      </w:r>
      <w:r w:rsidRPr="0037745A">
        <w:rPr>
          <w:rFonts w:ascii="Times New Roman" w:hAnsi="Times New Roman" w:cs="Times New Roman"/>
          <w:sz w:val="28"/>
          <w:szCs w:val="28"/>
        </w:rPr>
        <w:t>https://customs.gov.ua/proiekt-novogo-mitnogo-kodeksu-ukrayini#scrollTop=0</w:t>
      </w:r>
    </w:p>
    <w:p w14:paraId="7311C307" w14:textId="77777777" w:rsidR="00584CF3" w:rsidRPr="00AF4729" w:rsidRDefault="00584CF3" w:rsidP="00AF4729">
      <w:pPr>
        <w:ind w:left="360"/>
        <w:jc w:val="both"/>
        <w:rPr>
          <w:rFonts w:ascii="Times New Roman" w:hAnsi="Times New Roman" w:cs="Times New Roman"/>
          <w:sz w:val="28"/>
          <w:szCs w:val="28"/>
        </w:rPr>
      </w:pPr>
    </w:p>
    <w:p w14:paraId="327616BC" w14:textId="77777777" w:rsidR="00116FF6" w:rsidRPr="00685307" w:rsidRDefault="00116FF6" w:rsidP="00685307">
      <w:pPr>
        <w:ind w:left="360"/>
        <w:jc w:val="both"/>
        <w:rPr>
          <w:rFonts w:ascii="Times New Roman" w:hAnsi="Times New Roman" w:cs="Times New Roman"/>
          <w:sz w:val="28"/>
          <w:szCs w:val="28"/>
        </w:rPr>
      </w:pPr>
    </w:p>
    <w:sectPr w:rsidR="00116FF6" w:rsidRPr="0068530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2D19"/>
    <w:multiLevelType w:val="multilevel"/>
    <w:tmpl w:val="8BF6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820DB7"/>
    <w:multiLevelType w:val="multilevel"/>
    <w:tmpl w:val="C7E40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203BF2"/>
    <w:multiLevelType w:val="multilevel"/>
    <w:tmpl w:val="D9D44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DA4EA6"/>
    <w:multiLevelType w:val="hybridMultilevel"/>
    <w:tmpl w:val="FB0EF4E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21C0F9A"/>
    <w:multiLevelType w:val="multilevel"/>
    <w:tmpl w:val="8C22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647CA3"/>
    <w:multiLevelType w:val="multilevel"/>
    <w:tmpl w:val="A66ACD02"/>
    <w:lvl w:ilvl="0">
      <w:start w:val="1"/>
      <w:numFmt w:val="decimal"/>
      <w:lvlText w:val="%1."/>
      <w:lvlJc w:val="left"/>
      <w:pPr>
        <w:tabs>
          <w:tab w:val="num" w:pos="360"/>
        </w:tabs>
        <w:ind w:left="360" w:hanging="360"/>
      </w:pPr>
      <w:rPr>
        <w:sz w:val="28"/>
        <w:szCs w:val="28"/>
      </w:rPr>
    </w:lvl>
    <w:lvl w:ilvl="1">
      <w:start w:val="1"/>
      <w:numFmt w:val="decimal"/>
      <w:lvlText w:val="%2."/>
      <w:lvlJc w:val="left"/>
      <w:pPr>
        <w:tabs>
          <w:tab w:val="num" w:pos="720"/>
        </w:tabs>
        <w:ind w:left="720" w:hanging="360"/>
      </w:pPr>
      <w:rPr>
        <w:sz w:val="28"/>
        <w:szCs w:val="28"/>
      </w:rPr>
    </w:lvl>
    <w:lvl w:ilvl="2">
      <w:start w:val="1"/>
      <w:numFmt w:val="decimal"/>
      <w:lvlText w:val="%3."/>
      <w:lvlJc w:val="left"/>
      <w:pPr>
        <w:tabs>
          <w:tab w:val="num" w:pos="1080"/>
        </w:tabs>
        <w:ind w:left="1080" w:hanging="360"/>
      </w:pPr>
      <w:rPr>
        <w:sz w:val="28"/>
        <w:szCs w:val="28"/>
      </w:rPr>
    </w:lvl>
    <w:lvl w:ilvl="3">
      <w:start w:val="1"/>
      <w:numFmt w:val="decimal"/>
      <w:lvlText w:val="%4."/>
      <w:lvlJc w:val="left"/>
      <w:pPr>
        <w:tabs>
          <w:tab w:val="num" w:pos="1440"/>
        </w:tabs>
        <w:ind w:left="1440" w:hanging="360"/>
      </w:pPr>
      <w:rPr>
        <w:sz w:val="28"/>
        <w:szCs w:val="28"/>
      </w:rPr>
    </w:lvl>
    <w:lvl w:ilvl="4">
      <w:start w:val="1"/>
      <w:numFmt w:val="decimal"/>
      <w:lvlText w:val="%5."/>
      <w:lvlJc w:val="left"/>
      <w:pPr>
        <w:tabs>
          <w:tab w:val="num" w:pos="1800"/>
        </w:tabs>
        <w:ind w:left="1800" w:hanging="360"/>
      </w:pPr>
      <w:rPr>
        <w:sz w:val="28"/>
        <w:szCs w:val="28"/>
      </w:rPr>
    </w:lvl>
    <w:lvl w:ilvl="5">
      <w:start w:val="1"/>
      <w:numFmt w:val="decimal"/>
      <w:lvlText w:val="%6."/>
      <w:lvlJc w:val="left"/>
      <w:pPr>
        <w:tabs>
          <w:tab w:val="num" w:pos="2160"/>
        </w:tabs>
        <w:ind w:left="2160" w:hanging="360"/>
      </w:pPr>
      <w:rPr>
        <w:sz w:val="28"/>
        <w:szCs w:val="28"/>
      </w:rPr>
    </w:lvl>
    <w:lvl w:ilvl="6">
      <w:start w:val="1"/>
      <w:numFmt w:val="decimal"/>
      <w:lvlText w:val="%7."/>
      <w:lvlJc w:val="left"/>
      <w:pPr>
        <w:tabs>
          <w:tab w:val="num" w:pos="2520"/>
        </w:tabs>
        <w:ind w:left="2520" w:hanging="360"/>
      </w:pPr>
      <w:rPr>
        <w:sz w:val="28"/>
        <w:szCs w:val="28"/>
      </w:rPr>
    </w:lvl>
    <w:lvl w:ilvl="7">
      <w:start w:val="1"/>
      <w:numFmt w:val="decimal"/>
      <w:lvlText w:val="%8."/>
      <w:lvlJc w:val="left"/>
      <w:pPr>
        <w:tabs>
          <w:tab w:val="num" w:pos="2880"/>
        </w:tabs>
        <w:ind w:left="2880" w:hanging="360"/>
      </w:pPr>
      <w:rPr>
        <w:sz w:val="28"/>
        <w:szCs w:val="28"/>
      </w:rPr>
    </w:lvl>
    <w:lvl w:ilvl="8">
      <w:start w:val="1"/>
      <w:numFmt w:val="decimal"/>
      <w:lvlText w:val="%9."/>
      <w:lvlJc w:val="left"/>
      <w:pPr>
        <w:tabs>
          <w:tab w:val="num" w:pos="3240"/>
        </w:tabs>
        <w:ind w:left="3240" w:hanging="360"/>
      </w:pPr>
      <w:rPr>
        <w:sz w:val="28"/>
        <w:szCs w:val="28"/>
      </w:rPr>
    </w:lvl>
  </w:abstractNum>
  <w:abstractNum w:abstractNumId="6" w15:restartNumberingAfterBreak="0">
    <w:nsid w:val="3AE17670"/>
    <w:multiLevelType w:val="multilevel"/>
    <w:tmpl w:val="F8626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3D115B"/>
    <w:multiLevelType w:val="hybridMultilevel"/>
    <w:tmpl w:val="FA9CF5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9D26DEE"/>
    <w:multiLevelType w:val="multilevel"/>
    <w:tmpl w:val="0F2E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F46E58"/>
    <w:multiLevelType w:val="multilevel"/>
    <w:tmpl w:val="FFE80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C8125D"/>
    <w:multiLevelType w:val="multilevel"/>
    <w:tmpl w:val="3780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2809188">
    <w:abstractNumId w:val="3"/>
  </w:num>
  <w:num w:numId="2" w16cid:durableId="439106616">
    <w:abstractNumId w:val="7"/>
  </w:num>
  <w:num w:numId="3" w16cid:durableId="1202211455">
    <w:abstractNumId w:val="0"/>
  </w:num>
  <w:num w:numId="4" w16cid:durableId="811605815">
    <w:abstractNumId w:val="2"/>
  </w:num>
  <w:num w:numId="5" w16cid:durableId="582957636">
    <w:abstractNumId w:val="4"/>
  </w:num>
  <w:num w:numId="6" w16cid:durableId="896277468">
    <w:abstractNumId w:val="10"/>
  </w:num>
  <w:num w:numId="7" w16cid:durableId="965502997">
    <w:abstractNumId w:val="9"/>
  </w:num>
  <w:num w:numId="8" w16cid:durableId="1739592413">
    <w:abstractNumId w:val="1"/>
  </w:num>
  <w:num w:numId="9" w16cid:durableId="1156529707">
    <w:abstractNumId w:val="8"/>
  </w:num>
  <w:num w:numId="10" w16cid:durableId="1696492161">
    <w:abstractNumId w:val="6"/>
  </w:num>
  <w:num w:numId="11" w16cid:durableId="18807742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8AB"/>
    <w:rsid w:val="00116FF6"/>
    <w:rsid w:val="001A342A"/>
    <w:rsid w:val="0037745A"/>
    <w:rsid w:val="004E1F2E"/>
    <w:rsid w:val="004E5398"/>
    <w:rsid w:val="004F415F"/>
    <w:rsid w:val="00584CF3"/>
    <w:rsid w:val="005B1205"/>
    <w:rsid w:val="00685307"/>
    <w:rsid w:val="006D75AB"/>
    <w:rsid w:val="009A06FA"/>
    <w:rsid w:val="009A246D"/>
    <w:rsid w:val="00AF4729"/>
    <w:rsid w:val="00BE38AB"/>
    <w:rsid w:val="00C45DCC"/>
    <w:rsid w:val="00D50FB9"/>
    <w:rsid w:val="00E4560A"/>
    <w:rsid w:val="00E459B8"/>
    <w:rsid w:val="00EB7E68"/>
    <w:rsid w:val="00ED536E"/>
    <w:rsid w:val="00EF5924"/>
    <w:rsid w:val="00F31B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AB738"/>
  <w15:chartTrackingRefBased/>
  <w15:docId w15:val="{6A0E06CB-BD88-481E-B4FA-0F53D21D1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E38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E38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E38A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E38A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E38A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E38A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E38A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E38A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E38A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38A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E38A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E38A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E38A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E38A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E38A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E38AB"/>
    <w:rPr>
      <w:rFonts w:eastAsiaTheme="majorEastAsia" w:cstheme="majorBidi"/>
      <w:color w:val="595959" w:themeColor="text1" w:themeTint="A6"/>
    </w:rPr>
  </w:style>
  <w:style w:type="character" w:customStyle="1" w:styleId="80">
    <w:name w:val="Заголовок 8 Знак"/>
    <w:basedOn w:val="a0"/>
    <w:link w:val="8"/>
    <w:uiPriority w:val="9"/>
    <w:semiHidden/>
    <w:rsid w:val="00BE38A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E38AB"/>
    <w:rPr>
      <w:rFonts w:eastAsiaTheme="majorEastAsia" w:cstheme="majorBidi"/>
      <w:color w:val="272727" w:themeColor="text1" w:themeTint="D8"/>
    </w:rPr>
  </w:style>
  <w:style w:type="paragraph" w:styleId="a3">
    <w:name w:val="Title"/>
    <w:basedOn w:val="a"/>
    <w:next w:val="a"/>
    <w:link w:val="a4"/>
    <w:uiPriority w:val="10"/>
    <w:qFormat/>
    <w:rsid w:val="00BE38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E38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38A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BE38A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E38AB"/>
    <w:pPr>
      <w:spacing w:before="160"/>
      <w:jc w:val="center"/>
    </w:pPr>
    <w:rPr>
      <w:i/>
      <w:iCs/>
      <w:color w:val="404040" w:themeColor="text1" w:themeTint="BF"/>
    </w:rPr>
  </w:style>
  <w:style w:type="character" w:customStyle="1" w:styleId="a8">
    <w:name w:val="Цитата Знак"/>
    <w:basedOn w:val="a0"/>
    <w:link w:val="a7"/>
    <w:uiPriority w:val="29"/>
    <w:rsid w:val="00BE38AB"/>
    <w:rPr>
      <w:i/>
      <w:iCs/>
      <w:color w:val="404040" w:themeColor="text1" w:themeTint="BF"/>
    </w:rPr>
  </w:style>
  <w:style w:type="paragraph" w:styleId="a9">
    <w:name w:val="List Paragraph"/>
    <w:basedOn w:val="a"/>
    <w:uiPriority w:val="34"/>
    <w:qFormat/>
    <w:rsid w:val="00BE38AB"/>
    <w:pPr>
      <w:ind w:left="720"/>
      <w:contextualSpacing/>
    </w:pPr>
  </w:style>
  <w:style w:type="character" w:styleId="aa">
    <w:name w:val="Intense Emphasis"/>
    <w:basedOn w:val="a0"/>
    <w:uiPriority w:val="21"/>
    <w:qFormat/>
    <w:rsid w:val="00BE38AB"/>
    <w:rPr>
      <w:i/>
      <w:iCs/>
      <w:color w:val="2F5496" w:themeColor="accent1" w:themeShade="BF"/>
    </w:rPr>
  </w:style>
  <w:style w:type="paragraph" w:styleId="ab">
    <w:name w:val="Intense Quote"/>
    <w:basedOn w:val="a"/>
    <w:next w:val="a"/>
    <w:link w:val="ac"/>
    <w:uiPriority w:val="30"/>
    <w:qFormat/>
    <w:rsid w:val="00BE38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BE38AB"/>
    <w:rPr>
      <w:i/>
      <w:iCs/>
      <w:color w:val="2F5496" w:themeColor="accent1" w:themeShade="BF"/>
    </w:rPr>
  </w:style>
  <w:style w:type="character" w:styleId="ad">
    <w:name w:val="Intense Reference"/>
    <w:basedOn w:val="a0"/>
    <w:uiPriority w:val="32"/>
    <w:qFormat/>
    <w:rsid w:val="00BE38AB"/>
    <w:rPr>
      <w:b/>
      <w:bCs/>
      <w:smallCaps/>
      <w:color w:val="2F5496" w:themeColor="accent1" w:themeShade="BF"/>
      <w:spacing w:val="5"/>
    </w:rPr>
  </w:style>
  <w:style w:type="character" w:styleId="ae">
    <w:name w:val="Hyperlink"/>
    <w:basedOn w:val="a0"/>
    <w:uiPriority w:val="99"/>
    <w:unhideWhenUsed/>
    <w:rsid w:val="00EF5924"/>
    <w:rPr>
      <w:color w:val="0563C1" w:themeColor="hyperlink"/>
      <w:u w:val="single"/>
    </w:rPr>
  </w:style>
  <w:style w:type="character" w:styleId="af">
    <w:name w:val="Unresolved Mention"/>
    <w:basedOn w:val="a0"/>
    <w:uiPriority w:val="99"/>
    <w:semiHidden/>
    <w:unhideWhenUsed/>
    <w:rsid w:val="00EF5924"/>
    <w:rPr>
      <w:color w:val="605E5C"/>
      <w:shd w:val="clear" w:color="auto" w:fill="E1DFDD"/>
    </w:rPr>
  </w:style>
  <w:style w:type="paragraph" w:styleId="af0">
    <w:name w:val="Normal (Web)"/>
    <w:basedOn w:val="a"/>
    <w:uiPriority w:val="99"/>
    <w:semiHidden/>
    <w:unhideWhenUsed/>
    <w:rsid w:val="00EF5924"/>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ua/wp-content/uploads/2021/01/Proekt-Koncepcii-onovlennja-Civilnogo-kodeksu-Ukraini.pdf" TargetMode="External"/><Relationship Id="rId3" Type="http://schemas.openxmlformats.org/officeDocument/2006/relationships/settings" Target="settings.xml"/><Relationship Id="rId7" Type="http://schemas.openxmlformats.org/officeDocument/2006/relationships/hyperlink" Target="https://ips.ligazakon.net/document/view/T052709?utm_source=biz.ligazakon.net&amp;utm_medium=news&amp;utm_content=bizpress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ps.ligazakon.net/document/T022947?utm_source=biz.ligazakon.net&amp;utm_medium=news&amp;utm_content=bizpress01" TargetMode="External"/><Relationship Id="rId5" Type="http://schemas.openxmlformats.org/officeDocument/2006/relationships/hyperlink" Target="https://ips.ligazakon.net/document/JI14141I?utm_source=biz.ligazakon.net&amp;utm_medium=news&amp;utm_content=bizpress0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8</Pages>
  <Words>10677</Words>
  <Characters>6086</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 Pav</dc:creator>
  <cp:keywords/>
  <dc:description/>
  <cp:lastModifiedBy>Ir Pav</cp:lastModifiedBy>
  <cp:revision>14</cp:revision>
  <dcterms:created xsi:type="dcterms:W3CDTF">2026-02-05T12:50:00Z</dcterms:created>
  <dcterms:modified xsi:type="dcterms:W3CDTF">2026-02-05T16:05:00Z</dcterms:modified>
</cp:coreProperties>
</file>