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EFE" w:rsidRPr="004B5CF8" w:rsidRDefault="00155EFE" w:rsidP="00155EFE">
      <w:pPr>
        <w:pStyle w:val="a5"/>
        <w:jc w:val="center"/>
        <w:rPr>
          <w:b/>
          <w:sz w:val="20"/>
        </w:rPr>
      </w:pPr>
      <w:r>
        <w:rPr>
          <w:b/>
          <w:sz w:val="20"/>
        </w:rPr>
        <w:t>Практична робота № 2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left="745"/>
        <w:rPr>
          <w:b/>
          <w:sz w:val="20"/>
        </w:rPr>
      </w:pPr>
      <w:r w:rsidRPr="004B5CF8">
        <w:rPr>
          <w:b/>
          <w:sz w:val="20"/>
        </w:rPr>
        <w:t>Предмет, структура, зміст, мета курсу. Безпечні та нешкідливі умови праці, трудова діяльність працівників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left="1080" w:hanging="360"/>
        <w:jc w:val="left"/>
        <w:rPr>
          <w:sz w:val="20"/>
        </w:rPr>
      </w:pP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b/>
          <w:sz w:val="20"/>
        </w:rPr>
        <w:t>Актуальність теми.</w:t>
      </w:r>
      <w:r w:rsidRPr="004B5CF8">
        <w:rPr>
          <w:sz w:val="20"/>
        </w:rPr>
        <w:t xml:space="preserve"> Одна з найважливіших державних задач – охорона життя та здоров'я громадян в процесі їх трудової діяльності, створення безпечних та нешкідливих умов праці. 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Впродовж багатовікової історії людства проблеми здоров'я та безпеки праці завжди посідали чільне місце в соціальному та економічному житті суспільства. Головними об'єктами досліджень охорони праці є людина в процесі праці, виробниче середовище, організація праці на виробництві. На підставі досліджень розробляються заходи та засоби, спрямовані на збереження здоров'я і працездатності людини в процесі праці.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b/>
          <w:sz w:val="20"/>
        </w:rPr>
      </w:pPr>
      <w:r w:rsidRPr="004B5CF8">
        <w:rPr>
          <w:b/>
          <w:sz w:val="20"/>
        </w:rPr>
        <w:t>Теоретичні питання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1. Предмет, структура, зміст, мета навчальної дисципліни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2. Загальна характеристика трудової діяльності працівників підприємства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3. Загальна характеристика безпечних та нешкідливих умов праці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 xml:space="preserve">4. Загальна характеристика виробничого середовища. 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b/>
          <w:sz w:val="20"/>
        </w:rPr>
      </w:pPr>
      <w:r w:rsidRPr="004B5CF8">
        <w:rPr>
          <w:b/>
          <w:sz w:val="20"/>
        </w:rPr>
        <w:t>Завдання для виконання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1. Опрацювати основні теоретичні відомості, підготувати теоретичні питання.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2. Записати визначення понять.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3. Виконати тестові завдання.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rPr>
          <w:b/>
          <w:sz w:val="20"/>
        </w:rPr>
      </w:pPr>
      <w:r>
        <w:rPr>
          <w:b/>
          <w:sz w:val="20"/>
        </w:rPr>
        <w:t xml:space="preserve">Практична частина 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i/>
          <w:sz w:val="20"/>
        </w:rPr>
      </w:pPr>
      <w:r w:rsidRPr="004B5CF8">
        <w:rPr>
          <w:b/>
          <w:sz w:val="20"/>
        </w:rPr>
        <w:t>Основні поняття:</w:t>
      </w:r>
      <w:r w:rsidRPr="004B5CF8">
        <w:rPr>
          <w:sz w:val="20"/>
        </w:rPr>
        <w:t xml:space="preserve"> </w:t>
      </w:r>
      <w:r w:rsidRPr="004B5CF8">
        <w:rPr>
          <w:i/>
          <w:sz w:val="20"/>
        </w:rPr>
        <w:t>умови праці, шкідливі фактори, виробничі фактори, небезпечні виробничі фактори, трудова діяльність, роботодавець, працівник, виробниче середовище.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 xml:space="preserve">Орієнтовна карта для самостійної роботи з літературою: 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</w:p>
    <w:p w:rsidR="00155EFE" w:rsidRPr="004B5CF8" w:rsidRDefault="00155EFE" w:rsidP="00155EFE">
      <w:pPr>
        <w:pStyle w:val="a3"/>
        <w:numPr>
          <w:ilvl w:val="0"/>
          <w:numId w:val="0"/>
        </w:numPr>
        <w:spacing w:line="360" w:lineRule="auto"/>
        <w:ind w:firstLine="709"/>
        <w:jc w:val="right"/>
        <w:rPr>
          <w:sz w:val="20"/>
        </w:rPr>
      </w:pPr>
      <w:r w:rsidRPr="004B5CF8">
        <w:rPr>
          <w:sz w:val="20"/>
        </w:rPr>
        <w:t>Таблиця 1.1.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spacing w:line="360" w:lineRule="auto"/>
        <w:ind w:firstLine="709"/>
        <w:jc w:val="both"/>
        <w:rPr>
          <w:sz w:val="20"/>
        </w:rPr>
      </w:pPr>
      <w:r w:rsidRPr="004B5CF8">
        <w:rPr>
          <w:sz w:val="20"/>
        </w:rPr>
        <w:t>Класифікація небезпечних та шкідливих виробничих факторів</w:t>
      </w:r>
    </w:p>
    <w:tbl>
      <w:tblPr>
        <w:tblW w:w="6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3027"/>
      </w:tblGrid>
      <w:tr w:rsidR="00155EFE" w:rsidRPr="004B5CF8" w:rsidTr="00AD773F">
        <w:trPr>
          <w:trHeight w:val="236"/>
        </w:trPr>
        <w:tc>
          <w:tcPr>
            <w:tcW w:w="3890" w:type="dxa"/>
            <w:shd w:val="clear" w:color="auto" w:fill="auto"/>
          </w:tcPr>
          <w:p w:rsidR="00155EFE" w:rsidRPr="004B5CF8" w:rsidRDefault="00155EFE" w:rsidP="00AD773F">
            <w:pPr>
              <w:pStyle w:val="a3"/>
              <w:numPr>
                <w:ilvl w:val="0"/>
                <w:numId w:val="0"/>
              </w:numPr>
              <w:jc w:val="both"/>
              <w:rPr>
                <w:sz w:val="20"/>
              </w:rPr>
            </w:pPr>
            <w:r w:rsidRPr="004B5CF8">
              <w:rPr>
                <w:sz w:val="20"/>
              </w:rPr>
              <w:t>Види факторів</w:t>
            </w:r>
          </w:p>
        </w:tc>
        <w:tc>
          <w:tcPr>
            <w:tcW w:w="3027" w:type="dxa"/>
            <w:shd w:val="clear" w:color="auto" w:fill="auto"/>
          </w:tcPr>
          <w:p w:rsidR="00155EFE" w:rsidRPr="004B5CF8" w:rsidRDefault="00155EFE" w:rsidP="00AD773F">
            <w:pPr>
              <w:pStyle w:val="a3"/>
              <w:numPr>
                <w:ilvl w:val="0"/>
                <w:numId w:val="0"/>
              </w:numPr>
              <w:jc w:val="both"/>
              <w:rPr>
                <w:sz w:val="20"/>
              </w:rPr>
            </w:pPr>
            <w:r w:rsidRPr="004B5CF8">
              <w:rPr>
                <w:sz w:val="20"/>
              </w:rPr>
              <w:t>Чинники дії</w:t>
            </w:r>
          </w:p>
        </w:tc>
      </w:tr>
      <w:tr w:rsidR="00155EFE" w:rsidRPr="004B5CF8" w:rsidTr="00AD773F">
        <w:trPr>
          <w:trHeight w:val="242"/>
        </w:trPr>
        <w:tc>
          <w:tcPr>
            <w:tcW w:w="3890" w:type="dxa"/>
            <w:shd w:val="clear" w:color="auto" w:fill="auto"/>
          </w:tcPr>
          <w:p w:rsidR="00155EFE" w:rsidRPr="004B5CF8" w:rsidRDefault="00155EFE" w:rsidP="00AD773F">
            <w:pPr>
              <w:pStyle w:val="a3"/>
              <w:numPr>
                <w:ilvl w:val="0"/>
                <w:numId w:val="0"/>
              </w:numPr>
              <w:jc w:val="both"/>
              <w:rPr>
                <w:sz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155EFE" w:rsidRPr="004B5CF8" w:rsidRDefault="00155EFE" w:rsidP="00AD773F">
            <w:pPr>
              <w:pStyle w:val="a3"/>
              <w:numPr>
                <w:ilvl w:val="0"/>
                <w:numId w:val="0"/>
              </w:numPr>
              <w:jc w:val="both"/>
              <w:rPr>
                <w:sz w:val="20"/>
              </w:rPr>
            </w:pPr>
          </w:p>
        </w:tc>
      </w:tr>
      <w:tr w:rsidR="00155EFE" w:rsidRPr="004B5CF8" w:rsidTr="00AD773F">
        <w:trPr>
          <w:trHeight w:val="236"/>
        </w:trPr>
        <w:tc>
          <w:tcPr>
            <w:tcW w:w="3890" w:type="dxa"/>
            <w:shd w:val="clear" w:color="auto" w:fill="auto"/>
          </w:tcPr>
          <w:p w:rsidR="00155EFE" w:rsidRPr="004B5CF8" w:rsidRDefault="00155EFE" w:rsidP="00AD773F">
            <w:pPr>
              <w:pStyle w:val="a3"/>
              <w:numPr>
                <w:ilvl w:val="0"/>
                <w:numId w:val="0"/>
              </w:numPr>
              <w:jc w:val="both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3027" w:type="dxa"/>
            <w:shd w:val="clear" w:color="auto" w:fill="auto"/>
          </w:tcPr>
          <w:p w:rsidR="00155EFE" w:rsidRPr="004B5CF8" w:rsidRDefault="00155EFE" w:rsidP="00AD773F">
            <w:pPr>
              <w:pStyle w:val="a3"/>
              <w:numPr>
                <w:ilvl w:val="0"/>
                <w:numId w:val="0"/>
              </w:numPr>
              <w:jc w:val="both"/>
              <w:rPr>
                <w:sz w:val="20"/>
              </w:rPr>
            </w:pPr>
          </w:p>
        </w:tc>
      </w:tr>
      <w:tr w:rsidR="00155EFE" w:rsidRPr="004B5CF8" w:rsidTr="00AD773F">
        <w:trPr>
          <w:trHeight w:val="236"/>
        </w:trPr>
        <w:tc>
          <w:tcPr>
            <w:tcW w:w="3890" w:type="dxa"/>
            <w:shd w:val="clear" w:color="auto" w:fill="auto"/>
          </w:tcPr>
          <w:p w:rsidR="00155EFE" w:rsidRPr="004B5CF8" w:rsidRDefault="00155EFE" w:rsidP="00AD773F">
            <w:pPr>
              <w:pStyle w:val="a3"/>
              <w:numPr>
                <w:ilvl w:val="0"/>
                <w:numId w:val="0"/>
              </w:numPr>
              <w:jc w:val="both"/>
              <w:rPr>
                <w:sz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155EFE" w:rsidRPr="004B5CF8" w:rsidRDefault="00155EFE" w:rsidP="00AD773F">
            <w:pPr>
              <w:pStyle w:val="a3"/>
              <w:numPr>
                <w:ilvl w:val="0"/>
                <w:numId w:val="0"/>
              </w:numPr>
              <w:jc w:val="both"/>
              <w:rPr>
                <w:sz w:val="20"/>
              </w:rPr>
            </w:pPr>
          </w:p>
        </w:tc>
      </w:tr>
      <w:tr w:rsidR="00155EFE" w:rsidRPr="004B5CF8" w:rsidTr="00AD773F">
        <w:trPr>
          <w:trHeight w:val="236"/>
        </w:trPr>
        <w:tc>
          <w:tcPr>
            <w:tcW w:w="3890" w:type="dxa"/>
            <w:shd w:val="clear" w:color="auto" w:fill="auto"/>
          </w:tcPr>
          <w:p w:rsidR="00155EFE" w:rsidRPr="004B5CF8" w:rsidRDefault="00155EFE" w:rsidP="00AD773F">
            <w:pPr>
              <w:pStyle w:val="a3"/>
              <w:numPr>
                <w:ilvl w:val="0"/>
                <w:numId w:val="0"/>
              </w:numPr>
              <w:jc w:val="both"/>
              <w:rPr>
                <w:sz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155EFE" w:rsidRPr="004B5CF8" w:rsidRDefault="00155EFE" w:rsidP="00AD773F">
            <w:pPr>
              <w:pStyle w:val="a3"/>
              <w:numPr>
                <w:ilvl w:val="0"/>
                <w:numId w:val="0"/>
              </w:numPr>
              <w:jc w:val="both"/>
              <w:rPr>
                <w:sz w:val="20"/>
              </w:rPr>
            </w:pPr>
          </w:p>
        </w:tc>
      </w:tr>
    </w:tbl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right"/>
        <w:rPr>
          <w:sz w:val="20"/>
        </w:rPr>
      </w:pPr>
      <w:r w:rsidRPr="004B5CF8">
        <w:rPr>
          <w:sz w:val="20"/>
        </w:rPr>
        <w:t xml:space="preserve">Таблиця 1.2. 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rPr>
          <w:sz w:val="20"/>
        </w:rPr>
      </w:pPr>
      <w:r w:rsidRPr="004B5CF8">
        <w:rPr>
          <w:sz w:val="20"/>
        </w:rPr>
        <w:t>Основні завдання трудової діяльності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rPr>
          <w:sz w:val="20"/>
        </w:rPr>
      </w:pPr>
    </w:p>
    <w:tbl>
      <w:tblPr>
        <w:tblW w:w="6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3027"/>
      </w:tblGrid>
      <w:tr w:rsidR="00155EFE" w:rsidRPr="004B5CF8" w:rsidTr="00AD773F">
        <w:trPr>
          <w:trHeight w:val="236"/>
        </w:trPr>
        <w:tc>
          <w:tcPr>
            <w:tcW w:w="3890" w:type="dxa"/>
            <w:shd w:val="clear" w:color="auto" w:fill="auto"/>
          </w:tcPr>
          <w:p w:rsidR="00155EFE" w:rsidRPr="004B5CF8" w:rsidRDefault="00155EFE" w:rsidP="00AD773F">
            <w:pPr>
              <w:pStyle w:val="a3"/>
              <w:numPr>
                <w:ilvl w:val="0"/>
                <w:numId w:val="0"/>
              </w:numPr>
              <w:jc w:val="both"/>
              <w:rPr>
                <w:sz w:val="20"/>
              </w:rPr>
            </w:pPr>
            <w:r w:rsidRPr="004B5CF8">
              <w:rPr>
                <w:sz w:val="20"/>
              </w:rPr>
              <w:t>Трудова діяльність працівників</w:t>
            </w:r>
          </w:p>
        </w:tc>
        <w:tc>
          <w:tcPr>
            <w:tcW w:w="3027" w:type="dxa"/>
            <w:shd w:val="clear" w:color="auto" w:fill="auto"/>
          </w:tcPr>
          <w:p w:rsidR="00155EFE" w:rsidRPr="004B5CF8" w:rsidRDefault="00155EFE" w:rsidP="00AD773F">
            <w:pPr>
              <w:pStyle w:val="a3"/>
              <w:numPr>
                <w:ilvl w:val="0"/>
                <w:numId w:val="0"/>
              </w:numPr>
              <w:jc w:val="both"/>
              <w:rPr>
                <w:sz w:val="20"/>
              </w:rPr>
            </w:pPr>
            <w:r w:rsidRPr="004B5CF8">
              <w:rPr>
                <w:sz w:val="20"/>
              </w:rPr>
              <w:t>Завдання</w:t>
            </w:r>
          </w:p>
        </w:tc>
      </w:tr>
      <w:tr w:rsidR="00155EFE" w:rsidRPr="004B5CF8" w:rsidTr="00AD773F">
        <w:trPr>
          <w:trHeight w:val="242"/>
        </w:trPr>
        <w:tc>
          <w:tcPr>
            <w:tcW w:w="3890" w:type="dxa"/>
            <w:shd w:val="clear" w:color="auto" w:fill="auto"/>
          </w:tcPr>
          <w:p w:rsidR="00155EFE" w:rsidRPr="004B5CF8" w:rsidRDefault="00155EFE" w:rsidP="00AD773F">
            <w:pPr>
              <w:pStyle w:val="a3"/>
              <w:numPr>
                <w:ilvl w:val="0"/>
                <w:numId w:val="0"/>
              </w:numPr>
              <w:jc w:val="both"/>
              <w:rPr>
                <w:sz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155EFE" w:rsidRPr="004B5CF8" w:rsidRDefault="00155EFE" w:rsidP="00AD773F">
            <w:pPr>
              <w:pStyle w:val="a3"/>
              <w:numPr>
                <w:ilvl w:val="0"/>
                <w:numId w:val="0"/>
              </w:numPr>
              <w:jc w:val="both"/>
              <w:rPr>
                <w:sz w:val="20"/>
              </w:rPr>
            </w:pPr>
          </w:p>
        </w:tc>
      </w:tr>
      <w:tr w:rsidR="00155EFE" w:rsidRPr="004B5CF8" w:rsidTr="00AD773F">
        <w:trPr>
          <w:trHeight w:val="236"/>
        </w:trPr>
        <w:tc>
          <w:tcPr>
            <w:tcW w:w="3890" w:type="dxa"/>
            <w:shd w:val="clear" w:color="auto" w:fill="auto"/>
          </w:tcPr>
          <w:p w:rsidR="00155EFE" w:rsidRPr="004B5CF8" w:rsidRDefault="00155EFE" w:rsidP="00AD773F">
            <w:pPr>
              <w:pStyle w:val="a3"/>
              <w:numPr>
                <w:ilvl w:val="0"/>
                <w:numId w:val="0"/>
              </w:numPr>
              <w:jc w:val="both"/>
              <w:rPr>
                <w:sz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155EFE" w:rsidRPr="004B5CF8" w:rsidRDefault="00155EFE" w:rsidP="00AD773F">
            <w:pPr>
              <w:pStyle w:val="a3"/>
              <w:numPr>
                <w:ilvl w:val="0"/>
                <w:numId w:val="0"/>
              </w:numPr>
              <w:jc w:val="both"/>
              <w:rPr>
                <w:sz w:val="20"/>
              </w:rPr>
            </w:pPr>
          </w:p>
        </w:tc>
      </w:tr>
      <w:tr w:rsidR="00155EFE" w:rsidRPr="004B5CF8" w:rsidTr="00AD773F">
        <w:trPr>
          <w:trHeight w:val="236"/>
        </w:trPr>
        <w:tc>
          <w:tcPr>
            <w:tcW w:w="3890" w:type="dxa"/>
            <w:shd w:val="clear" w:color="auto" w:fill="auto"/>
          </w:tcPr>
          <w:p w:rsidR="00155EFE" w:rsidRPr="004B5CF8" w:rsidRDefault="00155EFE" w:rsidP="00AD773F">
            <w:pPr>
              <w:pStyle w:val="a3"/>
              <w:numPr>
                <w:ilvl w:val="0"/>
                <w:numId w:val="0"/>
              </w:numPr>
              <w:jc w:val="both"/>
              <w:rPr>
                <w:sz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155EFE" w:rsidRPr="004B5CF8" w:rsidRDefault="00155EFE" w:rsidP="00AD773F">
            <w:pPr>
              <w:pStyle w:val="a3"/>
              <w:numPr>
                <w:ilvl w:val="0"/>
                <w:numId w:val="0"/>
              </w:numPr>
              <w:jc w:val="both"/>
              <w:rPr>
                <w:sz w:val="20"/>
              </w:rPr>
            </w:pPr>
          </w:p>
        </w:tc>
      </w:tr>
      <w:tr w:rsidR="00155EFE" w:rsidRPr="004B5CF8" w:rsidTr="00AD773F">
        <w:trPr>
          <w:trHeight w:val="236"/>
        </w:trPr>
        <w:tc>
          <w:tcPr>
            <w:tcW w:w="3890" w:type="dxa"/>
            <w:shd w:val="clear" w:color="auto" w:fill="auto"/>
          </w:tcPr>
          <w:p w:rsidR="00155EFE" w:rsidRPr="004B5CF8" w:rsidRDefault="00155EFE" w:rsidP="00AD773F">
            <w:pPr>
              <w:pStyle w:val="a3"/>
              <w:numPr>
                <w:ilvl w:val="0"/>
                <w:numId w:val="0"/>
              </w:numPr>
              <w:jc w:val="both"/>
              <w:rPr>
                <w:sz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155EFE" w:rsidRPr="004B5CF8" w:rsidRDefault="00155EFE" w:rsidP="00AD773F">
            <w:pPr>
              <w:pStyle w:val="a3"/>
              <w:numPr>
                <w:ilvl w:val="0"/>
                <w:numId w:val="0"/>
              </w:numPr>
              <w:jc w:val="both"/>
              <w:rPr>
                <w:sz w:val="20"/>
              </w:rPr>
            </w:pPr>
          </w:p>
        </w:tc>
      </w:tr>
    </w:tbl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ab/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rPr>
          <w:b/>
          <w:sz w:val="20"/>
        </w:rPr>
      </w:pPr>
      <w:r w:rsidRPr="004B5CF8">
        <w:rPr>
          <w:b/>
          <w:sz w:val="20"/>
        </w:rPr>
        <w:t>Тестові завдання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1. Фактори середовища і трудового процесу, які можуть викликати професійну патологію, тимчасове або стійке зниження працездатності, підвищити частоту соматичних та інфекційних захворювань, призвести до порушення здоров'я потомства — це…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а) шкідливі виробничі фактори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б) виробничі фактори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в) шкідливі умови праці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г) умови праці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2. Чинники трудового процесу та виробничого середовища, вплив яких на організм людини в певних умовах може призвести до травми або іншого раптового погіршення здоров'я — це…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а) шкідливі виробничі фактори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б) шкідливі умови праці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в) небезпечні умови праці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г) небезпечні виробничі фактори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3. Трудова діяльність — це…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а) це процес взаємодії людини з довкіллям, завдяки чому вона досягає свідомо поставленої мети, яка виникла внаслідок появи потреби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б) це звичний спосіб існування небайдужої активної людини, здорова альтернатива зайвій політичній заклопотаності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в) жорстко фіксований у часі і просторі доцільний ряд операцій і функцій, що здійснюються людьми, об'єднаними в трудові організації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г) процес (процеси) активної взаємодії суб'єкта з об'єктом, під час якого суб'єкт задовольняє будь-які свої потреби, досягає мети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4. Власник підприємства, установи, організації або уповноважений ним орган, незалежно від форм власності, виду діяльності, господарювання, і фізична особа, яка використовує найману працю, яка найняла працівника за трудовим договором (контрактом) — це…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а) роботодавець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б) начальник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в) підлеглий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г) працівник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5. Наймана особа, зайнята в безпосередньому виробництві, рідше у сфері послуг; виконавець найнижчої ланки технологічного чи управлінського ланцюга — це…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а) працівник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б) робітник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в) підлеглий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г) технолог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6. Фізична особа, яка працює за трудовим договором (контрактом) на підприємстві, в установі та організації незалежно від форми власності та виду діяльності або у фізичної особи, яка відповідно до законодавства використовує найману працю — це…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а) працівник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б) робітник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в) підлеглий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г) технолог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7. Положення і правила, які регламентують умови праці — це…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lastRenderedPageBreak/>
        <w:t>а) санітарні норми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б) умови праці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в) гуманізація праці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г) допустимі умови і характер праці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8.Небезпечними називаються виробничі чинники, вплив яких призводить: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а) до захворювань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б) до зниження працездатності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в) до травмування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9.Шкідливими називаються виробничі чинники, вплив яких призводить: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а) до захворювань або зниження працездатності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б) до травмувань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в) до моральної втрати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rPr>
          <w:b/>
          <w:sz w:val="20"/>
        </w:rPr>
      </w:pPr>
      <w:r w:rsidRPr="004B5CF8">
        <w:rPr>
          <w:b/>
          <w:sz w:val="20"/>
        </w:rPr>
        <w:t>Тематика рефератів.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 xml:space="preserve">1.Умови праці на підприємстві. 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 xml:space="preserve">2.БЖД: зв’язок з профілюючими та іншими дисциплінами.  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 xml:space="preserve">3.БЖД: об'єкти та цілі. </w:t>
      </w:r>
    </w:p>
    <w:p w:rsidR="00155EFE" w:rsidRPr="004B5CF8" w:rsidRDefault="00155EFE" w:rsidP="00155EFE">
      <w:pPr>
        <w:pStyle w:val="a3"/>
        <w:numPr>
          <w:ilvl w:val="0"/>
          <w:numId w:val="0"/>
        </w:numPr>
        <w:ind w:firstLine="709"/>
        <w:jc w:val="both"/>
        <w:rPr>
          <w:sz w:val="20"/>
        </w:rPr>
      </w:pPr>
      <w:r w:rsidRPr="004B5CF8">
        <w:rPr>
          <w:sz w:val="20"/>
        </w:rPr>
        <w:t>4.Правове регулювання безпеки життєдіяльності.</w:t>
      </w:r>
    </w:p>
    <w:p w:rsidR="00174667" w:rsidRDefault="00174667"/>
    <w:sectPr w:rsidR="001746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D272A"/>
    <w:multiLevelType w:val="singleLevel"/>
    <w:tmpl w:val="DD6643C2"/>
    <w:lvl w:ilvl="0">
      <w:start w:val="1"/>
      <w:numFmt w:val="decimal"/>
      <w:pStyle w:val="2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A0"/>
    <w:rsid w:val="00155EFE"/>
    <w:rsid w:val="00174667"/>
    <w:rsid w:val="0052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2607"/>
  <w15:chartTrackingRefBased/>
  <w15:docId w15:val="{58B68227-12C3-4977-BE41-AA344F2E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20">
    <w:name w:val="heading 2"/>
    <w:basedOn w:val="a"/>
    <w:next w:val="a"/>
    <w:link w:val="2"/>
    <w:semiHidden/>
    <w:unhideWhenUsed/>
    <w:qFormat/>
    <w:rsid w:val="00155EFE"/>
    <w:pPr>
      <w:keepNext/>
      <w:keepLines/>
      <w:spacing w:before="40"/>
      <w:outlineLvl w:val="1"/>
    </w:pPr>
    <w:rPr>
      <w:rFonts w:asciiTheme="minorHAnsi" w:eastAsiaTheme="minorHAnsi" w:hAnsiTheme="minorHAnsi" w:cstheme="minorBidi"/>
      <w:i/>
      <w:color w:val="00000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2 Знак"/>
    <w:link w:val="20"/>
    <w:rsid w:val="00155EFE"/>
    <w:rPr>
      <w:i/>
      <w:color w:val="000000"/>
    </w:rPr>
  </w:style>
  <w:style w:type="paragraph" w:styleId="a3">
    <w:name w:val="Title"/>
    <w:basedOn w:val="a"/>
    <w:link w:val="a4"/>
    <w:qFormat/>
    <w:rsid w:val="00155EFE"/>
    <w:pPr>
      <w:numPr>
        <w:numId w:val="1"/>
      </w:numPr>
      <w:jc w:val="center"/>
    </w:pPr>
    <w:rPr>
      <w:sz w:val="28"/>
    </w:rPr>
  </w:style>
  <w:style w:type="character" w:customStyle="1" w:styleId="a4">
    <w:name w:val="Назва Знак"/>
    <w:basedOn w:val="a0"/>
    <w:link w:val="a3"/>
    <w:rsid w:val="00155EFE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5">
    <w:name w:val="Body Text"/>
    <w:basedOn w:val="a"/>
    <w:link w:val="a6"/>
    <w:rsid w:val="00155EFE"/>
    <w:pPr>
      <w:jc w:val="both"/>
    </w:pPr>
    <w:rPr>
      <w:sz w:val="24"/>
    </w:rPr>
  </w:style>
  <w:style w:type="character" w:customStyle="1" w:styleId="a6">
    <w:name w:val="Основний текст Знак"/>
    <w:basedOn w:val="a0"/>
    <w:link w:val="a5"/>
    <w:rsid w:val="00155EFE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21">
    <w:name w:val="Заголовок 2 Знак1"/>
    <w:basedOn w:val="a0"/>
    <w:link w:val="20"/>
    <w:uiPriority w:val="9"/>
    <w:semiHidden/>
    <w:rsid w:val="00155EF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55EFE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55EFE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2666</Words>
  <Characters>1520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Діна Іванівна</dc:creator>
  <cp:keywords/>
  <dc:description/>
  <cp:lastModifiedBy>Ярмолюк Діна Іванівна</cp:lastModifiedBy>
  <cp:revision>2</cp:revision>
  <cp:lastPrinted>2026-02-09T09:06:00Z</cp:lastPrinted>
  <dcterms:created xsi:type="dcterms:W3CDTF">2026-02-09T09:03:00Z</dcterms:created>
  <dcterms:modified xsi:type="dcterms:W3CDTF">2026-02-09T09:07:00Z</dcterms:modified>
</cp:coreProperties>
</file>