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43" w:rsidRDefault="00D3650A" w:rsidP="00D365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50A">
        <w:rPr>
          <w:rFonts w:ascii="Times New Roman" w:hAnsi="Times New Roman" w:cs="Times New Roman"/>
          <w:b/>
          <w:sz w:val="28"/>
          <w:szCs w:val="28"/>
          <w:lang w:val="uk-UA"/>
        </w:rPr>
        <w:t>Тема 1. Адаптація та гармонізація законодавства</w:t>
      </w:r>
    </w:p>
    <w:p w:rsidR="00D3650A" w:rsidRDefault="00D3650A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50A">
        <w:rPr>
          <w:rFonts w:ascii="Times New Roman" w:hAnsi="Times New Roman" w:cs="Times New Roman"/>
          <w:sz w:val="28"/>
          <w:szCs w:val="28"/>
          <w:lang w:val="uk-UA"/>
        </w:rPr>
        <w:t>Трансформації правової системи України у контексті європейської інтеграції є надзвичайно актуальною темою з кількох причин. По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3650A">
        <w:rPr>
          <w:rFonts w:ascii="Times New Roman" w:hAnsi="Times New Roman" w:cs="Times New Roman"/>
          <w:sz w:val="28"/>
          <w:szCs w:val="28"/>
          <w:lang w:val="uk-UA"/>
        </w:rPr>
        <w:t>перше, процес європейської інтеграції, який розпочався для України ще у 1990-х роках, набув особливої інтенсивності після підписання Угоди про асоціацію між Україною та Європейським Союзом у 2014 році</w:t>
      </w:r>
      <w:r w:rsidR="00C25D1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25D19" w:rsidRPr="00C25D19">
        <w:rPr>
          <w:rFonts w:ascii="Times New Roman" w:hAnsi="Times New Roman" w:cs="Times New Roman"/>
          <w:sz w:val="28"/>
          <w:szCs w:val="28"/>
          <w:lang w:val="uk-UA"/>
        </w:rPr>
        <w:t>далі – Угода про асоціацію)</w:t>
      </w:r>
      <w:r w:rsidRPr="00D365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угода не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конкретні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зобов’язання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законодавств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3650A" w:rsidRDefault="00D3650A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З моменту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набуття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статусу кандидата на членство в ЄС у 2022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активно проводить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6F2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="00AC36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36F2">
        <w:rPr>
          <w:rFonts w:ascii="Times New Roman" w:hAnsi="Times New Roman" w:cs="Times New Roman"/>
          <w:sz w:val="28"/>
          <w:szCs w:val="28"/>
          <w:lang w:val="ru-RU"/>
        </w:rPr>
        <w:t>судової</w:t>
      </w:r>
      <w:proofErr w:type="spellEnd"/>
      <w:r w:rsidR="00AC36F2">
        <w:rPr>
          <w:rFonts w:ascii="Times New Roman" w:hAnsi="Times New Roman" w:cs="Times New Roman"/>
          <w:sz w:val="28"/>
          <w:szCs w:val="28"/>
          <w:lang w:val="ru-RU"/>
        </w:rPr>
        <w:t xml:space="preserve"> систем</w:t>
      </w:r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антикорупційних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заході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</w:t>
      </w:r>
      <w:r w:rsidR="00AC36F2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обумовлена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необхідністю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високим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стандартам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правосуддя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та верховенства права,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фундаментальними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инципами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Союзу</w:t>
      </w:r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3650A" w:rsidRDefault="00D3650A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режиму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стану в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трансформація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, в той же час складною.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Європейська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суттєвих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650A">
        <w:rPr>
          <w:rFonts w:ascii="Times New Roman" w:hAnsi="Times New Roman" w:cs="Times New Roman"/>
          <w:sz w:val="28"/>
          <w:szCs w:val="28"/>
          <w:lang w:val="ru-RU"/>
        </w:rPr>
        <w:t>інституційних</w:t>
      </w:r>
      <w:proofErr w:type="spellEnd"/>
      <w:r w:rsidRPr="00D3650A">
        <w:rPr>
          <w:rFonts w:ascii="Times New Roman" w:hAnsi="Times New Roman" w:cs="Times New Roman"/>
          <w:sz w:val="28"/>
          <w:szCs w:val="28"/>
          <w:lang w:val="ru-RU"/>
        </w:rPr>
        <w:t xml:space="preserve"> реформ. </w:t>
      </w:r>
    </w:p>
    <w:p w:rsidR="00BD5E42" w:rsidRDefault="00BD5E42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цілями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Союзом,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співтовариством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атомної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їхніми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державами-членами, з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встановленими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1,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до права ЄС.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законо</w:t>
      </w:r>
      <w:r>
        <w:rPr>
          <w:rFonts w:ascii="Times New Roman" w:hAnsi="Times New Roman" w:cs="Times New Roman"/>
          <w:sz w:val="28"/>
          <w:szCs w:val="28"/>
          <w:lang w:val="ru-RU"/>
        </w:rPr>
        <w:t>давство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ЄС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динамічним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потреб та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F61FD" w:rsidRPr="00FA5554" w:rsidRDefault="00AF61FD" w:rsidP="00AF61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цієї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5554">
        <w:rPr>
          <w:rFonts w:ascii="Times New Roman" w:hAnsi="Times New Roman" w:cs="Times New Roman"/>
          <w:sz w:val="28"/>
          <w:szCs w:val="28"/>
          <w:lang w:val="ru-RU"/>
        </w:rPr>
        <w:t>іжвідомча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переговорного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в ЄС та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до права ЄС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головуванням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віцепрем’єр-міністра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євроатлантичної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Тараса Качки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попередньо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затвердила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до права </w:t>
      </w:r>
      <w:proofErr w:type="spellStart"/>
      <w:r w:rsidRPr="00FA5554"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Союзу (</w:t>
      </w:r>
      <w:r w:rsidRPr="00FA5554">
        <w:rPr>
          <w:rFonts w:ascii="Times New Roman" w:hAnsi="Times New Roman" w:cs="Times New Roman"/>
          <w:sz w:val="28"/>
          <w:szCs w:val="28"/>
        </w:rPr>
        <w:t>acquis</w:t>
      </w:r>
      <w:r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ЄС).</w:t>
      </w:r>
    </w:p>
    <w:p w:rsidR="00AF61FD" w:rsidRDefault="00BB04F9" w:rsidP="00AF61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Зауважимо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документ,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зобов’язань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переговорного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у ЄС та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гармонізації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правом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Євросоюзу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систематизує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скринінгу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конкретний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загальнонаціональний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структурована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переговорних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кластерів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розділів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вичерпний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перелік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права ЄС,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підлягають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імплементації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законодавство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F61FD" w:rsidRPr="00FA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4F9" w:rsidRPr="00BB04F9" w:rsidRDefault="00BB04F9" w:rsidP="00AF61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налічує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2800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імплементовано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1600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Союзу,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об’єднані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єдиний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документ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обсягом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тисячу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04F9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BB04F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FD6223" w:rsidRDefault="00BD5E42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Угоді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вживаються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імплементація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(ст. 255), </w:t>
      </w:r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наближення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законодавства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(ст. 256), </w:t>
      </w:r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адаптація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(ст. 152, 153). </w:t>
      </w:r>
    </w:p>
    <w:p w:rsidR="00543C41" w:rsidRDefault="00BD5E42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наближення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законодавства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або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апроксимації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гармонізації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з правом ЄС.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апроксимації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перенесення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ЄС у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національне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законодавство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інкорпорацію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імплементації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BD5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5E42">
        <w:rPr>
          <w:rFonts w:ascii="Times New Roman" w:hAnsi="Times New Roman" w:cs="Times New Roman"/>
          <w:sz w:val="28"/>
          <w:szCs w:val="28"/>
          <w:lang w:val="ru-RU"/>
        </w:rPr>
        <w:t>індивіду</w:t>
      </w:r>
      <w:r w:rsidR="00543C41">
        <w:rPr>
          <w:rFonts w:ascii="Times New Roman" w:hAnsi="Times New Roman" w:cs="Times New Roman"/>
          <w:sz w:val="28"/>
          <w:szCs w:val="28"/>
          <w:lang w:val="ru-RU"/>
        </w:rPr>
        <w:t>альних</w:t>
      </w:r>
      <w:proofErr w:type="spellEnd"/>
      <w:r w:rsidR="00543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proofErr w:type="spellStart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>взяття</w:t>
      </w:r>
      <w:proofErr w:type="spellEnd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на себе </w:t>
      </w:r>
      <w:proofErr w:type="spellStart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>зобов’язань</w:t>
      </w:r>
      <w:proofErr w:type="spellEnd"/>
      <w:r w:rsidR="00AC36F2"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43C41" w:rsidRDefault="00AC36F2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6F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установчих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договорах ЄС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гармонізація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координація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виражати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інтеграційних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підкреслити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апроксимація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держав,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не є членами ЄС. </w:t>
      </w:r>
    </w:p>
    <w:p w:rsidR="00543C41" w:rsidRDefault="00AC36F2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адаптація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ЄС –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Pr="00AC36F2">
        <w:rPr>
          <w:rFonts w:ascii="Times New Roman" w:hAnsi="Times New Roman" w:cs="Times New Roman"/>
          <w:sz w:val="28"/>
          <w:szCs w:val="28"/>
        </w:rPr>
        <w:t>acquis</w:t>
      </w:r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ЄС.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існуючого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6F2">
        <w:rPr>
          <w:rFonts w:ascii="Times New Roman" w:hAnsi="Times New Roman" w:cs="Times New Roman"/>
          <w:sz w:val="28"/>
          <w:szCs w:val="28"/>
        </w:rPr>
        <w:t>acquis</w:t>
      </w:r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установчих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така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угода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укладена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Копенгагенських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D5E42" w:rsidRDefault="00AC36F2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>Імплементація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суті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правил,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нещодавно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включених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права ЄС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включені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-кандидата але вони не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незавершеним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Імплементація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особи в державах-членах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застосовували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правила ЄС у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повсякденній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Як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наслідок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, межа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наглядом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імплементацією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правозастосуванням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іноді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здаватися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6F2">
        <w:rPr>
          <w:rFonts w:ascii="Times New Roman" w:hAnsi="Times New Roman" w:cs="Times New Roman"/>
          <w:sz w:val="28"/>
          <w:szCs w:val="28"/>
          <w:lang w:val="ru-RU"/>
        </w:rPr>
        <w:t>розмитою</w:t>
      </w:r>
      <w:proofErr w:type="spellEnd"/>
      <w:r w:rsidRPr="00AC36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03635" w:rsidRPr="00AD61AD" w:rsidRDefault="00AF0E0D" w:rsidP="0090363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6223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FD6223">
        <w:rPr>
          <w:rFonts w:ascii="Times New Roman" w:hAnsi="Times New Roman" w:cs="Times New Roman"/>
          <w:b/>
          <w:sz w:val="28"/>
          <w:szCs w:val="28"/>
        </w:rPr>
        <w:t>acquis</w:t>
      </w:r>
      <w:r w:rsidRPr="00FD62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ЄС»</w:t>
      </w:r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 </w:t>
      </w:r>
      <w:r w:rsidR="00903635" w:rsidRPr="00903635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903635" w:rsidRPr="00903635">
        <w:rPr>
          <w:rFonts w:ascii="Times New Roman" w:hAnsi="Times New Roman" w:cs="Times New Roman"/>
          <w:b/>
          <w:bCs/>
          <w:sz w:val="28"/>
          <w:szCs w:val="28"/>
          <w:lang w:val="uk-UA"/>
        </w:rPr>
        <w:t>acquis</w:t>
      </w:r>
      <w:proofErr w:type="spellEnd"/>
      <w:r w:rsidR="00903635" w:rsidRPr="009036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03635" w:rsidRPr="00903635">
        <w:rPr>
          <w:rFonts w:ascii="Times New Roman" w:hAnsi="Times New Roman" w:cs="Times New Roman"/>
          <w:b/>
          <w:bCs/>
          <w:sz w:val="28"/>
          <w:szCs w:val="28"/>
          <w:lang w:val="uk-UA"/>
        </w:rPr>
        <w:t>communautaire</w:t>
      </w:r>
      <w:proofErr w:type="spellEnd"/>
      <w:r w:rsidR="009036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ЄС</w:t>
      </w:r>
      <w:r w:rsidR="00903635" w:rsidRPr="0090363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 </w:t>
      </w:r>
      <w:proofErr w:type="spellStart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>фр</w:t>
      </w:r>
      <w:proofErr w:type="spellEnd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>. «здобуток», «надбання», «досягнення» ЄС / Співтовариства) – одна з ключових концепцій, яка на сьогодні широко використовується у праві ЄС. На офіційному сайті Європейського Союзу «EUR-</w:t>
      </w:r>
      <w:proofErr w:type="spellStart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>Lex</w:t>
      </w:r>
      <w:proofErr w:type="spellEnd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>» зазначається, що «</w:t>
      </w:r>
      <w:proofErr w:type="spellStart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>acquis</w:t>
      </w:r>
      <w:proofErr w:type="spellEnd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ЄС – це сукупність спільних прав та зобов’язань, що є обов’язковими для держав-членів ЄС. Вона є динамічною та включає зміст, принципи та політичні цілі його установчих договорів; законодавство, прийняте для </w:t>
      </w:r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застосування установчих договорів та практику Суду ЄС; декларації та резолюції; акти, що стосуються Спільної закордонної та </w:t>
      </w:r>
      <w:proofErr w:type="spellStart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>безпекової</w:t>
      </w:r>
      <w:proofErr w:type="spellEnd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політики; заходи, що стосуються юстиції та внутрішніх справ; міжнародні угоди, укладені Європейським Союзом або між державами-ч</w:t>
      </w:r>
      <w:r w:rsidR="00903635">
        <w:rPr>
          <w:rFonts w:ascii="Times New Roman" w:hAnsi="Times New Roman" w:cs="Times New Roman"/>
          <w:bCs/>
          <w:sz w:val="28"/>
          <w:szCs w:val="28"/>
          <w:lang w:val="uk-UA"/>
        </w:rPr>
        <w:t>ленами у сферах діяльності ЄС»</w:t>
      </w:r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Додається, що </w:t>
      </w:r>
      <w:proofErr w:type="spellStart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>acquis</w:t>
      </w:r>
      <w:proofErr w:type="spellEnd"/>
      <w:r w:rsidR="00903635" w:rsidRPr="00AD6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ЄС є також обов’язковими для держав-кандидатів на вступ до Євросоюзу, а також третіх країн у межах міжнародних договорів про співпрацю. </w:t>
      </w:r>
    </w:p>
    <w:p w:rsidR="00903635" w:rsidRPr="00AD61AD" w:rsidRDefault="00903635" w:rsidP="0090363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6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Отже, як бачимо, зазначена категорія охоплює різні за юридичною силою акти, а також прецедентну практику, політичні акти тощо. Їх визначальною рисою є можливість впливати на поведінку суб’єктів права Союзу. Цей термін не має синоніму в українській мові та є значно ширшим, ніж поняття «законодавство». </w:t>
      </w:r>
    </w:p>
    <w:p w:rsidR="00AF0E0D" w:rsidRDefault="00AF0E0D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взяла на себе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зобов'язання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імплементувати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0E0D">
        <w:rPr>
          <w:rFonts w:ascii="Times New Roman" w:hAnsi="Times New Roman" w:cs="Times New Roman"/>
          <w:sz w:val="28"/>
          <w:szCs w:val="28"/>
        </w:rPr>
        <w:t>acquis</w:t>
      </w:r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ЄС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в тому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обсязі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вимагають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903635">
        <w:rPr>
          <w:rFonts w:ascii="Times New Roman" w:hAnsi="Times New Roman" w:cs="Times New Roman"/>
          <w:sz w:val="28"/>
          <w:szCs w:val="28"/>
          <w:lang w:val="ru-RU"/>
        </w:rPr>
        <w:t>ержав-</w:t>
      </w:r>
      <w:proofErr w:type="spellStart"/>
      <w:r w:rsidR="00903635">
        <w:rPr>
          <w:rFonts w:ascii="Times New Roman" w:hAnsi="Times New Roman" w:cs="Times New Roman"/>
          <w:sz w:val="28"/>
          <w:szCs w:val="28"/>
          <w:lang w:val="ru-RU"/>
        </w:rPr>
        <w:t>кандидатів</w:t>
      </w:r>
      <w:proofErr w:type="spellEnd"/>
      <w:r w:rsidR="0090363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03635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="0090363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але в </w:t>
      </w:r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межах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предме</w:t>
      </w:r>
      <w:r>
        <w:rPr>
          <w:rFonts w:ascii="Times New Roman" w:hAnsi="Times New Roman" w:cs="Times New Roman"/>
          <w:sz w:val="28"/>
          <w:szCs w:val="28"/>
          <w:lang w:val="ru-RU"/>
        </w:rPr>
        <w:t>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F0E0D" w:rsidRDefault="00AF0E0D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сприймають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трамплін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на шляху</w:t>
      </w:r>
      <w:proofErr w:type="gram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до членства ЄС.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зверніть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автоматичного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асоціацією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та перспектив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Союз.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імпл</w:t>
      </w:r>
      <w:r w:rsidR="00E555EB">
        <w:rPr>
          <w:rFonts w:ascii="Times New Roman" w:hAnsi="Times New Roman" w:cs="Times New Roman"/>
          <w:sz w:val="28"/>
          <w:szCs w:val="28"/>
          <w:lang w:val="ru-RU"/>
        </w:rPr>
        <w:t>ементація</w:t>
      </w:r>
      <w:proofErr w:type="spellEnd"/>
      <w:r w:rsidR="00E555EB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="00E555EB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="00E555E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передумова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Союз. Наша держава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спільним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демократичним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03635">
        <w:rPr>
          <w:rFonts w:ascii="Times New Roman" w:hAnsi="Times New Roman" w:cs="Times New Roman"/>
          <w:sz w:val="28"/>
          <w:szCs w:val="28"/>
          <w:lang w:val="ru-RU"/>
        </w:rPr>
        <w:t>кономічним</w:t>
      </w:r>
      <w:proofErr w:type="spellEnd"/>
      <w:r w:rsidR="00903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3635">
        <w:rPr>
          <w:rFonts w:ascii="Times New Roman" w:hAnsi="Times New Roman" w:cs="Times New Roman"/>
          <w:sz w:val="28"/>
          <w:szCs w:val="28"/>
          <w:lang w:val="ru-RU"/>
        </w:rPr>
        <w:t>цінностям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побудову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конкурентної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ринкової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ЄС.</w:t>
      </w:r>
      <w:proofErr w:type="spellEnd"/>
    </w:p>
    <w:p w:rsidR="00AF0E0D" w:rsidRDefault="00AF0E0D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Імплементацію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правовій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національне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конституційне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законодавство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Конституція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договори,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визначені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обов'язкові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парламентом,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законодавства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(ст. 9). А закон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договори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ч. 2 ст. 19,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положеннями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є і Угода про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національним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пріоритет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договори.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ратифікації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Верховною Радою, Угода про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невід'ємною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пріоритет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національним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винятком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0E0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F0E0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F0E0D" w:rsidRPr="00543C41" w:rsidRDefault="00AF0E0D" w:rsidP="00AF0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F0E0D" w:rsidRPr="00543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D5"/>
    <w:rsid w:val="00482950"/>
    <w:rsid w:val="00543C41"/>
    <w:rsid w:val="008C0743"/>
    <w:rsid w:val="00903635"/>
    <w:rsid w:val="00AC36F2"/>
    <w:rsid w:val="00AF0E0D"/>
    <w:rsid w:val="00AF61FD"/>
    <w:rsid w:val="00BB04F9"/>
    <w:rsid w:val="00BD5E42"/>
    <w:rsid w:val="00C25D19"/>
    <w:rsid w:val="00CC4ED5"/>
    <w:rsid w:val="00D3650A"/>
    <w:rsid w:val="00E555EB"/>
    <w:rsid w:val="00FA5554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9BD5"/>
  <w15:chartTrackingRefBased/>
  <w15:docId w15:val="{6A314CE5-E169-412A-AEDE-919E0A3E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37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25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16</cp:revision>
  <dcterms:created xsi:type="dcterms:W3CDTF">2026-02-06T09:42:00Z</dcterms:created>
  <dcterms:modified xsi:type="dcterms:W3CDTF">2026-02-06T11:06:00Z</dcterms:modified>
</cp:coreProperties>
</file>