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A7EC" w14:textId="77777777" w:rsidR="004B2274" w:rsidRPr="00355405" w:rsidRDefault="004B2274" w:rsidP="004B2274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 xml:space="preserve">Індивідуальні </w:t>
      </w:r>
      <w:r w:rsidRPr="00355405">
        <w:rPr>
          <w:b/>
          <w:sz w:val="28"/>
          <w:szCs w:val="28"/>
          <w:shd w:val="clear" w:color="auto" w:fill="FFFFFF"/>
          <w:lang w:val="uk-UA"/>
        </w:rPr>
        <w:t xml:space="preserve">самостійні </w:t>
      </w:r>
      <w:r w:rsidRPr="00355405">
        <w:rPr>
          <w:b/>
          <w:sz w:val="28"/>
          <w:szCs w:val="28"/>
          <w:lang w:val="uk-UA" w:eastAsia="uk-UA"/>
        </w:rPr>
        <w:t>завдання</w:t>
      </w:r>
    </w:p>
    <w:p w14:paraId="1DA810E2" w14:textId="77777777" w:rsidR="004B2274" w:rsidRPr="008E3EE9" w:rsidRDefault="004B2274" w:rsidP="004B2274">
      <w:pPr>
        <w:tabs>
          <w:tab w:val="left" w:pos="7920"/>
        </w:tabs>
        <w:spacing w:line="240" w:lineRule="auto"/>
        <w:ind w:firstLine="567"/>
        <w:rPr>
          <w:noProof/>
          <w:sz w:val="28"/>
          <w:szCs w:val="28"/>
          <w:lang w:val="uk-UA"/>
        </w:rPr>
      </w:pPr>
    </w:p>
    <w:p w14:paraId="539C633A" w14:textId="77777777" w:rsidR="004B2274" w:rsidRPr="008E3EE9" w:rsidRDefault="004B2274" w:rsidP="004B2274">
      <w:pPr>
        <w:tabs>
          <w:tab w:val="left" w:pos="7920"/>
        </w:tabs>
        <w:spacing w:line="240" w:lineRule="auto"/>
        <w:ind w:firstLine="567"/>
        <w:rPr>
          <w:noProof/>
          <w:sz w:val="28"/>
          <w:szCs w:val="28"/>
          <w:lang w:val="uk-UA"/>
        </w:rPr>
      </w:pPr>
      <w:r w:rsidRPr="008E3EE9">
        <w:rPr>
          <w:noProof/>
          <w:sz w:val="28"/>
          <w:szCs w:val="28"/>
          <w:lang w:val="uk-UA"/>
        </w:rPr>
        <w:t>Для виконання індивідуального завдання студент обирає одну із запропонованих тем. Завдання повинно бути виконано у вигляді презентації</w:t>
      </w:r>
      <w:r>
        <w:rPr>
          <w:noProof/>
          <w:sz w:val="28"/>
          <w:szCs w:val="28"/>
          <w:lang w:val="uk-UA"/>
        </w:rPr>
        <w:t xml:space="preserve"> обсягом до 12 слайдів</w:t>
      </w:r>
      <w:r w:rsidRPr="008E3EE9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r w:rsidRPr="008E3EE9">
        <w:rPr>
          <w:noProof/>
          <w:sz w:val="28"/>
          <w:szCs w:val="28"/>
          <w:lang w:val="uk-UA"/>
        </w:rPr>
        <w:t>Презентація повинна містити графіки, таблиці, рисунки, мапи тощо. Інформація кожного слайду повинна мати посилання на джерело.</w:t>
      </w:r>
      <w:r>
        <w:rPr>
          <w:noProof/>
          <w:sz w:val="28"/>
          <w:szCs w:val="28"/>
          <w:lang w:val="uk-UA"/>
        </w:rPr>
        <w:t xml:space="preserve"> </w:t>
      </w:r>
      <w:r w:rsidRPr="008E3EE9">
        <w:rPr>
          <w:noProof/>
          <w:sz w:val="28"/>
          <w:szCs w:val="28"/>
          <w:lang w:val="uk-UA"/>
        </w:rPr>
        <w:t>Презентація не повинна містити великих обсягів текстових описів. Текст допускається лише в частині опису результатів SWOT-аналізу та висловлення пропозицій.</w:t>
      </w:r>
      <w:r>
        <w:rPr>
          <w:noProof/>
          <w:sz w:val="28"/>
          <w:szCs w:val="28"/>
          <w:lang w:val="uk-UA"/>
        </w:rPr>
        <w:t xml:space="preserve"> </w:t>
      </w:r>
      <w:r w:rsidRPr="008E3EE9">
        <w:rPr>
          <w:noProof/>
          <w:sz w:val="28"/>
          <w:szCs w:val="28"/>
          <w:lang w:val="uk-UA"/>
        </w:rPr>
        <w:t>Обов’язковим є список використаної літератури та джерел.</w:t>
      </w:r>
    </w:p>
    <w:p w14:paraId="31977998" w14:textId="77777777" w:rsidR="004B2274" w:rsidRPr="0041097F" w:rsidRDefault="004B2274" w:rsidP="004B227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color w:val="000000"/>
          <w:sz w:val="28"/>
          <w:szCs w:val="28"/>
          <w:lang w:val="uk-UA"/>
        </w:rPr>
      </w:pPr>
      <w:r w:rsidRPr="0041097F">
        <w:rPr>
          <w:b/>
          <w:bCs/>
          <w:color w:val="000000"/>
          <w:sz w:val="28"/>
          <w:szCs w:val="28"/>
          <w:lang w:val="uk-UA"/>
        </w:rPr>
        <w:t>Теми для виконання індивідуальних завдань</w:t>
      </w:r>
    </w:p>
    <w:p w14:paraId="1B2087AD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Основні концепції міжнародних фінансів</w:t>
      </w:r>
    </w:p>
    <w:p w14:paraId="4A01A7F4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Валютні курси та їх регулювання</w:t>
      </w:r>
    </w:p>
    <w:p w14:paraId="3C9506A5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Міжнародний валютний ринок</w:t>
      </w:r>
    </w:p>
    <w:p w14:paraId="3C2CBAF6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Управління валютними ризиками</w:t>
      </w:r>
    </w:p>
    <w:p w14:paraId="1B0D5319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Міжнародні фінансові інституції (МВФ, Світовий банк)</w:t>
      </w:r>
    </w:p>
    <w:p w14:paraId="6939B6DA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Міжнародні інвестиції та інвестиційні стратегії</w:t>
      </w:r>
    </w:p>
    <w:p w14:paraId="6628C20D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Глобалізація та міжнародна фінансова інтеграція</w:t>
      </w:r>
    </w:p>
    <w:p w14:paraId="44A96C67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Міжнародні потоки капіталу</w:t>
      </w:r>
    </w:p>
    <w:p w14:paraId="32B072AD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Операції на міжнародних фінансових ринках</w:t>
      </w:r>
    </w:p>
    <w:p w14:paraId="362C26B9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Фінансові кризи та їх вплив на глобальну економіку</w:t>
      </w:r>
    </w:p>
    <w:p w14:paraId="56D652CF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Міжнародні стандарти бухгалтерського обліку</w:t>
      </w:r>
    </w:p>
    <w:p w14:paraId="7733B39A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Роль центральних банків у міжнародних фінансах</w:t>
      </w:r>
    </w:p>
    <w:p w14:paraId="157E0413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Міжнародний кредитний ринок</w:t>
      </w:r>
    </w:p>
    <w:p w14:paraId="1E6EFA63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Світовий ринок цінних паперів</w:t>
      </w:r>
    </w:p>
    <w:p w14:paraId="22886542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Міжнародна торгівля та фінансові операції</w:t>
      </w:r>
    </w:p>
    <w:p w14:paraId="65A15EC7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Регулювання міжнародних фінансових ринків</w:t>
      </w:r>
    </w:p>
    <w:p w14:paraId="7ABDF545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Міжнародна банківська система</w:t>
      </w:r>
    </w:p>
    <w:p w14:paraId="6477575E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Політика фінансової стабільності</w:t>
      </w:r>
    </w:p>
    <w:p w14:paraId="515FA25D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Офшорні фінансові центри</w:t>
      </w:r>
    </w:p>
    <w:p w14:paraId="5CE4B53B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Ризик-менеджмент в міжнародних фінансах</w:t>
      </w:r>
    </w:p>
    <w:p w14:paraId="4D098468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Фінансування міжнародних проектів</w:t>
      </w:r>
    </w:p>
    <w:p w14:paraId="012959CF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Міжнародні фінансові угоди та контракти</w:t>
      </w:r>
    </w:p>
    <w:p w14:paraId="2A670D60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Інституційна інфраструктура міжнародних фінансів</w:t>
      </w:r>
    </w:p>
    <w:p w14:paraId="4E78F80A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Етичні аспекти міжнародних фінансів</w:t>
      </w:r>
    </w:p>
    <w:p w14:paraId="11D066A6" w14:textId="77777777" w:rsidR="004B2274" w:rsidRPr="0041097F" w:rsidRDefault="004B2274" w:rsidP="004B2274">
      <w:pPr>
        <w:numPr>
          <w:ilvl w:val="0"/>
          <w:numId w:val="1"/>
        </w:numPr>
        <w:spacing w:line="240" w:lineRule="auto"/>
        <w:ind w:left="0" w:firstLine="567"/>
        <w:rPr>
          <w:noProof/>
          <w:sz w:val="28"/>
          <w:szCs w:val="28"/>
          <w:lang w:val="uk-UA"/>
        </w:rPr>
      </w:pPr>
      <w:r w:rsidRPr="0041097F">
        <w:rPr>
          <w:noProof/>
          <w:sz w:val="28"/>
          <w:szCs w:val="28"/>
          <w:lang w:val="uk-UA"/>
        </w:rPr>
        <w:t>Інновації у міжнародних фінансах</w:t>
      </w:r>
    </w:p>
    <w:p w14:paraId="2B41906C" w14:textId="77777777" w:rsidR="005D0600" w:rsidRDefault="005D0600"/>
    <w:sectPr w:rsidR="005D06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6263"/>
    <w:multiLevelType w:val="hybridMultilevel"/>
    <w:tmpl w:val="8F74E4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74"/>
    <w:rsid w:val="004B2274"/>
    <w:rsid w:val="005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9AF0"/>
  <w15:chartTrackingRefBased/>
  <w15:docId w15:val="{DB8C21BE-75E5-451A-AF99-586AF236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2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1</cp:revision>
  <dcterms:created xsi:type="dcterms:W3CDTF">2026-02-03T11:22:00Z</dcterms:created>
  <dcterms:modified xsi:type="dcterms:W3CDTF">2026-02-03T11:23:00Z</dcterms:modified>
</cp:coreProperties>
</file>