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051" w:rsidRDefault="00D94051" w:rsidP="00D94051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CB1DDA">
        <w:rPr>
          <w:b/>
          <w:bCs/>
          <w:color w:val="000000"/>
        </w:rPr>
        <w:t>Приклади доктринальних інструментів у військовому перекладі</w:t>
      </w:r>
    </w:p>
    <w:p w:rsidR="00D94051" w:rsidRPr="00D94051" w:rsidRDefault="00D94051" w:rsidP="00D94051">
      <w:pPr>
        <w:spacing w:before="100" w:beforeAutospacing="1" w:after="100" w:afterAutospacing="1"/>
        <w:jc w:val="right"/>
        <w:outlineLvl w:val="3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Приклад 1:Таблиця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3351"/>
        <w:gridCol w:w="3279"/>
      </w:tblGrid>
      <w:tr w:rsidR="00D94051" w:rsidTr="001B7A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Доктринальний інструмент</w:t>
            </w:r>
          </w:p>
        </w:tc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Функція у перекладі</w:t>
            </w:r>
          </w:p>
        </w:tc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Приклад використання</w:t>
            </w:r>
          </w:p>
        </w:tc>
      </w:tr>
      <w:tr w:rsidR="00D94051" w:rsidTr="001B7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rPr>
                <w:color w:val="000000"/>
              </w:rPr>
            </w:pPr>
            <w:r>
              <w:rPr>
                <w:rStyle w:val="Strong"/>
                <w:color w:val="000000"/>
              </w:rPr>
              <w:t>STANAG 6001 (Language Proficiency Standards)</w:t>
            </w:r>
          </w:p>
        </w:tc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rPr>
                <w:color w:val="000000"/>
              </w:rPr>
            </w:pPr>
            <w:r>
              <w:rPr>
                <w:color w:val="000000"/>
              </w:rPr>
              <w:t>Визначає рівень володіння англійською як робочою мовою НАТО; забезпечує однозначність розуміння термінів</w:t>
            </w:r>
          </w:p>
        </w:tc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rPr>
                <w:color w:val="000000"/>
              </w:rPr>
            </w:pPr>
            <w:r>
              <w:rPr>
                <w:color w:val="000000"/>
              </w:rPr>
              <w:t>Переклад наказу «Cease fire immediately» з урахуванням стандартного рівня розуміння термінів</w:t>
            </w:r>
          </w:p>
        </w:tc>
      </w:tr>
      <w:tr w:rsidR="00D94051" w:rsidTr="001B7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rPr>
                <w:color w:val="000000"/>
              </w:rPr>
            </w:pPr>
            <w:r>
              <w:rPr>
                <w:rStyle w:val="Strong"/>
                <w:color w:val="000000"/>
              </w:rPr>
              <w:t>Rules of Engagement (ROE)</w:t>
            </w:r>
          </w:p>
        </w:tc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rPr>
                <w:color w:val="000000"/>
              </w:rPr>
            </w:pPr>
            <w:r>
              <w:rPr>
                <w:color w:val="000000"/>
              </w:rPr>
              <w:t>Стандартизація бойових правил і термінології</w:t>
            </w:r>
          </w:p>
        </w:tc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rPr>
                <w:color w:val="000000"/>
              </w:rPr>
            </w:pPr>
            <w:r>
              <w:rPr>
                <w:color w:val="000000"/>
              </w:rPr>
              <w:t xml:space="preserve">ROE → «Правила ведення бою», а не буквальний </w:t>
            </w:r>
            <w:r>
              <w:rPr>
                <w:color w:val="000000"/>
                <w:lang w:val="uk-UA"/>
              </w:rPr>
              <w:t xml:space="preserve">переклад </w:t>
            </w:r>
            <w:r>
              <w:rPr>
                <w:color w:val="000000"/>
              </w:rPr>
              <w:t>«правила взаємодії»</w:t>
            </w:r>
          </w:p>
        </w:tc>
      </w:tr>
      <w:tr w:rsidR="00D94051" w:rsidTr="001B7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rPr>
                <w:color w:val="000000"/>
              </w:rPr>
            </w:pPr>
            <w:r>
              <w:rPr>
                <w:rStyle w:val="Strong"/>
                <w:color w:val="000000"/>
              </w:rPr>
              <w:t>ATP / AAP / SOP документи</w:t>
            </w:r>
          </w:p>
        </w:tc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rPr>
                <w:color w:val="000000"/>
              </w:rPr>
            </w:pPr>
            <w:r>
              <w:rPr>
                <w:color w:val="000000"/>
              </w:rPr>
              <w:t>Регламентують шаблони наказів і команд</w:t>
            </w:r>
          </w:p>
        </w:tc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rPr>
                <w:color w:val="000000"/>
              </w:rPr>
            </w:pPr>
            <w:r>
              <w:rPr>
                <w:color w:val="000000"/>
              </w:rPr>
              <w:t>«Hold positions until further instructions» → «Тримати позиції до отримання подальших наказів»</w:t>
            </w:r>
          </w:p>
        </w:tc>
      </w:tr>
      <w:tr w:rsidR="00D94051" w:rsidTr="001B7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rPr>
                <w:color w:val="000000"/>
              </w:rPr>
            </w:pPr>
            <w:r>
              <w:rPr>
                <w:rStyle w:val="Strong"/>
                <w:color w:val="000000"/>
              </w:rPr>
              <w:t>Накази та директиви C2</w:t>
            </w:r>
          </w:p>
        </w:tc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rPr>
                <w:color w:val="000000"/>
              </w:rPr>
            </w:pPr>
            <w:r>
              <w:rPr>
                <w:color w:val="000000"/>
              </w:rPr>
              <w:t>Забезпечують однозначність і юридичну силу перекладу</w:t>
            </w:r>
          </w:p>
        </w:tc>
        <w:tc>
          <w:tcPr>
            <w:tcW w:w="0" w:type="auto"/>
            <w:vAlign w:val="center"/>
            <w:hideMark/>
          </w:tcPr>
          <w:p w:rsidR="00D94051" w:rsidRDefault="00D94051" w:rsidP="001B7A2E">
            <w:pPr>
              <w:rPr>
                <w:color w:val="000000"/>
              </w:rPr>
            </w:pPr>
            <w:r>
              <w:rPr>
                <w:color w:val="000000"/>
              </w:rPr>
              <w:t>Переклад командного повідомлення без змін імперативної форми та стандартизованих термінів</w:t>
            </w:r>
          </w:p>
        </w:tc>
      </w:tr>
    </w:tbl>
    <w:p w:rsidR="00D94051" w:rsidRDefault="00D94051" w:rsidP="00D94051">
      <w:pPr>
        <w:jc w:val="center"/>
        <w:outlineLvl w:val="3"/>
        <w:rPr>
          <w:sz w:val="20"/>
          <w:szCs w:val="20"/>
        </w:rPr>
      </w:pPr>
    </w:p>
    <w:p w:rsidR="00D94051" w:rsidRDefault="00D94051" w:rsidP="00D94051">
      <w:pPr>
        <w:jc w:val="center"/>
        <w:outlineLvl w:val="3"/>
        <w:rPr>
          <w:sz w:val="20"/>
          <w:szCs w:val="20"/>
        </w:rPr>
      </w:pPr>
    </w:p>
    <w:p w:rsidR="00D94051" w:rsidRDefault="00D94051" w:rsidP="00D94051">
      <w:pPr>
        <w:jc w:val="center"/>
        <w:outlineLvl w:val="3"/>
        <w:rPr>
          <w:sz w:val="20"/>
          <w:szCs w:val="20"/>
        </w:rPr>
      </w:pPr>
    </w:p>
    <w:p w:rsidR="00D94051" w:rsidRDefault="00D94051" w:rsidP="00D94051">
      <w:pPr>
        <w:jc w:val="right"/>
        <w:outlineLvl w:val="3"/>
        <w:rPr>
          <w:b/>
          <w:bCs/>
          <w:lang w:val="uk-UA"/>
        </w:rPr>
      </w:pPr>
      <w:r w:rsidRPr="00D94051">
        <w:rPr>
          <w:b/>
          <w:bCs/>
          <w:lang w:val="uk-UA"/>
        </w:rPr>
        <w:t>Приклад 2</w:t>
      </w:r>
    </w:p>
    <w:p w:rsidR="00D94051" w:rsidRPr="00D94051" w:rsidRDefault="00D94051" w:rsidP="00D94051">
      <w:pPr>
        <w:jc w:val="right"/>
        <w:outlineLvl w:val="3"/>
        <w:rPr>
          <w:b/>
          <w:bCs/>
          <w:lang w:val="uk-UA"/>
        </w:rPr>
      </w:pPr>
    </w:p>
    <w:p w:rsidR="00D94051" w:rsidRPr="00D94051" w:rsidRDefault="00D94051" w:rsidP="00D94051">
      <w:pPr>
        <w:jc w:val="center"/>
        <w:outlineLvl w:val="3"/>
        <w:rPr>
          <w:b/>
          <w:bCs/>
        </w:rPr>
      </w:pPr>
      <w:r w:rsidRPr="00D94051">
        <w:rPr>
          <w:b/>
          <w:bCs/>
        </w:rPr>
        <w:t>Доктринальний інструмент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(STANAG, ROE, ATP, AAP, SOP)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│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▼</w:t>
      </w:r>
    </w:p>
    <w:p w:rsidR="00D94051" w:rsidRPr="00D94051" w:rsidRDefault="00D94051" w:rsidP="00D94051">
      <w:pPr>
        <w:jc w:val="center"/>
        <w:outlineLvl w:val="3"/>
        <w:rPr>
          <w:b/>
          <w:bCs/>
        </w:rPr>
      </w:pPr>
      <w:r w:rsidRPr="00D94051">
        <w:rPr>
          <w:b/>
          <w:bCs/>
        </w:rPr>
        <w:t>Стандартизована термінологія та формули команд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(уніфіковані терміни, імперативні конструкції,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шаблонні жанри, нормативні формули)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│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▼</w:t>
      </w:r>
    </w:p>
    <w:p w:rsidR="00D94051" w:rsidRPr="00D94051" w:rsidRDefault="00D94051" w:rsidP="00D94051">
      <w:pPr>
        <w:jc w:val="center"/>
        <w:outlineLvl w:val="3"/>
        <w:rPr>
          <w:b/>
          <w:bCs/>
        </w:rPr>
      </w:pPr>
      <w:r w:rsidRPr="00D94051">
        <w:rPr>
          <w:b/>
          <w:bCs/>
        </w:rPr>
        <w:t>Переклад військових текстів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(накази, директиви, бойові донесення,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міжнародні документи)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│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▼</w:t>
      </w:r>
    </w:p>
    <w:p w:rsidR="00D94051" w:rsidRPr="00D94051" w:rsidRDefault="00D94051" w:rsidP="00D94051">
      <w:pPr>
        <w:jc w:val="center"/>
        <w:outlineLvl w:val="3"/>
        <w:rPr>
          <w:b/>
          <w:bCs/>
        </w:rPr>
      </w:pPr>
      <w:r w:rsidRPr="00D94051">
        <w:rPr>
          <w:b/>
          <w:bCs/>
        </w:rPr>
        <w:t>Комунікативна безпека та функціональна точність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(однозначність, зниження ризику непорозумінь,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юридична та доктринальна відповідність)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│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▼</w:t>
      </w:r>
    </w:p>
    <w:p w:rsidR="00D94051" w:rsidRPr="00D94051" w:rsidRDefault="00D94051" w:rsidP="00D94051">
      <w:pPr>
        <w:jc w:val="center"/>
        <w:outlineLvl w:val="3"/>
        <w:rPr>
          <w:b/>
          <w:bCs/>
        </w:rPr>
      </w:pPr>
      <w:r w:rsidRPr="00D94051">
        <w:rPr>
          <w:b/>
          <w:bCs/>
        </w:rPr>
        <w:t>Операційна ефективність та управління</w:t>
      </w:r>
    </w:p>
    <w:p w:rsidR="00D94051" w:rsidRPr="00CB1DDA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(точне виконання наказів, координація підрозділів,</w:t>
      </w:r>
    </w:p>
    <w:p w:rsidR="00D94051" w:rsidRDefault="00D94051" w:rsidP="00D94051">
      <w:pPr>
        <w:jc w:val="center"/>
        <w:outlineLvl w:val="3"/>
        <w:rPr>
          <w:sz w:val="20"/>
          <w:szCs w:val="20"/>
        </w:rPr>
      </w:pPr>
      <w:r w:rsidRPr="00CB1DDA">
        <w:rPr>
          <w:sz w:val="20"/>
          <w:szCs w:val="20"/>
        </w:rPr>
        <w:t>мінімізація бойових і адміністративних ризиків)</w:t>
      </w:r>
    </w:p>
    <w:p w:rsidR="00D94051" w:rsidRDefault="00D94051" w:rsidP="00D94051">
      <w:pPr>
        <w:jc w:val="center"/>
        <w:outlineLvl w:val="3"/>
        <w:rPr>
          <w:sz w:val="20"/>
          <w:szCs w:val="20"/>
        </w:rPr>
      </w:pPr>
    </w:p>
    <w:p w:rsidR="00D94051" w:rsidRPr="00D94051" w:rsidRDefault="00D94051" w:rsidP="00D94051">
      <w:pPr>
        <w:jc w:val="center"/>
      </w:pPr>
    </w:p>
    <w:sectPr w:rsidR="00D94051" w:rsidRPr="00D94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51"/>
    <w:rsid w:val="00D9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3A67E3"/>
  <w15:chartTrackingRefBased/>
  <w15:docId w15:val="{62ACCCEC-853B-2041-BDE4-10130ACC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5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40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94051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D940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94051"/>
  </w:style>
  <w:style w:type="character" w:styleId="Strong">
    <w:name w:val="Strong"/>
    <w:basedOn w:val="DefaultParagraphFont"/>
    <w:uiPriority w:val="22"/>
    <w:qFormat/>
    <w:rsid w:val="00D94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2026-01-26T11:17:00Z</dcterms:created>
  <dcterms:modified xsi:type="dcterms:W3CDTF">2026-01-26T11:21:00Z</dcterms:modified>
</cp:coreProperties>
</file>