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2CA" w:rsidRPr="005F52CA" w:rsidRDefault="005F52CA" w:rsidP="005F52CA">
      <w:pPr>
        <w:tabs>
          <w:tab w:val="num" w:pos="720"/>
        </w:tabs>
        <w:spacing w:line="276" w:lineRule="auto"/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5F52CA">
        <w:rPr>
          <w:rFonts w:ascii="Times New Roman" w:hAnsi="Times New Roman" w:cs="Times New Roman"/>
          <w:b/>
          <w:bCs/>
          <w:color w:val="000000"/>
        </w:rPr>
        <w:t>КЛЮЧОВІ ПОНЯТТЯ І ТЕРМІНИ</w:t>
      </w:r>
    </w:p>
    <w:p w:rsidR="00E53D80" w:rsidRDefault="00E53D80" w:rsidP="00EA42E4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Style w:val="Strong"/>
          <w:rFonts w:eastAsiaTheme="majorEastAsia"/>
          <w:color w:val="000000"/>
        </w:rPr>
        <w:t>Інституційний дискурс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(institutional discourse) — тип професійного комунікативного середовища, що функціонує в рамках організаційної структури, регламентований правилами і стандартами, і спрямований на виконання конкретних соціальних чи організаційних функцій.</w:t>
      </w:r>
    </w:p>
    <w:p w:rsidR="00E53D80" w:rsidRDefault="00E53D80" w:rsidP="00EA42E4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Style w:val="Strong"/>
          <w:rFonts w:eastAsiaTheme="majorEastAsia"/>
          <w:color w:val="000000"/>
        </w:rPr>
        <w:t>Функціонально-комунікативний підхід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(functional-communicative approach) — теоретична парадигма перекладу, у якій оцінка правильності перекладу базується на здатності тексту виконувати ту саму комунікативну функцію в іншому мовному та культурному середовищі.</w:t>
      </w:r>
    </w:p>
    <w:p w:rsidR="00E53D80" w:rsidRDefault="00E53D80" w:rsidP="002A717A">
      <w:pPr>
        <w:pStyle w:val="NormalWeb"/>
        <w:numPr>
          <w:ilvl w:val="0"/>
          <w:numId w:val="1"/>
        </w:numPr>
        <w:spacing w:before="0" w:beforeAutospacing="0" w:line="276" w:lineRule="auto"/>
        <w:jc w:val="both"/>
        <w:rPr>
          <w:color w:val="000000"/>
        </w:rPr>
      </w:pPr>
      <w:r>
        <w:rPr>
          <w:rStyle w:val="Strong"/>
          <w:rFonts w:eastAsiaTheme="majorEastAsia"/>
          <w:color w:val="000000"/>
        </w:rPr>
        <w:t>Прагматична / функціональна еквівалентність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(pragmatic / functional equivalence) — ступінь відповідності перекладу оригіналу з точки зору досягнення того ж прагматичного ефекту на адресата, тобто здатність викликати у нього ті самі дії або розуміння, що й текст оригіналу.</w:t>
      </w:r>
    </w:p>
    <w:p w:rsidR="002A717A" w:rsidRDefault="002A717A" w:rsidP="002A717A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Функціональна теорія перекладу (Functional Translation Theory, Nord, 1991, 1997) розглядає переклад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як цілеспрямовану комунікативну діяльність</w:t>
      </w:r>
      <w:r>
        <w:rPr>
          <w:color w:val="000000"/>
        </w:rPr>
        <w:t>, де головним критерієм оцінки правильності є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спроможність перекладеного тексту виконувати ту саму функцію</w:t>
      </w:r>
      <w:r>
        <w:rPr>
          <w:color w:val="000000"/>
        </w:rPr>
        <w:t>, що й оригінал, у відповідному мовному та культурному середовищі.</w:t>
      </w:r>
    </w:p>
    <w:p w:rsidR="002A717A" w:rsidRPr="002A717A" w:rsidRDefault="002A717A" w:rsidP="002A717A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2A717A">
        <w:rPr>
          <w:rStyle w:val="Strong"/>
          <w:color w:val="000000"/>
        </w:rPr>
        <w:t>Functional appropriateness (функціональна відповідність)</w:t>
      </w:r>
      <w:r w:rsidRPr="002A717A">
        <w:rPr>
          <w:rStyle w:val="Strong"/>
          <w:color w:val="000000"/>
          <w:lang w:val="uk-UA"/>
        </w:rPr>
        <w:t xml:space="preserve"> </w:t>
      </w:r>
      <w:r w:rsidRPr="002A717A">
        <w:rPr>
          <w:color w:val="000000"/>
        </w:rPr>
        <w:t>— ступінь відповідності перекладу оригіналу</w:t>
      </w:r>
      <w:r w:rsidRPr="002A717A">
        <w:rPr>
          <w:rStyle w:val="apple-converted-space"/>
          <w:color w:val="000000"/>
        </w:rPr>
        <w:t> </w:t>
      </w:r>
      <w:r w:rsidRPr="002A717A">
        <w:rPr>
          <w:rStyle w:val="Strong"/>
          <w:b w:val="0"/>
          <w:bCs w:val="0"/>
          <w:color w:val="000000"/>
        </w:rPr>
        <w:t>з точки зору виконання тієї самої комунікативної функції</w:t>
      </w:r>
      <w:r w:rsidRPr="002A717A">
        <w:rPr>
          <w:rStyle w:val="apple-converted-space"/>
          <w:b/>
          <w:bCs/>
          <w:color w:val="000000"/>
        </w:rPr>
        <w:t> </w:t>
      </w:r>
      <w:r w:rsidRPr="002A717A">
        <w:rPr>
          <w:color w:val="000000"/>
        </w:rPr>
        <w:t>в цільовому мовному і культурному середовищі.</w:t>
      </w:r>
    </w:p>
    <w:p w:rsidR="00E53D80" w:rsidRPr="002A717A" w:rsidRDefault="00E53D80" w:rsidP="002A717A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2A717A">
        <w:rPr>
          <w:rStyle w:val="Strong"/>
          <w:rFonts w:eastAsiaTheme="majorEastAsia"/>
          <w:color w:val="000000"/>
        </w:rPr>
        <w:t>Risk-based / risk-oriented translation</w:t>
      </w:r>
      <w:r w:rsidRPr="002A717A">
        <w:rPr>
          <w:rStyle w:val="apple-converted-space"/>
          <w:color w:val="000000"/>
        </w:rPr>
        <w:t> </w:t>
      </w:r>
      <w:r w:rsidRPr="002A717A">
        <w:rPr>
          <w:color w:val="000000"/>
        </w:rPr>
        <w:t>— переклад, у якому вибір лексичних, граматичних або стилістичних рішень мотивується оцінкою потенційних ризиків, пов’язаних із неточним чи некоректним перекладом, особливо у сферах підвищеної відповідальності, таких як військові тексти.</w:t>
      </w:r>
    </w:p>
    <w:p w:rsidR="00CA7782" w:rsidRDefault="00E53D80" w:rsidP="00CA7782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Style w:val="Strong"/>
          <w:rFonts w:eastAsiaTheme="majorEastAsia"/>
          <w:color w:val="000000"/>
        </w:rPr>
        <w:t>Нормативність / стандартизація / директивність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(normativity / standardization / directiveness) — сукупність принципів, що забезпечують однозначність, уніфікованість і керованість мовлення в межах професійного дискурсу, регламентованого правилами організації або інституції (наприклад, НАТО).</w:t>
      </w:r>
    </w:p>
    <w:p w:rsidR="00A30394" w:rsidRDefault="00CA7782" w:rsidP="00A30394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7782">
        <w:rPr>
          <w:rStyle w:val="Strong"/>
          <w:color w:val="000000"/>
        </w:rPr>
        <w:t>Доктринальний інструмент</w:t>
      </w:r>
      <w:r w:rsidRPr="00CA7782">
        <w:rPr>
          <w:rStyle w:val="apple-converted-space"/>
          <w:color w:val="000000"/>
        </w:rPr>
        <w:t> </w:t>
      </w:r>
      <w:r w:rsidRPr="00CA7782">
        <w:rPr>
          <w:color w:val="000000"/>
        </w:rPr>
        <w:t>— це</w:t>
      </w:r>
      <w:r w:rsidRPr="00CA7782">
        <w:rPr>
          <w:rStyle w:val="apple-converted-space"/>
          <w:color w:val="000000"/>
        </w:rPr>
        <w:t> </w:t>
      </w:r>
      <w:r w:rsidRPr="00CA7782">
        <w:rPr>
          <w:rStyle w:val="Strong"/>
          <w:b w:val="0"/>
          <w:bCs w:val="0"/>
          <w:color w:val="000000"/>
        </w:rPr>
        <w:t>нормативно закріплений засіб реалізації доктрини</w:t>
      </w:r>
      <w:r w:rsidRPr="00CA7782">
        <w:rPr>
          <w:b/>
          <w:bCs/>
          <w:color w:val="000000"/>
        </w:rPr>
        <w:t>,</w:t>
      </w:r>
      <w:r w:rsidRPr="00CA7782">
        <w:rPr>
          <w:color w:val="000000"/>
        </w:rPr>
        <w:t xml:space="preserve"> який визначає</w:t>
      </w:r>
      <w:r w:rsidRPr="00CA7782">
        <w:rPr>
          <w:rStyle w:val="apple-converted-space"/>
          <w:color w:val="000000"/>
        </w:rPr>
        <w:t> </w:t>
      </w:r>
      <w:r w:rsidRPr="00CA7782">
        <w:rPr>
          <w:rStyle w:val="Emphasis"/>
          <w:color w:val="000000"/>
        </w:rPr>
        <w:t>як саме</w:t>
      </w:r>
      <w:r>
        <w:rPr>
          <w:rStyle w:val="Emphasis"/>
          <w:color w:val="000000"/>
          <w:lang w:val="uk-UA"/>
        </w:rPr>
        <w:t xml:space="preserve"> </w:t>
      </w:r>
      <w:r w:rsidRPr="00CA7782">
        <w:rPr>
          <w:color w:val="000000"/>
        </w:rPr>
        <w:t>принципи, цілі та цінності доктрини впроваджуються у практичну діяльність.</w:t>
      </w:r>
      <w:r>
        <w:rPr>
          <w:color w:val="000000"/>
          <w:lang w:val="uk-UA"/>
        </w:rPr>
        <w:t xml:space="preserve"> </w:t>
      </w:r>
      <w:r w:rsidRPr="00CA7782">
        <w:rPr>
          <w:color w:val="000000"/>
        </w:rPr>
        <w:t>У військово-науковому розумінні</w:t>
      </w:r>
      <w:r w:rsidRPr="00CA7782">
        <w:rPr>
          <w:rStyle w:val="apple-converted-space"/>
          <w:color w:val="000000"/>
        </w:rPr>
        <w:t> </w:t>
      </w:r>
      <w:r w:rsidRPr="00CA7782">
        <w:rPr>
          <w:rStyle w:val="Strong"/>
          <w:b w:val="0"/>
          <w:bCs w:val="0"/>
          <w:color w:val="000000"/>
        </w:rPr>
        <w:t>доктринальний інструмент</w:t>
      </w:r>
      <w:r w:rsidRPr="00CA7782">
        <w:rPr>
          <w:b/>
          <w:bCs/>
          <w:color w:val="000000"/>
        </w:rPr>
        <w:t>:</w:t>
      </w:r>
      <w:r>
        <w:rPr>
          <w:color w:val="000000"/>
          <w:lang w:val="uk-UA"/>
        </w:rPr>
        <w:t xml:space="preserve"> </w:t>
      </w:r>
      <w:r w:rsidRPr="00CA7782">
        <w:rPr>
          <w:color w:val="000000"/>
        </w:rPr>
        <w:t>формалізує управлінські та операційні підходи;</w:t>
      </w:r>
      <w:r>
        <w:rPr>
          <w:color w:val="000000"/>
          <w:lang w:val="uk-UA"/>
        </w:rPr>
        <w:t xml:space="preserve"> </w:t>
      </w:r>
      <w:r w:rsidRPr="00CA7782">
        <w:rPr>
          <w:color w:val="000000"/>
        </w:rPr>
        <w:t>уніфікує дії суб’єктів на всіх рівнях ієрархії;</w:t>
      </w:r>
      <w:r>
        <w:rPr>
          <w:color w:val="000000"/>
          <w:lang w:val="uk-UA"/>
        </w:rPr>
        <w:t xml:space="preserve"> </w:t>
      </w:r>
      <w:r w:rsidRPr="00CA7782">
        <w:rPr>
          <w:color w:val="000000"/>
        </w:rPr>
        <w:t>забезпечує передбачуваність і узгодженість рішень;</w:t>
      </w:r>
      <w:r>
        <w:rPr>
          <w:color w:val="000000"/>
          <w:lang w:val="uk-UA"/>
        </w:rPr>
        <w:t xml:space="preserve"> </w:t>
      </w:r>
      <w:r w:rsidRPr="00CA7782">
        <w:rPr>
          <w:color w:val="000000"/>
        </w:rPr>
        <w:t>зменшує ризик помилок у критичних ситуаціях.</w:t>
      </w:r>
    </w:p>
    <w:p w:rsidR="00A30394" w:rsidRPr="00A30394" w:rsidRDefault="00A30394" w:rsidP="00A30394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30394">
        <w:rPr>
          <w:rStyle w:val="Strong"/>
          <w:color w:val="000000"/>
        </w:rPr>
        <w:t>Теорія мовленнєвих актів</w:t>
      </w:r>
      <w:r w:rsidRPr="00A30394">
        <w:rPr>
          <w:rStyle w:val="apple-converted-space"/>
          <w:color w:val="000000"/>
        </w:rPr>
        <w:t> </w:t>
      </w:r>
      <w:r w:rsidRPr="00A30394">
        <w:rPr>
          <w:color w:val="000000"/>
        </w:rPr>
        <w:t>— це лінгвістично-філософська теорія (J. L. Austin, J. Searle), згідно з якою мовлення розглядається не лише як передавання інформації, а як</w:t>
      </w:r>
      <w:r w:rsidRPr="00A30394">
        <w:rPr>
          <w:rStyle w:val="apple-converted-space"/>
          <w:color w:val="000000"/>
        </w:rPr>
        <w:t> </w:t>
      </w:r>
      <w:r w:rsidRPr="00A30394">
        <w:rPr>
          <w:rStyle w:val="Strong"/>
          <w:b w:val="0"/>
          <w:bCs w:val="0"/>
          <w:color w:val="000000"/>
        </w:rPr>
        <w:t>форма дії</w:t>
      </w:r>
      <w:r w:rsidRPr="00A30394">
        <w:rPr>
          <w:b/>
          <w:bCs/>
          <w:color w:val="000000"/>
        </w:rPr>
        <w:t>,</w:t>
      </w:r>
      <w:r w:rsidRPr="00A30394">
        <w:rPr>
          <w:color w:val="000000"/>
        </w:rPr>
        <w:t xml:space="preserve"> що виконується за допомогою мовних засобів у певному соціальному та інституційному контексті.У межах цієї теорії висловлювання розуміється як акт, який має:</w:t>
      </w:r>
      <w:r>
        <w:rPr>
          <w:color w:val="000000"/>
          <w:lang w:val="uk-UA"/>
        </w:rPr>
        <w:t xml:space="preserve"> </w:t>
      </w:r>
      <w:r w:rsidRPr="00A30394">
        <w:rPr>
          <w:rStyle w:val="Strong"/>
          <w:color w:val="000000"/>
        </w:rPr>
        <w:t>локутивний аспект</w:t>
      </w:r>
      <w:r w:rsidRPr="00A30394">
        <w:rPr>
          <w:rStyle w:val="apple-converted-space"/>
          <w:color w:val="000000"/>
        </w:rPr>
        <w:t> </w:t>
      </w:r>
      <w:r w:rsidRPr="00A30394">
        <w:rPr>
          <w:color w:val="000000"/>
        </w:rPr>
        <w:t>(що саме сказано);</w:t>
      </w:r>
      <w:r>
        <w:rPr>
          <w:color w:val="000000"/>
          <w:lang w:val="uk-UA"/>
        </w:rPr>
        <w:t xml:space="preserve"> </w:t>
      </w:r>
      <w:r w:rsidRPr="00A30394">
        <w:rPr>
          <w:rStyle w:val="Strong"/>
          <w:color w:val="000000"/>
        </w:rPr>
        <w:t>ілокутивний аспект</w:t>
      </w:r>
      <w:r w:rsidRPr="00A30394">
        <w:rPr>
          <w:rStyle w:val="apple-converted-space"/>
          <w:color w:val="000000"/>
        </w:rPr>
        <w:t> </w:t>
      </w:r>
      <w:r w:rsidRPr="00A30394">
        <w:rPr>
          <w:color w:val="000000"/>
        </w:rPr>
        <w:t>(з якою метою сказано);</w:t>
      </w:r>
      <w:r>
        <w:rPr>
          <w:color w:val="000000"/>
          <w:lang w:val="uk-UA"/>
        </w:rPr>
        <w:t xml:space="preserve"> </w:t>
      </w:r>
      <w:r w:rsidRPr="00A30394">
        <w:rPr>
          <w:rStyle w:val="Strong"/>
          <w:color w:val="000000"/>
        </w:rPr>
        <w:t>перлокутивний аспект</w:t>
      </w:r>
      <w:r w:rsidRPr="00A30394">
        <w:rPr>
          <w:rStyle w:val="apple-converted-space"/>
          <w:color w:val="000000"/>
        </w:rPr>
        <w:t> </w:t>
      </w:r>
      <w:r w:rsidRPr="00A30394">
        <w:rPr>
          <w:color w:val="000000"/>
        </w:rPr>
        <w:t>(який ефект воно справляє на адресата).</w:t>
      </w:r>
      <w:r>
        <w:rPr>
          <w:color w:val="000000"/>
          <w:lang w:val="uk-UA"/>
        </w:rPr>
        <w:t xml:space="preserve"> </w:t>
      </w:r>
      <w:r w:rsidRPr="00A30394">
        <w:rPr>
          <w:color w:val="000000"/>
        </w:rPr>
        <w:t xml:space="preserve">У військовому дискурсі мовленнєві акти </w:t>
      </w:r>
      <w:r w:rsidRPr="00A30394">
        <w:rPr>
          <w:color w:val="000000"/>
        </w:rPr>
        <w:lastRenderedPageBreak/>
        <w:t>(наказ, директива, заборона) мають</w:t>
      </w:r>
      <w:r w:rsidRPr="00A30394">
        <w:rPr>
          <w:rStyle w:val="apple-converted-space"/>
          <w:color w:val="000000"/>
        </w:rPr>
        <w:t> </w:t>
      </w:r>
      <w:r w:rsidRPr="00A30394">
        <w:rPr>
          <w:rStyle w:val="Strong"/>
          <w:b w:val="0"/>
          <w:bCs w:val="0"/>
          <w:color w:val="000000"/>
        </w:rPr>
        <w:t>нормативно закріплений характер</w:t>
      </w:r>
      <w:r w:rsidRPr="00A30394">
        <w:rPr>
          <w:rStyle w:val="apple-converted-space"/>
          <w:color w:val="000000"/>
        </w:rPr>
        <w:t> </w:t>
      </w:r>
      <w:r w:rsidRPr="00A30394">
        <w:rPr>
          <w:color w:val="000000"/>
        </w:rPr>
        <w:t>і безпосередньо впливають на поведінку адресата.</w:t>
      </w:r>
    </w:p>
    <w:p w:rsidR="00A30394" w:rsidRDefault="00A30394" w:rsidP="00A30394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30394">
        <w:rPr>
          <w:rStyle w:val="Strong"/>
          <w:color w:val="000000"/>
        </w:rPr>
        <w:t>Ілокутивна сила</w:t>
      </w:r>
      <w:r w:rsidRPr="00A30394">
        <w:rPr>
          <w:rStyle w:val="apple-converted-space"/>
          <w:color w:val="000000"/>
        </w:rPr>
        <w:t> </w:t>
      </w:r>
      <w:r w:rsidRPr="00A30394">
        <w:rPr>
          <w:color w:val="000000"/>
        </w:rPr>
        <w:t>— це</w:t>
      </w:r>
      <w:r w:rsidRPr="00A30394">
        <w:rPr>
          <w:rStyle w:val="apple-converted-space"/>
          <w:color w:val="000000"/>
        </w:rPr>
        <w:t> </w:t>
      </w:r>
      <w:r w:rsidRPr="00A30394">
        <w:rPr>
          <w:rStyle w:val="Strong"/>
          <w:b w:val="0"/>
          <w:bCs w:val="0"/>
          <w:color w:val="000000"/>
        </w:rPr>
        <w:t>комунікативний намір мовця</w:t>
      </w:r>
      <w:r w:rsidRPr="00A30394">
        <w:rPr>
          <w:color w:val="000000"/>
        </w:rPr>
        <w:t>, закладений у висловлюванні, який визначає,</w:t>
      </w:r>
      <w:r w:rsidRPr="00A30394">
        <w:rPr>
          <w:rStyle w:val="apple-converted-space"/>
          <w:color w:val="000000"/>
        </w:rPr>
        <w:t> </w:t>
      </w:r>
      <w:r w:rsidRPr="00A30394">
        <w:rPr>
          <w:rStyle w:val="Emphasis"/>
          <w:color w:val="000000"/>
        </w:rPr>
        <w:t>яку саме дію</w:t>
      </w:r>
      <w:r w:rsidRPr="00A30394">
        <w:rPr>
          <w:color w:val="000000"/>
        </w:rPr>
        <w:t>виконує мовлення: наказ, вимогу, заборону, дозвіл, попередження тощо.</w:t>
      </w:r>
    </w:p>
    <w:p w:rsidR="00A30394" w:rsidRPr="00A30394" w:rsidRDefault="00A30394" w:rsidP="00A30394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30394">
        <w:rPr>
          <w:rStyle w:val="Strong"/>
          <w:color w:val="000000"/>
        </w:rPr>
        <w:t>Системна теорія</w:t>
      </w:r>
      <w:r w:rsidRPr="00A30394">
        <w:rPr>
          <w:rStyle w:val="apple-converted-space"/>
          <w:color w:val="000000"/>
        </w:rPr>
        <w:t> </w:t>
      </w:r>
      <w:r w:rsidRPr="00A30394">
        <w:rPr>
          <w:color w:val="000000"/>
        </w:rPr>
        <w:t>(Ludwig von Bertalanffy) — це міждисциплінарний науковий підхід, який розглядає будь-який об’єкт як</w:t>
      </w:r>
      <w:r w:rsidRPr="00A30394">
        <w:rPr>
          <w:rStyle w:val="apple-converted-space"/>
          <w:color w:val="000000"/>
        </w:rPr>
        <w:t> </w:t>
      </w:r>
      <w:r w:rsidRPr="00A30394">
        <w:rPr>
          <w:rStyle w:val="Strong"/>
          <w:b w:val="0"/>
          <w:bCs w:val="0"/>
          <w:color w:val="000000"/>
        </w:rPr>
        <w:t>цілісну систему взаємопов’язаних елементів</w:t>
      </w:r>
      <w:r w:rsidRPr="00A30394">
        <w:rPr>
          <w:b/>
          <w:bCs/>
          <w:color w:val="000000"/>
        </w:rPr>
        <w:t>,</w:t>
      </w:r>
      <w:r w:rsidRPr="00A30394">
        <w:rPr>
          <w:color w:val="000000"/>
        </w:rPr>
        <w:t xml:space="preserve"> де функціонування кожного елемента має значення лише в межах усієї системи.</w:t>
      </w:r>
      <w:r>
        <w:rPr>
          <w:color w:val="000000"/>
          <w:lang w:val="uk-UA"/>
        </w:rPr>
        <w:t xml:space="preserve"> </w:t>
      </w:r>
      <w:r w:rsidRPr="00A30394">
        <w:rPr>
          <w:rStyle w:val="Strong"/>
          <w:b w:val="0"/>
          <w:bCs w:val="0"/>
          <w:color w:val="000000"/>
          <w:lang w:val="uk-UA"/>
        </w:rPr>
        <w:t>М</w:t>
      </w:r>
      <w:r w:rsidRPr="00A30394">
        <w:rPr>
          <w:rStyle w:val="Strong"/>
          <w:b w:val="0"/>
          <w:bCs w:val="0"/>
          <w:color w:val="000000"/>
        </w:rPr>
        <w:t>ова в системі C2 розглядається як структурний елемент управління</w:t>
      </w:r>
      <w:r w:rsidRPr="00A30394">
        <w:rPr>
          <w:b/>
          <w:bCs/>
          <w:color w:val="000000"/>
        </w:rPr>
        <w:t>,</w:t>
      </w:r>
      <w:r w:rsidRPr="00A30394">
        <w:rPr>
          <w:color w:val="000000"/>
        </w:rPr>
        <w:t xml:space="preserve"> за допомогою якого управлінський замисел перетворюється на дію.</w:t>
      </w:r>
      <w:r w:rsidRPr="00A30394">
        <w:rPr>
          <w:rStyle w:val="apple-converted-space"/>
          <w:color w:val="000000"/>
        </w:rPr>
        <w:t> </w:t>
      </w:r>
    </w:p>
    <w:p w:rsidR="00A30394" w:rsidRPr="00A30394" w:rsidRDefault="00A30394" w:rsidP="00EA42E4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</w:p>
    <w:p w:rsidR="00E53D80" w:rsidRDefault="00E53D80" w:rsidP="00EA42E4">
      <w:pPr>
        <w:spacing w:line="276" w:lineRule="auto"/>
        <w:jc w:val="both"/>
      </w:pPr>
    </w:p>
    <w:sectPr w:rsidR="00E53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656B"/>
    <w:multiLevelType w:val="multilevel"/>
    <w:tmpl w:val="1A8A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070A6"/>
    <w:multiLevelType w:val="multilevel"/>
    <w:tmpl w:val="ADB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32B82"/>
    <w:multiLevelType w:val="multilevel"/>
    <w:tmpl w:val="883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53E76"/>
    <w:multiLevelType w:val="multilevel"/>
    <w:tmpl w:val="0D2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156040">
    <w:abstractNumId w:val="0"/>
  </w:num>
  <w:num w:numId="2" w16cid:durableId="62726729">
    <w:abstractNumId w:val="3"/>
  </w:num>
  <w:num w:numId="3" w16cid:durableId="921335399">
    <w:abstractNumId w:val="1"/>
  </w:num>
  <w:num w:numId="4" w16cid:durableId="135811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80"/>
    <w:rsid w:val="002A717A"/>
    <w:rsid w:val="005F52CA"/>
    <w:rsid w:val="00A30394"/>
    <w:rsid w:val="00CA7782"/>
    <w:rsid w:val="00E53D80"/>
    <w:rsid w:val="00E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3987E"/>
  <w15:chartTrackingRefBased/>
  <w15:docId w15:val="{2C2E35D8-C4C9-E64D-A7C2-E27EE1C1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3D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3D8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53D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53D80"/>
  </w:style>
  <w:style w:type="character" w:styleId="Strong">
    <w:name w:val="Strong"/>
    <w:basedOn w:val="DefaultParagraphFont"/>
    <w:uiPriority w:val="22"/>
    <w:qFormat/>
    <w:rsid w:val="00E53D80"/>
    <w:rPr>
      <w:b/>
      <w:bCs/>
    </w:rPr>
  </w:style>
  <w:style w:type="character" w:styleId="Emphasis">
    <w:name w:val="Emphasis"/>
    <w:basedOn w:val="DefaultParagraphFont"/>
    <w:uiPriority w:val="20"/>
    <w:qFormat/>
    <w:rsid w:val="00CA7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2026-01-26T11:23:00Z</dcterms:created>
  <dcterms:modified xsi:type="dcterms:W3CDTF">2026-01-27T10:32:00Z</dcterms:modified>
</cp:coreProperties>
</file>