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60C" w14:textId="77777777" w:rsidR="00600D03" w:rsidRDefault="00600D03" w:rsidP="00600D03">
      <w:pPr>
        <w:widowControl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Індивідуальні </w:t>
      </w:r>
      <w:r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>
        <w:rPr>
          <w:b/>
          <w:sz w:val="28"/>
          <w:szCs w:val="28"/>
          <w:lang w:val="uk-UA" w:eastAsia="uk-UA"/>
        </w:rPr>
        <w:t>завдання</w:t>
      </w:r>
    </w:p>
    <w:p w14:paraId="4112EAE7" w14:textId="77777777" w:rsidR="00600D03" w:rsidRDefault="00600D03" w:rsidP="00600D03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bookmarkStart w:id="0" w:name="_Hlk179959661"/>
      <w:r>
        <w:rPr>
          <w:sz w:val="28"/>
          <w:szCs w:val="28"/>
          <w:lang w:val="uk-UA"/>
        </w:rPr>
        <w:t>Протягом семестру здобувачами освіти в індивідуальному порядку готуються доповіді та презентації з проблемних питань за окремими темами навчальної дисципліни, які презентуються шляхом підготовки виступів та відповідних ілюстративних матеріалів.</w:t>
      </w:r>
    </w:p>
    <w:p w14:paraId="0DCA732B" w14:textId="77777777" w:rsidR="00600D03" w:rsidRDefault="00600D03" w:rsidP="00600D03">
      <w:pPr>
        <w:widowControl/>
        <w:shd w:val="clear" w:color="auto" w:fill="FFFFFF"/>
        <w:adjustRightInd/>
        <w:ind w:firstLine="567"/>
        <w:rPr>
          <w:color w:val="001D35"/>
          <w:sz w:val="28"/>
          <w:szCs w:val="28"/>
          <w:lang w:val="uk-UA" w:eastAsia="uk-UA"/>
        </w:rPr>
      </w:pPr>
      <w:r>
        <w:rPr>
          <w:color w:val="001D35"/>
          <w:sz w:val="28"/>
          <w:szCs w:val="28"/>
          <w:lang w:val="uk-UA" w:eastAsia="uk-UA"/>
        </w:rPr>
        <w:t xml:space="preserve">Доповідь – це публічне або письмове повідомлення з певної теми, яке базується на фактах, результатах дослідження та аналізі інформації. Це може бути як офіційний виступ на конференції чи нараді, так і навчальна робота, яка допомагає розвивати навички публічних виступів та роботи з джерелами. Її головна мета – чітко та </w:t>
      </w:r>
      <w:proofErr w:type="spellStart"/>
      <w:r>
        <w:rPr>
          <w:color w:val="001D35"/>
          <w:sz w:val="28"/>
          <w:szCs w:val="28"/>
          <w:lang w:val="uk-UA" w:eastAsia="uk-UA"/>
        </w:rPr>
        <w:t>логічно</w:t>
      </w:r>
      <w:proofErr w:type="spellEnd"/>
      <w:r>
        <w:rPr>
          <w:color w:val="001D35"/>
          <w:sz w:val="28"/>
          <w:szCs w:val="28"/>
          <w:lang w:val="uk-UA" w:eastAsia="uk-UA"/>
        </w:rPr>
        <w:t xml:space="preserve"> представити інформацію аудиторії. </w:t>
      </w:r>
    </w:p>
    <w:p w14:paraId="2AB0E488" w14:textId="77777777" w:rsidR="00600D03" w:rsidRDefault="00600D03" w:rsidP="00600D03">
      <w:pPr>
        <w:widowControl/>
        <w:shd w:val="clear" w:color="auto" w:fill="FFFFFF"/>
        <w:adjustRightInd/>
        <w:ind w:firstLine="567"/>
        <w:rPr>
          <w:color w:val="001D35"/>
          <w:sz w:val="28"/>
          <w:szCs w:val="28"/>
          <w:lang w:val="uk-UA" w:eastAsia="uk-UA"/>
        </w:rPr>
      </w:pPr>
      <w:r>
        <w:rPr>
          <w:color w:val="001D35"/>
          <w:sz w:val="28"/>
          <w:szCs w:val="28"/>
          <w:lang w:val="uk-UA" w:eastAsia="uk-UA"/>
        </w:rPr>
        <w:t>Теми доповідей:</w:t>
      </w:r>
    </w:p>
    <w:p w14:paraId="5F3BF9D0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spacing w:line="240" w:lineRule="auto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Історія розвитку освіти в Україні і в світі.</w:t>
      </w:r>
    </w:p>
    <w:p w14:paraId="1AEB9A8C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Основні тенденції розвитку освіти в країнах Європейського Союзу. </w:t>
      </w:r>
    </w:p>
    <w:p w14:paraId="5B94BB9C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Основні тенденції розвитку освіти в США, Великій Британії.</w:t>
      </w:r>
    </w:p>
    <w:p w14:paraId="73EE25D6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Характеристика освітніх систем країн Європейського Союзу.</w:t>
      </w:r>
    </w:p>
    <w:p w14:paraId="122E7E9A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Структура навчального року в Україні і в світі.</w:t>
      </w:r>
    </w:p>
    <w:p w14:paraId="1CBB972A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Тривалість повної загальної середньої освіти в Україні і в світі. </w:t>
      </w:r>
    </w:p>
    <w:p w14:paraId="63A2E918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Освітні системи країн Балтії.</w:t>
      </w:r>
    </w:p>
    <w:p w14:paraId="7BD51874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Освітні системи країн Індії, Японії та Китаю.</w:t>
      </w:r>
    </w:p>
    <w:p w14:paraId="39181912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Освітні системи Арабських країн.</w:t>
      </w:r>
    </w:p>
    <w:p w14:paraId="6C8695FD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>Система освіти України: сьогодення та перспективи розвитку.</w:t>
      </w:r>
    </w:p>
    <w:p w14:paraId="0234EB92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rStyle w:val="ae"/>
          <w:rFonts w:eastAsiaTheme="majorEastAsia"/>
          <w:b w:val="0"/>
          <w:bCs w:val="0"/>
        </w:rPr>
      </w:pP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Основні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умови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реалізації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функцій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433DFFCE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rStyle w:val="ae"/>
          <w:rFonts w:eastAsiaTheme="majorEastAsia"/>
          <w:b w:val="0"/>
          <w:bCs w:val="0"/>
          <w:sz w:val="28"/>
          <w:szCs w:val="28"/>
          <w:lang w:val="uk-UA" w:eastAsia="uk-UA"/>
        </w:rPr>
      </w:pPr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Шляхи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удосконалення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3C8B4B6B" w14:textId="77777777" w:rsidR="00600D03" w:rsidRDefault="00600D03" w:rsidP="00600D03">
      <w:pPr>
        <w:widowControl/>
        <w:numPr>
          <w:ilvl w:val="0"/>
          <w:numId w:val="1"/>
        </w:numPr>
        <w:autoSpaceDE w:val="0"/>
        <w:autoSpaceDN w:val="0"/>
        <w:adjustRightInd/>
        <w:spacing w:line="240" w:lineRule="auto"/>
        <w:rPr>
          <w:rFonts w:eastAsiaTheme="majorEastAsia"/>
        </w:rPr>
      </w:pP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Соціальні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функції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соціальні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принципи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>
        <w:rPr>
          <w:rStyle w:val="ae"/>
          <w:rFonts w:eastAsiaTheme="majorEastAsia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bookmarkEnd w:id="0"/>
    <w:p w14:paraId="46D92096" w14:textId="77777777" w:rsidR="00600D03" w:rsidRDefault="00600D03" w:rsidP="00600D03">
      <w:pPr>
        <w:widowControl/>
        <w:adjustRightInd/>
        <w:spacing w:line="240" w:lineRule="auto"/>
        <w:jc w:val="center"/>
        <w:rPr>
          <w:sz w:val="28"/>
          <w:szCs w:val="28"/>
          <w:lang w:val="uk-UA" w:eastAsia="uk-UA"/>
        </w:rPr>
      </w:pPr>
    </w:p>
    <w:p w14:paraId="5949E576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9B2"/>
    <w:multiLevelType w:val="hybridMultilevel"/>
    <w:tmpl w:val="99200494"/>
    <w:lvl w:ilvl="0" w:tplc="7B5A9CD2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310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C1"/>
    <w:rsid w:val="0005529D"/>
    <w:rsid w:val="00111A3E"/>
    <w:rsid w:val="001D4A4F"/>
    <w:rsid w:val="001F77E7"/>
    <w:rsid w:val="0025297F"/>
    <w:rsid w:val="002D77CA"/>
    <w:rsid w:val="00600D03"/>
    <w:rsid w:val="00626D61"/>
    <w:rsid w:val="00920ECC"/>
    <w:rsid w:val="00DD1D38"/>
    <w:rsid w:val="00F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9359"/>
  <w15:chartTrackingRefBased/>
  <w15:docId w15:val="{30F51E9F-5980-424E-837C-E129981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0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2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2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0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C1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60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2025-12-10T17:34:00Z</dcterms:created>
  <dcterms:modified xsi:type="dcterms:W3CDTF">2025-12-10T17:35:00Z</dcterms:modified>
</cp:coreProperties>
</file>