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A489" w14:textId="77777777" w:rsidR="0020080B" w:rsidRDefault="00CA66D3" w:rsidP="0020080B">
      <w:pPr>
        <w:pStyle w:val="3"/>
        <w:spacing w:before="0" w:after="0"/>
        <w:ind w:firstLine="709"/>
        <w:jc w:val="center"/>
        <w:rPr>
          <w:rFonts w:cs="Times New Roman"/>
          <w:b/>
          <w:bCs/>
          <w:color w:val="000000"/>
          <w:lang w:val="uk-UA"/>
        </w:rPr>
      </w:pPr>
      <w:r w:rsidRPr="0020080B">
        <w:rPr>
          <w:rFonts w:cs="Times New Roman"/>
          <w:b/>
          <w:bCs/>
          <w:lang w:val="uk-UA"/>
        </w:rPr>
        <w:t xml:space="preserve">Лекція </w:t>
      </w:r>
      <w:r w:rsidR="00EA675B" w:rsidRPr="0020080B">
        <w:rPr>
          <w:rFonts w:cs="Times New Roman"/>
          <w:b/>
          <w:bCs/>
          <w:lang w:val="uk-UA"/>
        </w:rPr>
        <w:t>1</w:t>
      </w:r>
      <w:r w:rsidR="0020080B" w:rsidRPr="0020080B">
        <w:rPr>
          <w:rFonts w:cs="Times New Roman"/>
          <w:b/>
          <w:bCs/>
          <w:lang w:val="uk-UA"/>
        </w:rPr>
        <w:t>1</w:t>
      </w:r>
      <w:r w:rsidR="007617BF" w:rsidRPr="0020080B">
        <w:rPr>
          <w:rFonts w:cs="Times New Roman"/>
          <w:b/>
          <w:bCs/>
          <w:lang w:val="uk-UA"/>
        </w:rPr>
        <w:t xml:space="preserve">. </w:t>
      </w:r>
      <w:r w:rsidR="0020080B" w:rsidRPr="0020080B">
        <w:rPr>
          <w:rFonts w:cs="Times New Roman"/>
          <w:b/>
          <w:bCs/>
          <w:color w:val="000000"/>
        </w:rPr>
        <w:t>Угода про політичне співробітництво, вільну торгівлю та стратегічне партнерство між Україною та Великою Британією: передумови, зміст та перспективи</w:t>
      </w:r>
    </w:p>
    <w:p w14:paraId="47FDF4F8" w14:textId="77777777" w:rsidR="0020080B" w:rsidRPr="0020080B" w:rsidRDefault="0020080B" w:rsidP="0020080B">
      <w:pPr>
        <w:rPr>
          <w:lang w:val="uk-UA"/>
        </w:rPr>
      </w:pPr>
    </w:p>
    <w:p w14:paraId="43C4D0D5" w14:textId="77777777" w:rsidR="0020080B" w:rsidRPr="0020080B" w:rsidRDefault="0020080B" w:rsidP="0020080B">
      <w:pPr>
        <w:pStyle w:val="af"/>
        <w:numPr>
          <w:ilvl w:val="0"/>
          <w:numId w:val="107"/>
        </w:numPr>
        <w:spacing w:before="0" w:beforeAutospacing="0" w:after="0" w:afterAutospacing="0"/>
        <w:rPr>
          <w:b/>
          <w:bCs/>
          <w:color w:val="000000"/>
          <w:sz w:val="28"/>
          <w:szCs w:val="28"/>
        </w:rPr>
      </w:pPr>
      <w:r w:rsidRPr="0020080B">
        <w:rPr>
          <w:b/>
          <w:bCs/>
          <w:color w:val="000000"/>
          <w:sz w:val="28"/>
          <w:szCs w:val="28"/>
        </w:rPr>
        <w:t>Історичні та соціально-економічні передумови укладання Угоди.</w:t>
      </w:r>
    </w:p>
    <w:p w14:paraId="708C4149" w14:textId="77777777" w:rsidR="0020080B" w:rsidRPr="0020080B" w:rsidRDefault="0020080B" w:rsidP="0020080B">
      <w:pPr>
        <w:pStyle w:val="af"/>
        <w:numPr>
          <w:ilvl w:val="0"/>
          <w:numId w:val="107"/>
        </w:numPr>
        <w:spacing w:before="0" w:beforeAutospacing="0" w:after="0" w:afterAutospacing="0"/>
        <w:rPr>
          <w:b/>
          <w:bCs/>
          <w:color w:val="000000"/>
          <w:sz w:val="28"/>
          <w:szCs w:val="28"/>
        </w:rPr>
      </w:pPr>
      <w:r w:rsidRPr="0020080B">
        <w:rPr>
          <w:b/>
          <w:bCs/>
          <w:color w:val="000000"/>
          <w:sz w:val="28"/>
          <w:szCs w:val="28"/>
        </w:rPr>
        <w:t>Переговорний процес: стадії, виклики та компроміси.</w:t>
      </w:r>
    </w:p>
    <w:p w14:paraId="4FB1796A" w14:textId="77777777" w:rsidR="0020080B" w:rsidRPr="0020080B" w:rsidRDefault="0020080B" w:rsidP="0020080B">
      <w:pPr>
        <w:pStyle w:val="af"/>
        <w:numPr>
          <w:ilvl w:val="0"/>
          <w:numId w:val="107"/>
        </w:numPr>
        <w:spacing w:before="0" w:beforeAutospacing="0" w:after="0" w:afterAutospacing="0"/>
        <w:rPr>
          <w:b/>
          <w:bCs/>
          <w:color w:val="000000"/>
          <w:sz w:val="28"/>
          <w:szCs w:val="28"/>
        </w:rPr>
      </w:pPr>
      <w:r w:rsidRPr="0020080B">
        <w:rPr>
          <w:b/>
          <w:bCs/>
          <w:color w:val="000000"/>
          <w:sz w:val="28"/>
          <w:szCs w:val="28"/>
        </w:rPr>
        <w:t>Аналіз структури та ключових положень Угоди.</w:t>
      </w:r>
    </w:p>
    <w:p w14:paraId="668BC6ED" w14:textId="77777777" w:rsidR="0020080B" w:rsidRPr="0020080B" w:rsidRDefault="0020080B" w:rsidP="0020080B">
      <w:pPr>
        <w:pStyle w:val="af"/>
        <w:numPr>
          <w:ilvl w:val="0"/>
          <w:numId w:val="107"/>
        </w:numPr>
        <w:spacing w:before="0" w:beforeAutospacing="0" w:after="0" w:afterAutospacing="0"/>
        <w:rPr>
          <w:b/>
          <w:bCs/>
          <w:color w:val="000000"/>
          <w:sz w:val="28"/>
          <w:szCs w:val="28"/>
        </w:rPr>
      </w:pPr>
      <w:r w:rsidRPr="0020080B">
        <w:rPr>
          <w:b/>
          <w:bCs/>
          <w:color w:val="000000"/>
          <w:sz w:val="28"/>
          <w:szCs w:val="28"/>
        </w:rPr>
        <w:t>Виклики, особливості та перспективи розвитку двосторонніх відносин.</w:t>
      </w:r>
    </w:p>
    <w:p w14:paraId="49A40948" w14:textId="77777777" w:rsidR="0020080B" w:rsidRPr="0020080B" w:rsidRDefault="0020080B" w:rsidP="0020080B">
      <w:pPr>
        <w:pStyle w:val="af"/>
        <w:spacing w:before="0" w:beforeAutospacing="0" w:after="0" w:afterAutospacing="0"/>
        <w:ind w:left="1429"/>
        <w:rPr>
          <w:color w:val="000000"/>
          <w:sz w:val="28"/>
          <w:szCs w:val="28"/>
        </w:rPr>
      </w:pPr>
    </w:p>
    <w:p w14:paraId="07AA74BD" w14:textId="31B5BBE3" w:rsidR="0020080B" w:rsidRPr="0020080B" w:rsidRDefault="0020080B" w:rsidP="0020080B">
      <w:pPr>
        <w:pStyle w:val="3"/>
        <w:numPr>
          <w:ilvl w:val="0"/>
          <w:numId w:val="108"/>
        </w:numPr>
        <w:spacing w:before="0" w:after="0"/>
        <w:rPr>
          <w:rFonts w:cs="Times New Roman"/>
          <w:b/>
          <w:bCs/>
          <w:color w:val="000000"/>
        </w:rPr>
      </w:pPr>
      <w:r w:rsidRPr="0020080B">
        <w:rPr>
          <w:rFonts w:cs="Times New Roman"/>
          <w:b/>
          <w:bCs/>
          <w:color w:val="000000"/>
        </w:rPr>
        <w:t>Історичні та соціально-економічні передумови укладання Угоди</w:t>
      </w:r>
    </w:p>
    <w:p w14:paraId="274B0A46" w14:textId="77777777" w:rsidR="0020080B" w:rsidRDefault="0020080B" w:rsidP="0020080B">
      <w:pPr>
        <w:pStyle w:val="af"/>
        <w:spacing w:before="0" w:beforeAutospacing="0" w:after="0" w:afterAutospacing="0"/>
        <w:ind w:firstLine="709"/>
        <w:jc w:val="both"/>
        <w:rPr>
          <w:color w:val="000000"/>
          <w:sz w:val="28"/>
          <w:szCs w:val="28"/>
          <w:lang w:val="uk-UA"/>
        </w:rPr>
      </w:pPr>
      <w:r w:rsidRPr="0020080B">
        <w:rPr>
          <w:color w:val="000000"/>
          <w:sz w:val="28"/>
          <w:szCs w:val="28"/>
        </w:rPr>
        <w:t>Для повного розуміння важливості та своєчасності підписання Угоди про політичне співробітництво, вільну торгівлю та стратегічне партнерство 8 жовтня 2020 року, необхідно детально проаналізувати той унікальний фон, на якому вона виникла. Цей фон мав три основні виміри: геополітичний, економічний та політико-безпековий.</w:t>
      </w:r>
    </w:p>
    <w:p w14:paraId="7975C573" w14:textId="2A234CEE" w:rsidR="0020080B" w:rsidRPr="0020080B" w:rsidRDefault="0020080B" w:rsidP="0020080B">
      <w:pPr>
        <w:pStyle w:val="af"/>
        <w:spacing w:before="0" w:beforeAutospacing="0" w:after="0" w:afterAutospacing="0"/>
        <w:ind w:firstLine="709"/>
        <w:jc w:val="both"/>
        <w:rPr>
          <w:color w:val="000000"/>
          <w:sz w:val="28"/>
          <w:szCs w:val="28"/>
        </w:rPr>
      </w:pPr>
      <w:r w:rsidRPr="0020080B">
        <w:rPr>
          <w:i/>
          <w:iCs/>
          <w:color w:val="000000"/>
          <w:sz w:val="28"/>
          <w:szCs w:val="28"/>
        </w:rPr>
        <w:t>Геополітична передумова</w:t>
      </w:r>
      <w:r w:rsidRPr="0020080B">
        <w:rPr>
          <w:color w:val="000000"/>
          <w:sz w:val="28"/>
          <w:szCs w:val="28"/>
        </w:rPr>
        <w:t>: Вихід Великої Британії з ЄС (Brexit)</w:t>
      </w:r>
    </w:p>
    <w:p w14:paraId="3624D66C"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Ключовим, каталізуючим фактором став саме Brexit. Референдум 2016 року у Великій Британії та подальший багаторічний процес виходу з Європейського Союзу, що формально завершився 31 січня 2020 року, докорінно змінив політичну та економічну карту Європи.</w:t>
      </w:r>
    </w:p>
    <w:p w14:paraId="3E42BAA3"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До цього моменту всі відносини між Україною та Сполученим Королівством (СК) у торговельній сфері регулювалися єдиним комплексним документом – Угодою про асоціацію між Україною та ЄС. Її економічна частина, Поглиблена та всеохоплююча зона вільної торгівлі (ПВЗВТ або DCFTA), поширювалася на всі 28 (на той час) країн-членів ЄС, включно з Великою Британією. Це означало, що українські експортери мали єдині правила доступу до спільного ринку ЄС, а британські компанії торгували з Україною на тих самих умовах, що й німецькі чи польські.</w:t>
      </w:r>
    </w:p>
    <w:p w14:paraId="20FECB0B"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Вихід СК з ЄС означав одночасний вихід з Митного союзу ЄС та Спільного ринку. Перехідний період, що тривав до 31 грудня 2020 року, лише відтермінував неминуче: з 1 січня 2021 року Велика Британія мала вийти з-під дії всіх торговельних угод, укладених ЄС від імені своїх членів.</w:t>
      </w:r>
    </w:p>
    <w:p w14:paraId="69C037F1"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Для України це створювало "правовий вакуум". Якби до 31 грудня 2020 року не було укладено нового двостороннього документа, торгівля між Україною та СК автоматично "відкотилася" б до базових правил Світової організації торгівлі (СОТ). Це означало б миттєве повернення ввізних мит на тисячі товарних позицій, втрату преференційного доступу, відновлення тарифних бар'єрів та значне ускладнення торгівлі. Це був би потужний шок для бізнесу обох країн, який звик до лібералізованих умов.</w:t>
      </w:r>
    </w:p>
    <w:p w14:paraId="0E2EF551"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Таким чином, першочерговим завданням було не стільки створення чогось кардинально нового, скільки уникнення "торговельного обриву" (trade cliff-edge) та збереження існуючого рівня вільної торгівлі.</w:t>
      </w:r>
    </w:p>
    <w:p w14:paraId="3A85D2F5"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lastRenderedPageBreak/>
        <w:t>Економічні передумови</w:t>
      </w:r>
    </w:p>
    <w:p w14:paraId="3AFAD320"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На момент переговорів Велика Британія була стабільним та важливим торговельним партнером для України, хоча й не входила до топ-3 чи топ-5. Вона стабільно посідала місце у другому десятку найбільших торговельних партнерів. Торговельний обіг обчислювався мільярдами доларів США.</w:t>
      </w:r>
    </w:p>
    <w:p w14:paraId="43824F76"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Для України ринок СК був важливим для збуту таких товарів, як чорні метали та вироби з них, зернові культури, олія (переважно соняшникова), а також продукція машинобудування, одяг та деякі нішеві харчові продукти. Втрата преференційного доступу до цього ринку вдарила б по конкурентоспроможності цих товарів.</w:t>
      </w:r>
    </w:p>
    <w:p w14:paraId="792F3DBA"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Зі свого боку, Велика Британія експортувала в Україну переважно продукцію з високою доданою вартістю: автомобілі, транспортні засоби, продукцію хімічної промисловості, фармацевтичні препарати та, звісно, знамениті алкогольні напої, зокрема віскі. Для британського бізнесу український ринок, хоч і не був найбільшим, але вважався перспективним ринком, що розвивається, і втрачати на ньому позиції через повернення мит було б вкрай небажано.</w:t>
      </w:r>
    </w:p>
    <w:p w14:paraId="245FFCF0"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Отже, головна економічна мета обох сторін полягала у так званому "roll-over" – перенесенні та адаптації існуючих положень ПВЗВТ ЄС-Україна у новий двосторонній формат. Проте, як ми побачимо далі, переговори вийшли за межі простого копіювання.</w:t>
      </w:r>
    </w:p>
    <w:p w14:paraId="11773A1D"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Політичні та безпекові передумови</w:t>
      </w:r>
    </w:p>
    <w:p w14:paraId="25FD237C"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Цей вимір не можна недооцінювати. Відносини між Україною та Великою Британією не обмежувалися суто торгівлею. Після початку російської агресії у 2014 році, анексії Криму та війни на Донбасі, Велика Британія зайняла одну з найжорсткіших та найпослідовніших позицій на підтримку України.</w:t>
      </w:r>
    </w:p>
    <w:p w14:paraId="7B470151"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Лондон був одним з ініціаторів та рушіїв санкційної політики проти РФ. Британські інструктори з 2015 року проводили навчання українських військових в рамках місії "Operation Orbital". Політичний діалог на найвищому рівні був інтенсивним.</w:t>
      </w:r>
    </w:p>
    <w:p w14:paraId="6E0A863F"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У контексті Brexit, коли Велика Британія проголосила курс на "Глобальну Британію" (Global Britain), їй було важливо продемонструвати свою нову суб'єктність на світовій арені. Укладення однієї з перших великих торговельно-політичних угод саме з Україною було потужним сигналом.</w:t>
      </w:r>
    </w:p>
    <w:p w14:paraId="24CD0876"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Це був сигнал трьом аудиторіям:</w:t>
      </w:r>
    </w:p>
    <w:p w14:paraId="68CA6E28"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Україні: "Ми залишаємось вашим надійним стратегічним союзником, наша підтримка не залежить від членства в ЄС і ми готові її закріпити юридично".</w:t>
      </w:r>
    </w:p>
    <w:p w14:paraId="38F0E5D3"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Росії: "Україна залишається у фокусі нашої зовнішньої політики, ми посилюємо її економічну та політичну стійкість".</w:t>
      </w:r>
    </w:p>
    <w:p w14:paraId="0CAD9BB5"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Світу (та ЄС): "Велика Британія здатна самостійно і швидко укладати амбітні угоди з ключовими партнерами".</w:t>
      </w:r>
    </w:p>
    <w:p w14:paraId="7B3B303D"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 xml:space="preserve">Саме тому Угода отримала таку назву: "про політичне співробітництво... та стратегічне партнерство". Це свідомо підкреслювало, що документ виходить далеко за межі тарифів та квот. Він цементував політичний альянс, створюючи </w:t>
      </w:r>
      <w:r w:rsidRPr="0020080B">
        <w:rPr>
          <w:color w:val="000000"/>
          <w:sz w:val="28"/>
          <w:szCs w:val="28"/>
        </w:rPr>
        <w:lastRenderedPageBreak/>
        <w:t>інституційну рамку для поглиблення співпраці у сфері безпеки, оборони та зовнішньої політики.</w:t>
      </w:r>
    </w:p>
    <w:p w14:paraId="435861B9" w14:textId="77777777" w:rsidR="0020080B" w:rsidRDefault="0020080B" w:rsidP="0020080B">
      <w:pPr>
        <w:ind w:firstLine="709"/>
        <w:jc w:val="both"/>
        <w:rPr>
          <w:color w:val="000000"/>
          <w:sz w:val="28"/>
          <w:szCs w:val="28"/>
          <w:lang w:val="uk-UA"/>
        </w:rPr>
      </w:pPr>
    </w:p>
    <w:p w14:paraId="7DFC55D3" w14:textId="49F630F9" w:rsidR="0020080B" w:rsidRPr="0020080B" w:rsidRDefault="0020080B" w:rsidP="0020080B">
      <w:pPr>
        <w:ind w:firstLine="709"/>
        <w:jc w:val="center"/>
        <w:rPr>
          <w:b/>
          <w:bCs/>
          <w:sz w:val="28"/>
          <w:szCs w:val="28"/>
        </w:rPr>
      </w:pPr>
      <w:r w:rsidRPr="0020080B">
        <w:rPr>
          <w:b/>
          <w:bCs/>
          <w:color w:val="000000"/>
          <w:sz w:val="28"/>
          <w:szCs w:val="28"/>
          <w:lang w:val="uk-UA"/>
        </w:rPr>
        <w:t>2.</w:t>
      </w:r>
      <w:r w:rsidRPr="0020080B">
        <w:rPr>
          <w:b/>
          <w:bCs/>
          <w:color w:val="000000"/>
          <w:sz w:val="28"/>
          <w:szCs w:val="28"/>
        </w:rPr>
        <w:t xml:space="preserve"> Переговорний процес: стадії, виклики та компроміси</w:t>
      </w:r>
    </w:p>
    <w:p w14:paraId="5475748A"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Переговорний процес щодо цієї Угоди був унікальним за своєю природою та швидкістю. Він не починався "з нуля", як у випадку з багатьма класичними угодами про вільну торгівлю, що можуть обговорюватися десятиліттями.</w:t>
      </w:r>
    </w:p>
    <w:p w14:paraId="3904B9C2"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Хронологія та стадії</w:t>
      </w:r>
    </w:p>
    <w:p w14:paraId="05572956"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Підготовча фаза (2017-2019): Політичні консультації та "scoping" (визначення обсягу) майбутньої угоди почалися практично одразу після референдуму про Brexit. Сторони визнали неминучість укладання нового договору. Проте його точний формат був неясний, оскільки залежав від умов "розлучення" самої Великої Британії та ЄС (т.зв. "жорсткий" чи "м'який" Brexit).</w:t>
      </w:r>
    </w:p>
    <w:p w14:paraId="7BD98442"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Активна фаза (2019-2020): Коли стало зрозуміло, що Велика Британія виходить зі Спільного ринку та Митного союзу ЄС, переговори активізувалися. Відбулося кілька офіційних раундів, здебільшого у віртуальному форматі через пандемію COVID-19.</w:t>
      </w:r>
    </w:p>
    <w:p w14:paraId="62B3C4C5"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Підписання та ратифікація: Угоду було підписано на найвищому рівні у Лондоні 8 жовтня 2020 року. Обидва парламенти – Верховна Рада України та Парламент Великої Британії – продемонстрували дивовижну швидкість та одностайність, ратифікувавши документ до кінця 2020 року. Це було критично важливо.</w:t>
      </w:r>
    </w:p>
    <w:p w14:paraId="2590AFE1"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Набуття чинності: З 1 січня 2021 року Угода почала діяти в режимі тимчасового застосування. Це дозволило уникнути того самого "торговельного обриву", оскільки повна ратифікація (що включає обмін нотами та інші бюрократичні процедури) потребувала більше часу. В повному обсязі Угода набула чинності 1 травня 2021 року.</w:t>
      </w:r>
    </w:p>
    <w:p w14:paraId="3AB81D4F"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Ключовий виклик: Модель "Roll-Over Plus" та проблема квот</w:t>
      </w:r>
    </w:p>
    <w:p w14:paraId="44493FFB"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Більшість положень (близько 90-95%) справді були "перенесені" (rolled-over) з Угоди про асоціацію з ЄС. Це стосувалося технічних регламентів, санітарних заходів, прав інтелектуальної власності тощо.</w:t>
      </w:r>
    </w:p>
    <w:p w14:paraId="492869AF"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Однак найскладнішим питанням, яке неможливо було просто "скопіювати", стали тарифні квоти (TRQs). В Угоді з ЄС для України були передбачені безмитні квоти на експорт певних чутливих агропромислових товарів (мед, цукор, крупи, томатна паста, часник та ін.) на весь ринок ЄС, що налічував 450 мільйонів споживачів.</w:t>
      </w:r>
    </w:p>
    <w:p w14:paraId="2E6B2ED3"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Постало питання: яку частину цих квот має "взяти на себе" Велика Британія з її 67-мільйонним ринком? Просте пропорційне вирахування (наприклад, на основі частки СК в населенні ЄС або в минулих обсягах торгівлі) було складним і не завжди вигідним для України.</w:t>
      </w:r>
    </w:p>
    <w:p w14:paraId="60F01CBB"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 xml:space="preserve">Саме тут переговори перейшли від моделі "roll-over" до моделі "roll-over plus". Україні вдалося домовитися про нові, двосторонні квоти. І в багатьох випадках ці нові квоти виявилися навіть щедрішими, ніж проста пропорційна </w:t>
      </w:r>
      <w:r w:rsidRPr="0020080B">
        <w:rPr>
          <w:color w:val="000000"/>
          <w:sz w:val="28"/>
          <w:szCs w:val="28"/>
        </w:rPr>
        <w:lastRenderedPageBreak/>
        <w:t>частка від загальноєвропейських. Наприклад, квоти на деякі види зернових, томатну пасту, мед, оброблений крохмаль та цукор були встановлені на рівні, що перевищував історичні обсяги експорту до СК. Це стало першим важливим компромісом та успіхом української переговорної команди.</w:t>
      </w:r>
    </w:p>
    <w:p w14:paraId="768B2818"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Іншим складним технічним питанням були правила походження товарів, зокрема, питання "діагональної кумуляції", про що ми поговоримо детальніше у наступному розділі.</w:t>
      </w:r>
    </w:p>
    <w:p w14:paraId="5F71F49F" w14:textId="77777777" w:rsidR="0020080B" w:rsidRDefault="0020080B" w:rsidP="0020080B">
      <w:pPr>
        <w:pStyle w:val="3"/>
        <w:spacing w:before="0" w:after="0"/>
        <w:jc w:val="both"/>
        <w:rPr>
          <w:rFonts w:cs="Times New Roman"/>
          <w:color w:val="000000"/>
          <w:lang w:val="uk-UA"/>
        </w:rPr>
      </w:pPr>
    </w:p>
    <w:p w14:paraId="0B645402" w14:textId="6A7C4E3B" w:rsidR="0020080B" w:rsidRPr="0020080B" w:rsidRDefault="0020080B" w:rsidP="0020080B">
      <w:pPr>
        <w:pStyle w:val="3"/>
        <w:spacing w:before="0" w:after="0"/>
        <w:jc w:val="center"/>
        <w:rPr>
          <w:rFonts w:cs="Times New Roman"/>
          <w:b/>
          <w:bCs/>
          <w:color w:val="000000"/>
        </w:rPr>
      </w:pPr>
      <w:r w:rsidRPr="0020080B">
        <w:rPr>
          <w:rFonts w:cs="Times New Roman"/>
          <w:b/>
          <w:bCs/>
          <w:color w:val="000000"/>
          <w:lang w:val="uk-UA"/>
        </w:rPr>
        <w:t>3.</w:t>
      </w:r>
      <w:r w:rsidRPr="0020080B">
        <w:rPr>
          <w:rFonts w:cs="Times New Roman"/>
          <w:b/>
          <w:bCs/>
          <w:color w:val="000000"/>
        </w:rPr>
        <w:t xml:space="preserve"> Аналіз структури та ключових положень Угоди</w:t>
      </w:r>
    </w:p>
    <w:p w14:paraId="22F7931D"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Угода є надзвичайно комплексним документом, що охоплює не лише торгівлю, а й широкий спектр політичних, безпекових та секторальних питань. Вона складається з Преамбули, 8 розділів, 15 додатків та 4 протоколів.</w:t>
      </w:r>
    </w:p>
    <w:p w14:paraId="0ED396D4"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Розділ І: Загальні принципи та цілі</w:t>
      </w:r>
    </w:p>
    <w:p w14:paraId="664E0DF1"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Тут закріплюються фундаментальні основи відносин: повага до демократичних принципів, верховенства права та прав людини. Порушення цих принципів може стати підставою для призупинення дії Угоди. Цілями визначаються розвиток стратегічного партнерства, поглиблення політичного діалогу та створення зони вільної торгівлі.</w:t>
      </w:r>
    </w:p>
    <w:p w14:paraId="5B79C8F7"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Розділ ІІ: Політичне співробітництво та діалог</w:t>
      </w:r>
    </w:p>
    <w:p w14:paraId="586D8B87" w14:textId="6098FC65" w:rsidR="0020080B" w:rsidRPr="00F649B4" w:rsidRDefault="0020080B" w:rsidP="00F649B4">
      <w:pPr>
        <w:pStyle w:val="af"/>
        <w:spacing w:before="0" w:beforeAutospacing="0" w:after="0" w:afterAutospacing="0"/>
        <w:ind w:firstLine="709"/>
        <w:jc w:val="both"/>
        <w:rPr>
          <w:color w:val="000000"/>
          <w:sz w:val="28"/>
          <w:szCs w:val="28"/>
          <w:lang w:val="uk-UA"/>
        </w:rPr>
      </w:pPr>
      <w:r w:rsidRPr="0020080B">
        <w:rPr>
          <w:color w:val="000000"/>
          <w:sz w:val="28"/>
          <w:szCs w:val="28"/>
        </w:rPr>
        <w:t>Це та сама "політична" надбудова. Розділ формалізує та інституціоналізує співпрацю. Він створює постійно діючі органи Угоди</w:t>
      </w:r>
      <w:r w:rsidR="00F649B4">
        <w:rPr>
          <w:color w:val="000000"/>
          <w:sz w:val="28"/>
          <w:szCs w:val="28"/>
          <w:lang w:val="uk-UA"/>
        </w:rPr>
        <w:t xml:space="preserve">. </w:t>
      </w:r>
      <w:r w:rsidRPr="0020080B">
        <w:rPr>
          <w:color w:val="000000"/>
          <w:sz w:val="28"/>
          <w:szCs w:val="28"/>
        </w:rPr>
        <w:t>Рада з питань торгівлі (Trade Committee)</w:t>
      </w:r>
      <w:r w:rsidR="00F649B4">
        <w:rPr>
          <w:color w:val="000000"/>
          <w:sz w:val="28"/>
          <w:szCs w:val="28"/>
          <w:lang w:val="uk-UA"/>
        </w:rPr>
        <w:t xml:space="preserve"> в</w:t>
      </w:r>
      <w:r w:rsidRPr="0020080B">
        <w:rPr>
          <w:color w:val="000000"/>
          <w:sz w:val="28"/>
          <w:szCs w:val="28"/>
        </w:rPr>
        <w:t>ирішує торговельні питання.</w:t>
      </w:r>
    </w:p>
    <w:p w14:paraId="7D8E900F" w14:textId="492C5C33"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Діалог стратегічного партнерства (СПД)</w:t>
      </w:r>
      <w:r w:rsidR="00F649B4">
        <w:rPr>
          <w:color w:val="000000"/>
          <w:sz w:val="28"/>
          <w:szCs w:val="28"/>
          <w:lang w:val="uk-UA"/>
        </w:rPr>
        <w:t xml:space="preserve"> – це г</w:t>
      </w:r>
      <w:r w:rsidRPr="0020080B">
        <w:rPr>
          <w:color w:val="000000"/>
          <w:sz w:val="28"/>
          <w:szCs w:val="28"/>
        </w:rPr>
        <w:t>оловний орган, що збирається на високому рівні (міністри закордонних справ) для обговорення всього спектру відносин – від зовнішньої політики до безпеки й оборони. Це не просто декларації, а юридично закріплені механізми регулярних консультацій.</w:t>
      </w:r>
    </w:p>
    <w:p w14:paraId="61397D5E"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Розділ ІІІ: Торгівля та пов'язані з нею питання (Серце Угоди)</w:t>
      </w:r>
    </w:p>
    <w:p w14:paraId="758B6AF8"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Це найоб'ємніший та найважливіший з економічної точки зору розділ.</w:t>
      </w:r>
    </w:p>
    <w:p w14:paraId="38B67A47" w14:textId="45D9FE39"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Угода забезпечила безпрецедентну лібералізацію. З 1 січня 2021 року Велика Британія скасувала ввізні мита для 98% товарних позицій з України. Україна, у свою чергу, застосувала асиметричний підхід, скасувавши мита для 92% британських товарів, з подальшим поступовим обнуленням решти мит до 2023-2026 років (це давало час українським виробникам адаптуватися).</w:t>
      </w:r>
    </w:p>
    <w:p w14:paraId="4B7DD135" w14:textId="7001452B"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Як вже зазначалося, для 36 видів українських агротоварів були встановлені безмитні квоти (все, що понад квоту, оподатковується митом). З боку України було 4 квоти для британських товарів (цукор та цукровмісні сиропи).</w:t>
      </w:r>
    </w:p>
    <w:p w14:paraId="1F43A8FD" w14:textId="046B670B" w:rsidR="0020080B" w:rsidRPr="00F649B4" w:rsidRDefault="0020080B" w:rsidP="00F649B4">
      <w:pPr>
        <w:pStyle w:val="af"/>
        <w:spacing w:before="0" w:beforeAutospacing="0" w:after="0" w:afterAutospacing="0"/>
        <w:ind w:firstLine="709"/>
        <w:jc w:val="both"/>
        <w:rPr>
          <w:color w:val="000000"/>
          <w:sz w:val="28"/>
          <w:szCs w:val="28"/>
          <w:lang w:val="uk-UA"/>
        </w:rPr>
      </w:pPr>
      <w:r w:rsidRPr="00F649B4">
        <w:rPr>
          <w:i/>
          <w:iCs/>
          <w:color w:val="000000"/>
          <w:sz w:val="28"/>
          <w:szCs w:val="28"/>
        </w:rPr>
        <w:t>Правила походження товарів (Протокол I)</w:t>
      </w:r>
      <w:r w:rsidR="00F649B4" w:rsidRPr="00F649B4">
        <w:rPr>
          <w:i/>
          <w:iCs/>
          <w:color w:val="000000"/>
          <w:sz w:val="28"/>
          <w:szCs w:val="28"/>
          <w:lang w:val="uk-UA"/>
        </w:rPr>
        <w:t>.</w:t>
      </w:r>
      <w:r w:rsidR="00F649B4">
        <w:rPr>
          <w:color w:val="000000"/>
          <w:sz w:val="28"/>
          <w:szCs w:val="28"/>
          <w:lang w:val="uk-UA"/>
        </w:rPr>
        <w:t xml:space="preserve"> </w:t>
      </w:r>
      <w:r w:rsidRPr="0020080B">
        <w:rPr>
          <w:color w:val="000000"/>
          <w:sz w:val="28"/>
          <w:szCs w:val="28"/>
        </w:rPr>
        <w:t>Це, можливо, найскладніша, але найважливіша технічна частина. Вона визначає, який товар має право вважатися "українським" чи "британським" і, відповідно, претендувати на безмитну торгівлю.</w:t>
      </w:r>
    </w:p>
    <w:p w14:paraId="01B6B74C"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 xml:space="preserve">Ключове досягнення тут – це збереження так званої "діагональної кумуляції". Це означає, що український виробник може використовувати компоненти (сировину, деталі) з ЄС, і при експорті фінального продукту до Великої Британії ця сировина буде вважатися "своєю". Це врятувало тисячі виробничих ланцюгів, які </w:t>
      </w:r>
      <w:r w:rsidRPr="0020080B">
        <w:rPr>
          <w:color w:val="000000"/>
          <w:sz w:val="28"/>
          <w:szCs w:val="28"/>
        </w:rPr>
        <w:lastRenderedPageBreak/>
        <w:t>були тісно інтегровані в трикутнику Україна-ЄС-Велика Британія. Без цього положення багато українських товарів просто втратили б право на безмитний доступ.</w:t>
      </w:r>
    </w:p>
    <w:p w14:paraId="4DF05A79" w14:textId="2F5E55FC" w:rsidR="0020080B" w:rsidRPr="00F649B4" w:rsidRDefault="0020080B" w:rsidP="00F649B4">
      <w:pPr>
        <w:pStyle w:val="af"/>
        <w:spacing w:before="0" w:beforeAutospacing="0" w:after="0" w:afterAutospacing="0"/>
        <w:ind w:firstLine="709"/>
        <w:jc w:val="both"/>
        <w:rPr>
          <w:color w:val="000000"/>
          <w:sz w:val="28"/>
          <w:szCs w:val="28"/>
          <w:lang w:val="uk-UA"/>
        </w:rPr>
      </w:pPr>
      <w:r w:rsidRPr="00F649B4">
        <w:rPr>
          <w:i/>
          <w:iCs/>
          <w:color w:val="000000"/>
          <w:sz w:val="28"/>
          <w:szCs w:val="28"/>
        </w:rPr>
        <w:t>Санітарні та фітосанітарні заходи (СФЗ)</w:t>
      </w:r>
      <w:r w:rsidR="00F649B4">
        <w:rPr>
          <w:color w:val="000000"/>
          <w:sz w:val="28"/>
          <w:szCs w:val="28"/>
          <w:lang w:val="uk-UA"/>
        </w:rPr>
        <w:t xml:space="preserve"> с</w:t>
      </w:r>
      <w:r w:rsidRPr="0020080B">
        <w:rPr>
          <w:color w:val="000000"/>
          <w:sz w:val="28"/>
          <w:szCs w:val="28"/>
        </w:rPr>
        <w:t>тосується безпечності харчових продуктів, здоров'я тварин та рослин. Угода не створює єдиних стандартів, але підтверджує зобов'язання сторін дотримуватися науково обґрунтованих норм та міжнародних стандартів (СОТ, Кодекс Аліментаріус). Це допомагає уникнути використання СФЗ-заходів як прихованих торговельних бар'єрів.</w:t>
      </w:r>
    </w:p>
    <w:p w14:paraId="5C77B302" w14:textId="495B31DE" w:rsidR="0020080B" w:rsidRPr="0020080B" w:rsidRDefault="0020080B" w:rsidP="00F649B4">
      <w:pPr>
        <w:pStyle w:val="af"/>
        <w:spacing w:before="0" w:beforeAutospacing="0" w:after="0" w:afterAutospacing="0"/>
        <w:ind w:firstLine="709"/>
        <w:jc w:val="both"/>
        <w:rPr>
          <w:color w:val="000000"/>
          <w:sz w:val="28"/>
          <w:szCs w:val="28"/>
        </w:rPr>
      </w:pPr>
      <w:r w:rsidRPr="00F649B4">
        <w:rPr>
          <w:i/>
          <w:iCs/>
          <w:color w:val="000000"/>
          <w:sz w:val="28"/>
          <w:szCs w:val="28"/>
        </w:rPr>
        <w:t>Технічні бар'єри в торгівлі (ТБТ)</w:t>
      </w:r>
      <w:r w:rsidR="00F649B4">
        <w:rPr>
          <w:color w:val="000000"/>
          <w:sz w:val="28"/>
          <w:szCs w:val="28"/>
          <w:lang w:val="uk-UA"/>
        </w:rPr>
        <w:t xml:space="preserve"> с</w:t>
      </w:r>
      <w:r w:rsidRPr="0020080B">
        <w:rPr>
          <w:color w:val="000000"/>
          <w:sz w:val="28"/>
          <w:szCs w:val="28"/>
        </w:rPr>
        <w:t>тосується стандартів, маркування, пакування, процедур сертифікації. Мета – зближення технічних регламентів, щоб українському виробнику не доводилося створювати два різні продукти: один для ринку ЄС (з маркуванням СЕ) і один для ринку СК (з новим маркуванням UKCA).</w:t>
      </w:r>
    </w:p>
    <w:p w14:paraId="771B38BA" w14:textId="55F01A5F" w:rsidR="0020080B" w:rsidRPr="00F649B4" w:rsidRDefault="0020080B" w:rsidP="0020080B">
      <w:pPr>
        <w:pStyle w:val="af"/>
        <w:spacing w:before="0" w:beforeAutospacing="0" w:after="0" w:afterAutospacing="0"/>
        <w:ind w:firstLine="709"/>
        <w:jc w:val="both"/>
        <w:rPr>
          <w:i/>
          <w:iCs/>
          <w:color w:val="000000"/>
          <w:sz w:val="28"/>
          <w:szCs w:val="28"/>
          <w:lang w:val="uk-UA"/>
        </w:rPr>
      </w:pPr>
      <w:r w:rsidRPr="00F649B4">
        <w:rPr>
          <w:i/>
          <w:iCs/>
          <w:color w:val="000000"/>
          <w:sz w:val="28"/>
          <w:szCs w:val="28"/>
        </w:rPr>
        <w:t>Торгівля послугами, електронна комерція та інвестиції</w:t>
      </w:r>
      <w:r w:rsidR="00F649B4" w:rsidRPr="00F649B4">
        <w:rPr>
          <w:i/>
          <w:iCs/>
          <w:color w:val="000000"/>
          <w:sz w:val="28"/>
          <w:szCs w:val="28"/>
          <w:lang w:val="uk-UA"/>
        </w:rPr>
        <w:t xml:space="preserve">. </w:t>
      </w:r>
    </w:p>
    <w:p w14:paraId="6A5C3213"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Ці розділи лібералізують доступ для компаній у ключових секторах. Для Великої Британії це життєво важливо у сферах фінансових, юридичних, аудиторських послуг. Для України – у сферах ІТ, транспорту (особливо морського) та телекомунікацій. Угода закріплює принципи недискримінації та прозорості.</w:t>
      </w:r>
    </w:p>
    <w:p w14:paraId="6DFA0281" w14:textId="1D64456E" w:rsidR="0020080B" w:rsidRPr="00F649B4" w:rsidRDefault="0020080B" w:rsidP="0020080B">
      <w:pPr>
        <w:pStyle w:val="af"/>
        <w:spacing w:before="0" w:beforeAutospacing="0" w:after="0" w:afterAutospacing="0"/>
        <w:ind w:firstLine="709"/>
        <w:jc w:val="both"/>
        <w:rPr>
          <w:color w:val="000000"/>
          <w:sz w:val="28"/>
          <w:szCs w:val="28"/>
          <w:lang w:val="uk-UA"/>
        </w:rPr>
      </w:pPr>
      <w:r w:rsidRPr="00F649B4">
        <w:rPr>
          <w:i/>
          <w:iCs/>
          <w:color w:val="000000"/>
          <w:sz w:val="28"/>
          <w:szCs w:val="28"/>
        </w:rPr>
        <w:t>Захист інтелектуальної власності</w:t>
      </w:r>
      <w:r w:rsidR="00F649B4">
        <w:rPr>
          <w:color w:val="000000"/>
          <w:sz w:val="28"/>
          <w:szCs w:val="28"/>
          <w:lang w:val="uk-UA"/>
        </w:rPr>
        <w:t>.</w:t>
      </w:r>
    </w:p>
    <w:p w14:paraId="2B3EF584"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Угода підтвердила високий рівень захисту, який вже був закладений в Угоді про асоціацію з ЄС. Це включає патенти, торгові марки та географічні зазначення. Наприклад, Велика Британія визнала українські географічні зазначення, а Україна зобов'язалася захищати британські (найвідоміший приклад – Scotch Whisky).</w:t>
      </w:r>
    </w:p>
    <w:p w14:paraId="295D9CF3"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Державні закупівлі:</w:t>
      </w:r>
    </w:p>
    <w:p w14:paraId="075AE182"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Важливе положення, що надає компаніям однієї сторони взаємний доступ до ринків державних тендерів іншої сторони на прозорих та недискримінаційних умовах.</w:t>
      </w:r>
    </w:p>
    <w:p w14:paraId="4489F9CA"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Інші розділи (IV-VIII)</w:t>
      </w:r>
    </w:p>
    <w:p w14:paraId="7C4091BF" w14:textId="77777777" w:rsidR="0020080B" w:rsidRDefault="0020080B" w:rsidP="0020080B">
      <w:pPr>
        <w:pStyle w:val="af"/>
        <w:spacing w:before="0" w:beforeAutospacing="0" w:after="0" w:afterAutospacing="0"/>
        <w:ind w:firstLine="709"/>
        <w:jc w:val="both"/>
        <w:rPr>
          <w:color w:val="000000"/>
          <w:sz w:val="28"/>
          <w:szCs w:val="28"/>
          <w:lang w:val="uk-UA"/>
        </w:rPr>
      </w:pPr>
      <w:r w:rsidRPr="0020080B">
        <w:rPr>
          <w:color w:val="000000"/>
          <w:sz w:val="28"/>
          <w:szCs w:val="28"/>
        </w:rPr>
        <w:t>Вони регулюють інституційні положення (створення органів Угоди), механізми вирішення спорів (через арбітраж), фінансове співробітництво та заключні положення про набуття чинності та перегляд Угоди.</w:t>
      </w:r>
    </w:p>
    <w:p w14:paraId="2034B30C" w14:textId="77777777" w:rsidR="0020080B" w:rsidRPr="0020080B" w:rsidRDefault="0020080B" w:rsidP="0020080B">
      <w:pPr>
        <w:pStyle w:val="af"/>
        <w:spacing w:before="0" w:beforeAutospacing="0" w:after="0" w:afterAutospacing="0"/>
        <w:ind w:firstLine="709"/>
        <w:jc w:val="both"/>
        <w:rPr>
          <w:color w:val="000000"/>
          <w:sz w:val="28"/>
          <w:szCs w:val="28"/>
          <w:lang w:val="uk-UA"/>
        </w:rPr>
      </w:pPr>
    </w:p>
    <w:p w14:paraId="0E6A5C50" w14:textId="2C90A8EC" w:rsidR="0020080B" w:rsidRPr="0020080B" w:rsidRDefault="0020080B" w:rsidP="0020080B">
      <w:pPr>
        <w:ind w:firstLine="709"/>
        <w:jc w:val="center"/>
        <w:rPr>
          <w:b/>
          <w:bCs/>
          <w:sz w:val="28"/>
          <w:szCs w:val="28"/>
        </w:rPr>
      </w:pPr>
      <w:r w:rsidRPr="0020080B">
        <w:rPr>
          <w:b/>
          <w:bCs/>
          <w:color w:val="000000"/>
          <w:sz w:val="28"/>
          <w:szCs w:val="28"/>
          <w:lang w:val="uk-UA"/>
        </w:rPr>
        <w:t>4.</w:t>
      </w:r>
      <w:r w:rsidRPr="0020080B">
        <w:rPr>
          <w:b/>
          <w:bCs/>
          <w:color w:val="000000"/>
          <w:sz w:val="28"/>
          <w:szCs w:val="28"/>
        </w:rPr>
        <w:t xml:space="preserve"> Виклики, особливості, проблеми та перспективи розвитку</w:t>
      </w:r>
    </w:p>
    <w:p w14:paraId="216431E5"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Підписання Угоди у 2020 році було лише початком. Її реальне життя та імплементація зіткнулися з викликами, які неможливо було передбачити, і водночас відкрили нові перспективи.</w:t>
      </w:r>
    </w:p>
    <w:p w14:paraId="1BDAE6F3"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Особливість: Вплив повномасштабного вторгнення (з 2022 року)</w:t>
      </w:r>
    </w:p>
    <w:p w14:paraId="37DABA11"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Повномасштабна агресія Росії у лютому 2022 року кардинально змінила контекст. Угода, розрахована на мирний час, мусила адаптуватися до воєнних реалій.</w:t>
      </w:r>
    </w:p>
    <w:p w14:paraId="5D20E415"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Реакція Великої Британії була миттєвою та безпрецедентною. У травні 2022 року Лондон в односторонньому порядку оголосив про</w:t>
      </w:r>
      <w:r w:rsidRPr="0020080B">
        <w:rPr>
          <w:rStyle w:val="apple-converted-space"/>
          <w:rFonts w:eastAsiaTheme="majorEastAsia"/>
          <w:color w:val="000000"/>
          <w:sz w:val="28"/>
          <w:szCs w:val="28"/>
        </w:rPr>
        <w:t> </w:t>
      </w:r>
      <w:r w:rsidRPr="0020080B">
        <w:rPr>
          <w:color w:val="000000"/>
          <w:sz w:val="28"/>
          <w:szCs w:val="28"/>
        </w:rPr>
        <w:t>повне скасування всіх мит та квот</w:t>
      </w:r>
      <w:r w:rsidRPr="0020080B">
        <w:rPr>
          <w:rStyle w:val="apple-converted-space"/>
          <w:rFonts w:eastAsiaTheme="majorEastAsia"/>
          <w:color w:val="000000"/>
          <w:sz w:val="28"/>
          <w:szCs w:val="28"/>
        </w:rPr>
        <w:t> </w:t>
      </w:r>
      <w:r w:rsidRPr="0020080B">
        <w:rPr>
          <w:color w:val="000000"/>
          <w:sz w:val="28"/>
          <w:szCs w:val="28"/>
        </w:rPr>
        <w:t>на імпорт будь-яких товарів з України. Це рішення вийшло далеко за межі зобов'язань, передбачених Угодою 2020 року.</w:t>
      </w:r>
    </w:p>
    <w:p w14:paraId="51DAE586"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lastRenderedPageBreak/>
        <w:t>Це був не економічний, а суто політичний крок абсолютної підтримки, спрямований на те, щоб максимально допомогти українській економіці вистояти в умовах блокади портів та руйнування інфраструктури. Фактично, з травня 2022 року торгівля для українських товарів на ринку СК стала навіть вільнішою, ніж торгівля в межах зони вільної торгівлі. Цей режим повної лібералізації згодом неодноразово продовжувався і став символом "союзницької" торгівлі.</w:t>
      </w:r>
    </w:p>
    <w:p w14:paraId="55A43519" w14:textId="606DC36B" w:rsidR="0020080B" w:rsidRPr="00F649B4" w:rsidRDefault="0020080B" w:rsidP="0020080B">
      <w:pPr>
        <w:pStyle w:val="4"/>
        <w:spacing w:before="0" w:after="0"/>
        <w:ind w:firstLine="709"/>
        <w:jc w:val="both"/>
        <w:rPr>
          <w:rFonts w:cs="Times New Roman"/>
          <w:color w:val="000000"/>
          <w:sz w:val="28"/>
          <w:szCs w:val="28"/>
          <w:lang w:val="uk-UA"/>
        </w:rPr>
      </w:pPr>
      <w:r w:rsidRPr="0020080B">
        <w:rPr>
          <w:rFonts w:cs="Times New Roman"/>
          <w:color w:val="000000"/>
          <w:sz w:val="28"/>
          <w:szCs w:val="28"/>
        </w:rPr>
        <w:t>Проблеми та виклики</w:t>
      </w:r>
      <w:r w:rsidR="00F649B4">
        <w:rPr>
          <w:rFonts w:cs="Times New Roman"/>
          <w:color w:val="000000"/>
          <w:sz w:val="28"/>
          <w:szCs w:val="28"/>
          <w:lang w:val="uk-UA"/>
        </w:rPr>
        <w:t>.</w:t>
      </w:r>
    </w:p>
    <w:p w14:paraId="1795DDBF" w14:textId="53EC8A18"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Логістика та блокада портів</w:t>
      </w:r>
      <w:r w:rsidR="00F649B4">
        <w:rPr>
          <w:color w:val="000000"/>
          <w:sz w:val="28"/>
          <w:szCs w:val="28"/>
          <w:lang w:val="uk-UA"/>
        </w:rPr>
        <w:t xml:space="preserve"> стала </w:t>
      </w:r>
      <w:r w:rsidRPr="0020080B">
        <w:rPr>
          <w:color w:val="000000"/>
          <w:sz w:val="28"/>
          <w:szCs w:val="28"/>
        </w:rPr>
        <w:t xml:space="preserve"> головним бар'єром. Угода може обнуляти мита, але вона не може змусити кораблі виходити з заблокованих портів. Традиційні шляхи експорту українського металу та зерна до СК (морським шляхом) були перерізані. Переорієнтація на дорожчі та довші сухопутні маршрути через ЄС значно знизила конкурентоспроможність багатьох товарів.</w:t>
      </w:r>
    </w:p>
    <w:p w14:paraId="6B689DCF" w14:textId="347AA73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Коли мита дорівнюють нулю, єдиними перешкодами залишаються нетарифні. Це – головний виклик для бізнесу. Український експортер все одно мусить відповідати високим британським стандартам безпеки, сертифікації, ветеринарного контролю та маркування. Після Brexit Велика Британія почала запроваджувати власну систему стандартів (наприклад, маркування UKCA), окрему від європейської. Адаптація до цих нових вимог (отримання сертифікатів, зміна пакування) вимагає часу, грошей та експертизи, яких малому та середньому бізнесу в умовах війни бракує.</w:t>
      </w:r>
    </w:p>
    <w:p w14:paraId="277AFB99"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Низька поінформованість та спроможність бізнесу: Багато українських підприємців, особливо в регіонах, все ще недостатньо обізнані про можливості, які надає Угода, або не мають ресурсів для пошуку партнерів, маркетингу та виходу на дуже конкурентний ринок Великої Британії.</w:t>
      </w:r>
    </w:p>
    <w:p w14:paraId="3412D78D" w14:textId="77777777" w:rsidR="0020080B" w:rsidRPr="0020080B" w:rsidRDefault="0020080B" w:rsidP="0020080B">
      <w:pPr>
        <w:pStyle w:val="4"/>
        <w:spacing w:before="0" w:after="0"/>
        <w:ind w:firstLine="709"/>
        <w:jc w:val="both"/>
        <w:rPr>
          <w:rFonts w:cs="Times New Roman"/>
          <w:color w:val="000000"/>
          <w:sz w:val="28"/>
          <w:szCs w:val="28"/>
        </w:rPr>
      </w:pPr>
      <w:r w:rsidRPr="0020080B">
        <w:rPr>
          <w:rFonts w:cs="Times New Roman"/>
          <w:color w:val="000000"/>
          <w:sz w:val="28"/>
          <w:szCs w:val="28"/>
        </w:rPr>
        <w:t>Перспективи та розвиток Угоди</w:t>
      </w:r>
    </w:p>
    <w:p w14:paraId="51E41430"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Відносини не стоять на місці. Угода 2020 року стала потужною платформою для подальшого поглиблення співпраці.</w:t>
      </w:r>
    </w:p>
    <w:p w14:paraId="35E758B8"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Угода про цифрову торгівлю (Digital Trade Agreement - DTA):</w:t>
      </w:r>
    </w:p>
    <w:p w14:paraId="0743582C"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Це найбільш яскравий приклад розвитку. У 2023 році Україна та Велика Британія підписали окрему, інноваційну Угоду про цифрову торгівлю. Це перша така угода, підписана Великою Британією, і перша для України.</w:t>
      </w:r>
    </w:p>
    <w:p w14:paraId="3D9A54D8"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Цей документ є "Угодою 21-го століття". Вона усуває бар'єри у торгівлі послугами та товарами, що надаються цифровим шляхом. Вона гарантує вільний потік даних (за умови захисту персональних даних), забороняє мита на електронні передачі, сприяє співпраці у сферах фінтеху, штучного інтелекту, кібербезпеки та відкритих даних.</w:t>
      </w:r>
    </w:p>
    <w:p w14:paraId="64B5B989" w14:textId="77777777"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Для потужного українського ІТ-сектору цей документ є надзвичайно важливим, оскільки він створює найбільш ліберальний у світі режим для цифрової економіки.</w:t>
      </w:r>
    </w:p>
    <w:p w14:paraId="2E4F6BF3" w14:textId="30E55E07" w:rsidR="0020080B" w:rsidRPr="00F649B4" w:rsidRDefault="0020080B" w:rsidP="00F649B4">
      <w:pPr>
        <w:pStyle w:val="af"/>
        <w:spacing w:before="0" w:beforeAutospacing="0" w:after="0" w:afterAutospacing="0"/>
        <w:ind w:firstLine="709"/>
        <w:jc w:val="both"/>
        <w:rPr>
          <w:i/>
          <w:iCs/>
          <w:color w:val="000000"/>
          <w:sz w:val="28"/>
          <w:szCs w:val="28"/>
          <w:lang w:val="uk-UA"/>
        </w:rPr>
      </w:pPr>
      <w:r w:rsidRPr="00F649B4">
        <w:rPr>
          <w:i/>
          <w:iCs/>
          <w:color w:val="000000"/>
          <w:sz w:val="28"/>
          <w:szCs w:val="28"/>
        </w:rPr>
        <w:t>Післявоєнна відбудова</w:t>
      </w:r>
      <w:r w:rsidR="00F649B4">
        <w:rPr>
          <w:i/>
          <w:iCs/>
          <w:color w:val="000000"/>
          <w:sz w:val="28"/>
          <w:szCs w:val="28"/>
          <w:lang w:val="uk-UA"/>
        </w:rPr>
        <w:t xml:space="preserve">. </w:t>
      </w:r>
      <w:r w:rsidRPr="0020080B">
        <w:rPr>
          <w:color w:val="000000"/>
          <w:sz w:val="28"/>
          <w:szCs w:val="28"/>
        </w:rPr>
        <w:t xml:space="preserve">Угода про вільну торгівлю та захист інвестицій (який є її частиною) створює надійну правову рамку для залучення британського бізнесу та інвестицій у відбудову України. Британські компанії, що мають світовий досвід у сферах інжинірингу, фінансів, страхування (наприклад, ринок Lloyd's of London), </w:t>
      </w:r>
      <w:r w:rsidRPr="0020080B">
        <w:rPr>
          <w:color w:val="000000"/>
          <w:sz w:val="28"/>
          <w:szCs w:val="28"/>
        </w:rPr>
        <w:lastRenderedPageBreak/>
        <w:t>консалтингу та права, отримують завдяки Угоді захищений та преференційний доступ для участі у проектах відновлення.</w:t>
      </w:r>
    </w:p>
    <w:p w14:paraId="1B97B38B" w14:textId="192A7132" w:rsidR="0020080B" w:rsidRPr="00F649B4" w:rsidRDefault="0020080B" w:rsidP="00F649B4">
      <w:pPr>
        <w:pStyle w:val="af"/>
        <w:spacing w:before="0" w:beforeAutospacing="0" w:after="0" w:afterAutospacing="0"/>
        <w:ind w:firstLine="709"/>
        <w:jc w:val="both"/>
        <w:rPr>
          <w:color w:val="000000"/>
          <w:sz w:val="28"/>
          <w:szCs w:val="28"/>
          <w:lang w:val="uk-UA"/>
        </w:rPr>
      </w:pPr>
      <w:r w:rsidRPr="00F649B4">
        <w:rPr>
          <w:i/>
          <w:iCs/>
          <w:color w:val="000000"/>
          <w:sz w:val="28"/>
          <w:szCs w:val="28"/>
        </w:rPr>
        <w:t>"Зелений" перехід та критична сировина</w:t>
      </w:r>
      <w:r w:rsidR="00F649B4">
        <w:rPr>
          <w:color w:val="000000"/>
          <w:sz w:val="28"/>
          <w:szCs w:val="28"/>
          <w:lang w:val="uk-UA"/>
        </w:rPr>
        <w:t xml:space="preserve">. </w:t>
      </w:r>
      <w:r w:rsidRPr="0020080B">
        <w:rPr>
          <w:color w:val="000000"/>
          <w:sz w:val="28"/>
          <w:szCs w:val="28"/>
        </w:rPr>
        <w:t>Угода передбачає співпрацю у сфері сталого розвитку. Перспективними напрямками є торгівля "зеленими" технологіями, співпраця у розвитку водневої енергетики та видобутку критичних сировинних матеріалів (літій, титан тощо), які є в Україні і які критично потрібні Великій Британії для її технологічного та "зеленого" суверенітету.</w:t>
      </w:r>
    </w:p>
    <w:p w14:paraId="299DD63F" w14:textId="35C89FD9" w:rsidR="0020080B" w:rsidRPr="0020080B" w:rsidRDefault="0020080B" w:rsidP="00F649B4">
      <w:pPr>
        <w:pStyle w:val="af"/>
        <w:spacing w:before="0" w:beforeAutospacing="0" w:after="0" w:afterAutospacing="0"/>
        <w:ind w:firstLine="709"/>
        <w:jc w:val="both"/>
        <w:rPr>
          <w:color w:val="000000"/>
          <w:sz w:val="28"/>
          <w:szCs w:val="28"/>
        </w:rPr>
      </w:pPr>
      <w:r w:rsidRPr="00F649B4">
        <w:rPr>
          <w:i/>
          <w:iCs/>
          <w:color w:val="000000"/>
          <w:sz w:val="28"/>
          <w:szCs w:val="28"/>
        </w:rPr>
        <w:t>Еволюційний механізм</w:t>
      </w:r>
      <w:r w:rsidR="00F649B4">
        <w:rPr>
          <w:color w:val="000000"/>
          <w:sz w:val="28"/>
          <w:szCs w:val="28"/>
          <w:lang w:val="uk-UA"/>
        </w:rPr>
        <w:t xml:space="preserve">. </w:t>
      </w:r>
      <w:r w:rsidRPr="0020080B">
        <w:rPr>
          <w:color w:val="000000"/>
          <w:sz w:val="28"/>
          <w:szCs w:val="28"/>
        </w:rPr>
        <w:t>Сама Угода 2020 року містить так зване "еволюційне положення" (evolutionary clause) – зобов'язання сторін регулярно (через 2-5 років) переглядати її положення з метою подальшої лібералізації. Це означає, що документ не є статичним. Він є "живим організмом", який буде й надалі адаптуватися до нових реалій, поглиблюючи інтеграцію ринків України та Великої Британії.</w:t>
      </w:r>
    </w:p>
    <w:p w14:paraId="273102BC" w14:textId="7818ED23" w:rsidR="0020080B" w:rsidRPr="0020080B" w:rsidRDefault="0020080B" w:rsidP="0020080B">
      <w:pPr>
        <w:pStyle w:val="af"/>
        <w:spacing w:before="0" w:beforeAutospacing="0" w:after="0" w:afterAutospacing="0"/>
        <w:ind w:firstLine="709"/>
        <w:jc w:val="both"/>
        <w:rPr>
          <w:color w:val="000000"/>
          <w:sz w:val="28"/>
          <w:szCs w:val="28"/>
        </w:rPr>
      </w:pPr>
      <w:r w:rsidRPr="0020080B">
        <w:rPr>
          <w:color w:val="000000"/>
          <w:sz w:val="28"/>
          <w:szCs w:val="28"/>
        </w:rPr>
        <w:t>Угода про політичне співробітництво, вільну торгівлю та стратегічне партнерство 2020 року стала унікальним документом. Вимушена потреба, народжена Brexit, вона швидко перетворилася на щось значно більше, ніж просто "перенесення" старих правил. Вона не лише врятувала торгівлю від колапсу, але й заклала фундамент для набагато глибшого стратегічного альянсу. Подальші події – повномасштабна війна, безпрецедентне одностороннє скасування всіх мит з боку СК та інноваційна Угода про цифрову торгівлю – довели, що цей документ став платформою для справді союзницьких відносин, де економічна співпраця є невід'ємною частиною спільної політичної та безпекової стратегії.</w:t>
      </w:r>
    </w:p>
    <w:p w14:paraId="3C092285" w14:textId="77777777" w:rsidR="0020080B" w:rsidRDefault="0020080B" w:rsidP="0020080B">
      <w:pPr>
        <w:rPr>
          <w:color w:val="000000"/>
          <w:lang w:val="uk-UA"/>
        </w:rPr>
      </w:pPr>
    </w:p>
    <w:p w14:paraId="10000C17" w14:textId="77777777" w:rsidR="0020080B" w:rsidRDefault="0020080B" w:rsidP="0020080B">
      <w:pPr>
        <w:rPr>
          <w:color w:val="000000"/>
          <w:lang w:val="uk-UA"/>
        </w:rPr>
      </w:pPr>
    </w:p>
    <w:p w14:paraId="7D8AA1A8" w14:textId="1ED3DA69" w:rsidR="0020080B" w:rsidRPr="0020080B" w:rsidRDefault="0020080B" w:rsidP="0020080B">
      <w:pPr>
        <w:ind w:firstLine="709"/>
        <w:rPr>
          <w:b/>
          <w:bCs/>
          <w:sz w:val="28"/>
          <w:szCs w:val="28"/>
          <w:lang w:val="uk-UA"/>
        </w:rPr>
      </w:pPr>
      <w:r w:rsidRPr="0020080B">
        <w:rPr>
          <w:b/>
          <w:bCs/>
          <w:color w:val="000000"/>
          <w:sz w:val="28"/>
          <w:szCs w:val="28"/>
        </w:rPr>
        <w:t>Рекомендований список джерел</w:t>
      </w:r>
      <w:r>
        <w:rPr>
          <w:b/>
          <w:bCs/>
          <w:color w:val="000000"/>
          <w:sz w:val="28"/>
          <w:szCs w:val="28"/>
          <w:lang w:val="uk-UA"/>
        </w:rPr>
        <w:t>:</w:t>
      </w:r>
    </w:p>
    <w:p w14:paraId="5044523E" w14:textId="3F710E6B"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Угода про політичне співробітництво, вільну торгівлю та стратегічне партнерство між Україною та Сполученим Королівством Великої Британії і Північної Ірландії.</w:t>
      </w:r>
      <w:r w:rsidRPr="00F649B4">
        <w:rPr>
          <w:rStyle w:val="apple-converted-space"/>
          <w:rFonts w:eastAsiaTheme="majorEastAsia"/>
          <w:sz w:val="28"/>
          <w:szCs w:val="28"/>
        </w:rPr>
        <w:t> </w:t>
      </w:r>
      <w:hyperlink r:id="rId6" w:tgtFrame="_blank" w:history="1">
        <w:r w:rsidRPr="00F649B4">
          <w:rPr>
            <w:rStyle w:val="ac"/>
            <w:rFonts w:eastAsiaTheme="majorEastAsia"/>
            <w:sz w:val="28"/>
            <w:szCs w:val="28"/>
          </w:rPr>
          <w:t>https://zakon.rada.gov.ua/laws/show/824_001-20</w:t>
        </w:r>
      </w:hyperlink>
    </w:p>
    <w:p w14:paraId="6813F614" w14:textId="27B39CF7"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Закон України "Про ратифікацію Угоди про політичне співробітництво, вільну торгівлю та стратегічне партнерство між Україною та Сполученим Королівством Великої Британії і Північної Ірландії".</w:t>
      </w:r>
      <w:hyperlink r:id="rId7" w:tgtFrame="_blank" w:history="1">
        <w:r w:rsidRPr="00F649B4">
          <w:rPr>
            <w:rStyle w:val="ac"/>
            <w:rFonts w:eastAsiaTheme="majorEastAsia"/>
            <w:sz w:val="28"/>
            <w:szCs w:val="28"/>
          </w:rPr>
          <w:t>https://zakon.rada.gov.ua/laws/show/1115-IX</w:t>
        </w:r>
      </w:hyperlink>
    </w:p>
    <w:p w14:paraId="60D44A22" w14:textId="30997DBB"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Угода про цифрову торгівлю між Україною та Сполученим Королівством Великої Британії і Північної Ірландії (текст на сайті Міністерства економіки).</w:t>
      </w:r>
      <w:r w:rsidRPr="00F649B4">
        <w:rPr>
          <w:rStyle w:val="apple-converted-space"/>
          <w:rFonts w:eastAsiaTheme="majorEastAsia"/>
          <w:sz w:val="28"/>
          <w:szCs w:val="28"/>
        </w:rPr>
        <w:t> </w:t>
      </w:r>
      <w:hyperlink r:id="rId8" w:tgtFrame="_blank" w:history="1">
        <w:r w:rsidRPr="00F649B4">
          <w:rPr>
            <w:rStyle w:val="ac"/>
            <w:rFonts w:eastAsiaTheme="majorEastAsia"/>
            <w:sz w:val="28"/>
            <w:szCs w:val="28"/>
          </w:rPr>
          <w:t>https://me.gov.ua/Documents/Detail?id=17f558a7-b4b4-42ca-b662-2811f42d4a33</w:t>
        </w:r>
      </w:hyperlink>
    </w:p>
    <w:p w14:paraId="4B2CF7A2" w14:textId="0B794C26"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Угода про політичне співробітництво, вільну торгівлю і стратегічне партнерство між Україною та Сполученим Королівством (посібник на порталі Дія.Бізнес).</w:t>
      </w:r>
      <w:r w:rsidRPr="00F649B4">
        <w:rPr>
          <w:rStyle w:val="apple-converted-space"/>
          <w:rFonts w:eastAsiaTheme="majorEastAsia"/>
          <w:sz w:val="28"/>
          <w:szCs w:val="28"/>
        </w:rPr>
        <w:t> </w:t>
      </w:r>
      <w:hyperlink r:id="rId9" w:tgtFrame="_blank" w:history="1">
        <w:r w:rsidRPr="00F649B4">
          <w:rPr>
            <w:rStyle w:val="ac"/>
            <w:rFonts w:eastAsiaTheme="majorEastAsia"/>
            <w:sz w:val="28"/>
            <w:szCs w:val="28"/>
          </w:rPr>
          <w:t>https://business.diia.gov.ua/export/velyka-brytaniia/fta</w:t>
        </w:r>
      </w:hyperlink>
    </w:p>
    <w:p w14:paraId="1724D04E" w14:textId="476AFFC8"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Торгівля з Україною: посібник Уряду Великої Британії для бізнесу.</w:t>
      </w:r>
      <w:r w:rsidRPr="00F649B4">
        <w:rPr>
          <w:rStyle w:val="apple-converted-space"/>
          <w:rFonts w:eastAsiaTheme="majorEastAsia"/>
          <w:sz w:val="28"/>
          <w:szCs w:val="28"/>
        </w:rPr>
        <w:t> </w:t>
      </w:r>
      <w:hyperlink r:id="rId10" w:tgtFrame="_blank" w:history="1">
        <w:r w:rsidRPr="00F649B4">
          <w:rPr>
            <w:rStyle w:val="ac"/>
            <w:rFonts w:eastAsiaTheme="majorEastAsia"/>
            <w:sz w:val="28"/>
            <w:szCs w:val="28"/>
          </w:rPr>
          <w:t>https://www.gov.uk/guidance/trade-with-ukraine</w:t>
        </w:r>
      </w:hyperlink>
    </w:p>
    <w:p w14:paraId="7A57FAA0" w14:textId="6EE37B69"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lastRenderedPageBreak/>
        <w:t>Підтримка експорту до України з Великої Британії (урядовий портал business.gov.uk).</w:t>
      </w:r>
      <w:hyperlink r:id="rId11" w:tgtFrame="_blank" w:history="1">
        <w:r w:rsidRPr="00F649B4">
          <w:rPr>
            <w:rStyle w:val="ac"/>
            <w:rFonts w:eastAsiaTheme="majorEastAsia"/>
            <w:sz w:val="28"/>
            <w:szCs w:val="28"/>
          </w:rPr>
          <w:t>https://www.business.gov.uk/export-from-uk/markets/ukraine/support-for-exporting-to-ukraine/</w:t>
        </w:r>
      </w:hyperlink>
    </w:p>
    <w:p w14:paraId="1C36D878" w14:textId="28027098"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Аналітичний матеріал: Лібералізація Великою Британією торгівлі з Україною: аналіз можливостей для українського експорту (Національний інститут стратегічних досліджень).</w:t>
      </w:r>
      <w:hyperlink r:id="rId12" w:tgtFrame="_blank" w:history="1">
        <w:r w:rsidRPr="00F649B4">
          <w:rPr>
            <w:rStyle w:val="ac"/>
            <w:rFonts w:eastAsiaTheme="majorEastAsia"/>
            <w:sz w:val="28"/>
            <w:szCs w:val="28"/>
          </w:rPr>
          <w:t>https://niss.gov.ua/doslidzhennya/mizhnarodni-vidnosyny/liberalizatsiya-velykoyu-brytaniyeyu-torhivli-z-ukrayinoyu</w:t>
        </w:r>
      </w:hyperlink>
    </w:p>
    <w:p w14:paraId="7F1B2F4F" w14:textId="00A63E08"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Офіс з розвитку підприємництва та експорту (головна сторінка).</w:t>
      </w:r>
      <w:r w:rsidRPr="00F649B4">
        <w:rPr>
          <w:rStyle w:val="apple-converted-space"/>
          <w:rFonts w:eastAsiaTheme="majorEastAsia"/>
          <w:sz w:val="28"/>
          <w:szCs w:val="28"/>
        </w:rPr>
        <w:t> </w:t>
      </w:r>
      <w:hyperlink r:id="rId13" w:tgtFrame="_blank" w:history="1">
        <w:r w:rsidRPr="00F649B4">
          <w:rPr>
            <w:rStyle w:val="ac"/>
            <w:rFonts w:eastAsiaTheme="majorEastAsia"/>
            <w:sz w:val="28"/>
            <w:szCs w:val="28"/>
          </w:rPr>
          <w:t>https://epo.org.ua/</w:t>
        </w:r>
      </w:hyperlink>
    </w:p>
    <w:p w14:paraId="50F2E0FC" w14:textId="04A65EF9"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Державна служба статистики України (розділ "Зовнішня торгівля").</w:t>
      </w:r>
      <w:hyperlink r:id="rId14" w:tgtFrame="_blank" w:history="1">
        <w:r w:rsidRPr="00F649B4">
          <w:rPr>
            <w:rStyle w:val="ac"/>
            <w:rFonts w:eastAsiaTheme="majorEastAsia"/>
            <w:sz w:val="28"/>
            <w:szCs w:val="28"/>
          </w:rPr>
          <w:t>https://www.ukrstat.gov.ua/operativ/menu/menu_u/zed.htm</w:t>
        </w:r>
      </w:hyperlink>
    </w:p>
    <w:p w14:paraId="10AE03FC" w14:textId="7D96346C" w:rsidR="0020080B" w:rsidRPr="00F649B4" w:rsidRDefault="0020080B" w:rsidP="0020080B">
      <w:pPr>
        <w:pStyle w:val="af"/>
        <w:numPr>
          <w:ilvl w:val="1"/>
          <w:numId w:val="120"/>
        </w:numPr>
        <w:spacing w:before="0" w:beforeAutospacing="0" w:after="0" w:afterAutospacing="0"/>
        <w:ind w:left="0" w:firstLine="709"/>
        <w:jc w:val="both"/>
        <w:rPr>
          <w:sz w:val="28"/>
          <w:szCs w:val="28"/>
        </w:rPr>
      </w:pPr>
      <w:r w:rsidRPr="00F649B4">
        <w:rPr>
          <w:sz w:val="28"/>
          <w:szCs w:val="28"/>
        </w:rPr>
        <w:t>Державна митна служба України (розділ "Статистика").</w:t>
      </w:r>
      <w:r w:rsidRPr="00F649B4">
        <w:rPr>
          <w:rStyle w:val="apple-converted-space"/>
          <w:rFonts w:eastAsiaTheme="majorEastAsia"/>
          <w:sz w:val="28"/>
          <w:szCs w:val="28"/>
        </w:rPr>
        <w:t> </w:t>
      </w:r>
      <w:hyperlink r:id="rId15" w:tgtFrame="_blank" w:history="1">
        <w:r w:rsidRPr="00F649B4">
          <w:rPr>
            <w:rStyle w:val="ac"/>
            <w:rFonts w:eastAsiaTheme="majorEastAsia"/>
            <w:sz w:val="28"/>
            <w:szCs w:val="28"/>
          </w:rPr>
          <w:t>https://customs.gov.ua/statistika</w:t>
        </w:r>
      </w:hyperlink>
    </w:p>
    <w:p w14:paraId="373FA054" w14:textId="34152E5C" w:rsidR="000A606A" w:rsidRPr="00F649B4" w:rsidRDefault="000A606A" w:rsidP="0020080B">
      <w:pPr>
        <w:pStyle w:val="a7"/>
        <w:spacing w:after="0" w:line="240" w:lineRule="auto"/>
        <w:ind w:left="0" w:firstLine="709"/>
        <w:jc w:val="both"/>
        <w:rPr>
          <w:rFonts w:ascii="Times New Roman" w:hAnsi="Times New Roman" w:cs="Times New Roman"/>
          <w:sz w:val="28"/>
          <w:szCs w:val="28"/>
          <w:lang w:val="uk-UA"/>
        </w:rPr>
      </w:pPr>
    </w:p>
    <w:sectPr w:rsidR="000A606A" w:rsidRPr="00F649B4"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8B"/>
    <w:multiLevelType w:val="multilevel"/>
    <w:tmpl w:val="F88481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B6AF2"/>
    <w:multiLevelType w:val="hybridMultilevel"/>
    <w:tmpl w:val="85FEC866"/>
    <w:lvl w:ilvl="0" w:tplc="56A69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621E12"/>
    <w:multiLevelType w:val="multilevel"/>
    <w:tmpl w:val="870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81430"/>
    <w:multiLevelType w:val="multilevel"/>
    <w:tmpl w:val="30EC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174C0"/>
    <w:multiLevelType w:val="hybridMultilevel"/>
    <w:tmpl w:val="EF76495C"/>
    <w:lvl w:ilvl="0" w:tplc="46C2F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E1D56"/>
    <w:multiLevelType w:val="hybridMultilevel"/>
    <w:tmpl w:val="C4823050"/>
    <w:lvl w:ilvl="0" w:tplc="2428837C">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90FB7"/>
    <w:multiLevelType w:val="multilevel"/>
    <w:tmpl w:val="1F0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F55AE"/>
    <w:multiLevelType w:val="multilevel"/>
    <w:tmpl w:val="5E962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5C63B8"/>
    <w:multiLevelType w:val="multilevel"/>
    <w:tmpl w:val="F88481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4E246E"/>
    <w:multiLevelType w:val="multilevel"/>
    <w:tmpl w:val="78D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CC0734"/>
    <w:multiLevelType w:val="multilevel"/>
    <w:tmpl w:val="2F10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0A6058"/>
    <w:multiLevelType w:val="multilevel"/>
    <w:tmpl w:val="F88481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5C01AF5"/>
    <w:multiLevelType w:val="multilevel"/>
    <w:tmpl w:val="9E74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DA7CB1"/>
    <w:multiLevelType w:val="multilevel"/>
    <w:tmpl w:val="F88481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7F1966"/>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307278"/>
    <w:multiLevelType w:val="multilevel"/>
    <w:tmpl w:val="6AD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1D7990"/>
    <w:multiLevelType w:val="multilevel"/>
    <w:tmpl w:val="F88481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3E4F14"/>
    <w:multiLevelType w:val="multilevel"/>
    <w:tmpl w:val="E34C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7A43E3"/>
    <w:multiLevelType w:val="hybridMultilevel"/>
    <w:tmpl w:val="16122844"/>
    <w:lvl w:ilvl="0" w:tplc="0419000F">
      <w:start w:val="1"/>
      <w:numFmt w:val="decimal"/>
      <w:lvlText w:val="%1."/>
      <w:lvlJc w:val="left"/>
      <w:pPr>
        <w:ind w:left="1429" w:hanging="360"/>
      </w:pPr>
    </w:lvl>
    <w:lvl w:ilvl="1" w:tplc="14C04B40">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F728F"/>
    <w:multiLevelType w:val="multilevel"/>
    <w:tmpl w:val="F8848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C59BE"/>
    <w:multiLevelType w:val="hybridMultilevel"/>
    <w:tmpl w:val="9F1A4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1DF3335"/>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2172DB"/>
    <w:multiLevelType w:val="multilevel"/>
    <w:tmpl w:val="F954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3B48BA"/>
    <w:multiLevelType w:val="hybridMultilevel"/>
    <w:tmpl w:val="A50AE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4377B08"/>
    <w:multiLevelType w:val="hybridMultilevel"/>
    <w:tmpl w:val="755A8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122485"/>
    <w:multiLevelType w:val="hybridMultilevel"/>
    <w:tmpl w:val="CF3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7744EE6"/>
    <w:multiLevelType w:val="hybridMultilevel"/>
    <w:tmpl w:val="432671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79D5DD8"/>
    <w:multiLevelType w:val="multilevel"/>
    <w:tmpl w:val="C25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CB4D22"/>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C4624E"/>
    <w:multiLevelType w:val="multilevel"/>
    <w:tmpl w:val="234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160BD3"/>
    <w:multiLevelType w:val="multilevel"/>
    <w:tmpl w:val="8B7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5734D9"/>
    <w:multiLevelType w:val="multilevel"/>
    <w:tmpl w:val="50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DB6579E"/>
    <w:multiLevelType w:val="multilevel"/>
    <w:tmpl w:val="F8848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F051302"/>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F00686"/>
    <w:multiLevelType w:val="hybridMultilevel"/>
    <w:tmpl w:val="1122B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2872A4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71361C"/>
    <w:multiLevelType w:val="multilevel"/>
    <w:tmpl w:val="021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A54575"/>
    <w:multiLevelType w:val="hybridMultilevel"/>
    <w:tmpl w:val="6E205BCC"/>
    <w:lvl w:ilvl="0" w:tplc="1896A8E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99B2BA9"/>
    <w:multiLevelType w:val="hybridMultilevel"/>
    <w:tmpl w:val="DCAC60C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1D1DCD"/>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657C05"/>
    <w:multiLevelType w:val="multilevel"/>
    <w:tmpl w:val="1C7A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F057279"/>
    <w:multiLevelType w:val="multilevel"/>
    <w:tmpl w:val="AF2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2"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50067A"/>
    <w:multiLevelType w:val="multilevel"/>
    <w:tmpl w:val="579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114D11"/>
    <w:multiLevelType w:val="multilevel"/>
    <w:tmpl w:val="F8848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9B5D3E"/>
    <w:multiLevelType w:val="multilevel"/>
    <w:tmpl w:val="D9DC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FB42EA"/>
    <w:multiLevelType w:val="multilevel"/>
    <w:tmpl w:val="BB7E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8150DDE"/>
    <w:multiLevelType w:val="hybridMultilevel"/>
    <w:tmpl w:val="7FC88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A4612BF"/>
    <w:multiLevelType w:val="multilevel"/>
    <w:tmpl w:val="B97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67632F"/>
    <w:multiLevelType w:val="hybridMultilevel"/>
    <w:tmpl w:val="EB98DD02"/>
    <w:lvl w:ilvl="0" w:tplc="0419000F">
      <w:start w:val="1"/>
      <w:numFmt w:val="decimal"/>
      <w:lvlText w:val="%1."/>
      <w:lvlJc w:val="left"/>
      <w:pPr>
        <w:ind w:left="1429" w:hanging="360"/>
      </w:pPr>
    </w:lvl>
    <w:lvl w:ilvl="1" w:tplc="1EDE6C46">
      <w:start w:val="4"/>
      <w:numFmt w:val="bullet"/>
      <w:lvlText w:val=""/>
      <w:lvlJc w:val="left"/>
      <w:pPr>
        <w:ind w:left="2169" w:hanging="380"/>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4CB16033"/>
    <w:multiLevelType w:val="hybridMultilevel"/>
    <w:tmpl w:val="AD2AA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00096F"/>
    <w:multiLevelType w:val="multilevel"/>
    <w:tmpl w:val="F8848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2072B96"/>
    <w:multiLevelType w:val="multilevel"/>
    <w:tmpl w:val="8C2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3A066BD"/>
    <w:multiLevelType w:val="multilevel"/>
    <w:tmpl w:val="52CC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730EFE"/>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7F466A"/>
    <w:multiLevelType w:val="multilevel"/>
    <w:tmpl w:val="21F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3332FA"/>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80863B2"/>
    <w:multiLevelType w:val="hybridMultilevel"/>
    <w:tmpl w:val="E332B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DB0D68"/>
    <w:multiLevelType w:val="hybridMultilevel"/>
    <w:tmpl w:val="10D8ACCA"/>
    <w:lvl w:ilvl="0" w:tplc="F86040D6">
      <w:start w:val="1"/>
      <w:numFmt w:val="decimal"/>
      <w:lvlText w:val="%1."/>
      <w:lvlJc w:val="left"/>
      <w:pPr>
        <w:ind w:left="720" w:hanging="360"/>
      </w:pPr>
      <w:rPr>
        <w:rFonts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8F87908"/>
    <w:multiLevelType w:val="hybridMultilevel"/>
    <w:tmpl w:val="12BCFC90"/>
    <w:lvl w:ilvl="0" w:tplc="E1DA2732">
      <w:start w:val="1"/>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DF009F0"/>
    <w:multiLevelType w:val="multilevel"/>
    <w:tmpl w:val="C3F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0F0249F"/>
    <w:multiLevelType w:val="hybridMultilevel"/>
    <w:tmpl w:val="332C8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3001A4"/>
    <w:multiLevelType w:val="multilevel"/>
    <w:tmpl w:val="6164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8F726AE"/>
    <w:multiLevelType w:val="hybridMultilevel"/>
    <w:tmpl w:val="2F74D51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69C3385C"/>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B50393D"/>
    <w:multiLevelType w:val="multilevel"/>
    <w:tmpl w:val="46E41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B7E7E46"/>
    <w:multiLevelType w:val="multilevel"/>
    <w:tmpl w:val="4AF4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28F353A"/>
    <w:multiLevelType w:val="multilevel"/>
    <w:tmpl w:val="F8848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40E7C3C"/>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26592D"/>
    <w:multiLevelType w:val="hybridMultilevel"/>
    <w:tmpl w:val="BF360A9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68C2DCA"/>
    <w:multiLevelType w:val="multilevel"/>
    <w:tmpl w:val="91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12715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91568D2"/>
    <w:multiLevelType w:val="hybridMultilevel"/>
    <w:tmpl w:val="25B4B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93B2D3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3" w15:restartNumberingAfterBreak="0">
    <w:nsid w:val="79D406AC"/>
    <w:multiLevelType w:val="hybridMultilevel"/>
    <w:tmpl w:val="286E5098"/>
    <w:lvl w:ilvl="0" w:tplc="E87EEBB0">
      <w:start w:val="1"/>
      <w:numFmt w:val="decimal"/>
      <w:lvlText w:val="%1."/>
      <w:lvlJc w:val="left"/>
      <w:pPr>
        <w:ind w:left="720" w:hanging="360"/>
      </w:pPr>
      <w:rPr>
        <w:rFonts w:hint="default"/>
        <w:b/>
        <w:color w:val="141413"/>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234E56"/>
    <w:multiLevelType w:val="multilevel"/>
    <w:tmpl w:val="FF0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917F20"/>
    <w:multiLevelType w:val="multilevel"/>
    <w:tmpl w:val="F88481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D9D5479"/>
    <w:multiLevelType w:val="hybridMultilevel"/>
    <w:tmpl w:val="21BCB4D4"/>
    <w:lvl w:ilvl="0" w:tplc="D9BE10D6">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15:restartNumberingAfterBreak="0">
    <w:nsid w:val="7F2E4F18"/>
    <w:multiLevelType w:val="multilevel"/>
    <w:tmpl w:val="12A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92"/>
  </w:num>
  <w:num w:numId="2" w16cid:durableId="835342445">
    <w:abstractNumId w:val="111"/>
  </w:num>
  <w:num w:numId="3" w16cid:durableId="878323029">
    <w:abstractNumId w:val="90"/>
  </w:num>
  <w:num w:numId="4" w16cid:durableId="1847209277">
    <w:abstractNumId w:val="46"/>
  </w:num>
  <w:num w:numId="5" w16cid:durableId="1095395238">
    <w:abstractNumId w:val="85"/>
  </w:num>
  <w:num w:numId="6" w16cid:durableId="672225648">
    <w:abstractNumId w:val="100"/>
  </w:num>
  <w:num w:numId="7" w16cid:durableId="1040088759">
    <w:abstractNumId w:val="18"/>
  </w:num>
  <w:num w:numId="8" w16cid:durableId="1887063645">
    <w:abstractNumId w:val="11"/>
  </w:num>
  <w:num w:numId="9" w16cid:durableId="2091846424">
    <w:abstractNumId w:val="61"/>
  </w:num>
  <w:num w:numId="10" w16cid:durableId="1862187">
    <w:abstractNumId w:val="112"/>
  </w:num>
  <w:num w:numId="11" w16cid:durableId="1550874679">
    <w:abstractNumId w:val="49"/>
  </w:num>
  <w:num w:numId="12" w16cid:durableId="718164197">
    <w:abstractNumId w:val="101"/>
  </w:num>
  <w:num w:numId="13" w16cid:durableId="1135635881">
    <w:abstractNumId w:val="70"/>
  </w:num>
  <w:num w:numId="14" w16cid:durableId="954560763">
    <w:abstractNumId w:val="79"/>
  </w:num>
  <w:num w:numId="15" w16cid:durableId="961880508">
    <w:abstractNumId w:val="32"/>
  </w:num>
  <w:num w:numId="16" w16cid:durableId="2001106795">
    <w:abstractNumId w:val="36"/>
  </w:num>
  <w:num w:numId="17" w16cid:durableId="1370373155">
    <w:abstractNumId w:val="67"/>
  </w:num>
  <w:num w:numId="18" w16cid:durableId="2102530357">
    <w:abstractNumId w:val="12"/>
  </w:num>
  <w:num w:numId="19" w16cid:durableId="499809249">
    <w:abstractNumId w:val="94"/>
  </w:num>
  <w:num w:numId="20" w16cid:durableId="1972056865">
    <w:abstractNumId w:val="63"/>
  </w:num>
  <w:num w:numId="21" w16cid:durableId="548880934">
    <w:abstractNumId w:val="62"/>
  </w:num>
  <w:num w:numId="22" w16cid:durableId="2139836691">
    <w:abstractNumId w:val="13"/>
  </w:num>
  <w:num w:numId="23" w16cid:durableId="1038509014">
    <w:abstractNumId w:val="65"/>
  </w:num>
  <w:num w:numId="24" w16cid:durableId="803620994">
    <w:abstractNumId w:val="104"/>
  </w:num>
  <w:num w:numId="25" w16cid:durableId="814108961">
    <w:abstractNumId w:val="91"/>
  </w:num>
  <w:num w:numId="26" w16cid:durableId="1390033055">
    <w:abstractNumId w:val="23"/>
  </w:num>
  <w:num w:numId="27" w16cid:durableId="1896157971">
    <w:abstractNumId w:val="114"/>
  </w:num>
  <w:num w:numId="28" w16cid:durableId="147944292">
    <w:abstractNumId w:val="119"/>
  </w:num>
  <w:num w:numId="29" w16cid:durableId="702949955">
    <w:abstractNumId w:val="8"/>
  </w:num>
  <w:num w:numId="30" w16cid:durableId="2126079025">
    <w:abstractNumId w:val="4"/>
  </w:num>
  <w:num w:numId="31" w16cid:durableId="741637519">
    <w:abstractNumId w:val="6"/>
  </w:num>
  <w:num w:numId="32" w16cid:durableId="1317220930">
    <w:abstractNumId w:val="29"/>
  </w:num>
  <w:num w:numId="33" w16cid:durableId="1444835799">
    <w:abstractNumId w:val="75"/>
  </w:num>
  <w:num w:numId="34" w16cid:durableId="1787773389">
    <w:abstractNumId w:val="41"/>
  </w:num>
  <w:num w:numId="35" w16cid:durableId="1588076979">
    <w:abstractNumId w:val="21"/>
  </w:num>
  <w:num w:numId="36" w16cid:durableId="2050638807">
    <w:abstractNumId w:val="107"/>
  </w:num>
  <w:num w:numId="37" w16cid:durableId="1413702900">
    <w:abstractNumId w:val="76"/>
  </w:num>
  <w:num w:numId="38" w16cid:durableId="1205361969">
    <w:abstractNumId w:val="57"/>
  </w:num>
  <w:num w:numId="39" w16cid:durableId="565604914">
    <w:abstractNumId w:val="88"/>
  </w:num>
  <w:num w:numId="40" w16cid:durableId="569776553">
    <w:abstractNumId w:val="53"/>
  </w:num>
  <w:num w:numId="41" w16cid:durableId="175658838">
    <w:abstractNumId w:val="37"/>
  </w:num>
  <w:num w:numId="42" w16cid:durableId="569534135">
    <w:abstractNumId w:val="55"/>
  </w:num>
  <w:num w:numId="43" w16cid:durableId="987131801">
    <w:abstractNumId w:val="54"/>
  </w:num>
  <w:num w:numId="44" w16cid:durableId="557515551">
    <w:abstractNumId w:val="56"/>
  </w:num>
  <w:num w:numId="45" w16cid:durableId="990208486">
    <w:abstractNumId w:val="19"/>
  </w:num>
  <w:num w:numId="46" w16cid:durableId="1980454700">
    <w:abstractNumId w:val="105"/>
  </w:num>
  <w:num w:numId="47" w16cid:durableId="322130302">
    <w:abstractNumId w:val="7"/>
  </w:num>
  <w:num w:numId="48" w16cid:durableId="1292056171">
    <w:abstractNumId w:val="117"/>
  </w:num>
  <w:num w:numId="49" w16cid:durableId="1808811717">
    <w:abstractNumId w:val="1"/>
  </w:num>
  <w:num w:numId="50" w16cid:durableId="1588683888">
    <w:abstractNumId w:val="48"/>
  </w:num>
  <w:num w:numId="51" w16cid:durableId="601761073">
    <w:abstractNumId w:val="99"/>
  </w:num>
  <w:num w:numId="52" w16cid:durableId="1702627506">
    <w:abstractNumId w:val="103"/>
  </w:num>
  <w:num w:numId="53" w16cid:durableId="2056462576">
    <w:abstractNumId w:val="64"/>
  </w:num>
  <w:num w:numId="54" w16cid:durableId="21134816">
    <w:abstractNumId w:val="58"/>
  </w:num>
  <w:num w:numId="55" w16cid:durableId="103505691">
    <w:abstractNumId w:val="78"/>
  </w:num>
  <w:num w:numId="56" w16cid:durableId="537353965">
    <w:abstractNumId w:val="77"/>
  </w:num>
  <w:num w:numId="57" w16cid:durableId="1540967808">
    <w:abstractNumId w:val="115"/>
  </w:num>
  <w:num w:numId="58" w16cid:durableId="799807332">
    <w:abstractNumId w:val="102"/>
  </w:num>
  <w:num w:numId="59" w16cid:durableId="9794529">
    <w:abstractNumId w:val="24"/>
  </w:num>
  <w:num w:numId="60" w16cid:durableId="1372877147">
    <w:abstractNumId w:val="66"/>
  </w:num>
  <w:num w:numId="61" w16cid:durableId="2072999714">
    <w:abstractNumId w:val="9"/>
  </w:num>
  <w:num w:numId="62" w16cid:durableId="1476725581">
    <w:abstractNumId w:val="20"/>
  </w:num>
  <w:num w:numId="63" w16cid:durableId="896162591">
    <w:abstractNumId w:val="52"/>
  </w:num>
  <w:num w:numId="64" w16cid:durableId="1420366658">
    <w:abstractNumId w:val="116"/>
  </w:num>
  <w:num w:numId="65" w16cid:durableId="1130324615">
    <w:abstractNumId w:val="106"/>
  </w:num>
  <w:num w:numId="66" w16cid:durableId="834301129">
    <w:abstractNumId w:val="28"/>
  </w:num>
  <w:num w:numId="67" w16cid:durableId="694842860">
    <w:abstractNumId w:val="44"/>
  </w:num>
  <w:num w:numId="68" w16cid:durableId="490873895">
    <w:abstractNumId w:val="47"/>
  </w:num>
  <w:num w:numId="69" w16cid:durableId="1964848651">
    <w:abstractNumId w:val="45"/>
  </w:num>
  <w:num w:numId="70" w16cid:durableId="166872794">
    <w:abstractNumId w:val="0"/>
  </w:num>
  <w:num w:numId="71" w16cid:durableId="1147627223">
    <w:abstractNumId w:val="72"/>
  </w:num>
  <w:num w:numId="72" w16cid:durableId="1425570594">
    <w:abstractNumId w:val="25"/>
  </w:num>
  <w:num w:numId="73" w16cid:durableId="330522150">
    <w:abstractNumId w:val="40"/>
  </w:num>
  <w:num w:numId="74" w16cid:durableId="1165390832">
    <w:abstractNumId w:val="14"/>
  </w:num>
  <w:num w:numId="75" w16cid:durableId="2112117919">
    <w:abstractNumId w:val="118"/>
  </w:num>
  <w:num w:numId="76" w16cid:durableId="1517379190">
    <w:abstractNumId w:val="17"/>
  </w:num>
  <w:num w:numId="77" w16cid:durableId="1043364364">
    <w:abstractNumId w:val="26"/>
  </w:num>
  <w:num w:numId="78" w16cid:durableId="1075738214">
    <w:abstractNumId w:val="108"/>
  </w:num>
  <w:num w:numId="79" w16cid:durableId="1869025596">
    <w:abstractNumId w:val="97"/>
  </w:num>
  <w:num w:numId="80" w16cid:durableId="1836534340">
    <w:abstractNumId w:val="82"/>
  </w:num>
  <w:num w:numId="81" w16cid:durableId="1550148320">
    <w:abstractNumId w:val="38"/>
  </w:num>
  <w:num w:numId="82" w16cid:durableId="1281257964">
    <w:abstractNumId w:val="89"/>
  </w:num>
  <w:num w:numId="83" w16cid:durableId="863058909">
    <w:abstractNumId w:val="43"/>
  </w:num>
  <w:num w:numId="84" w16cid:durableId="962732314">
    <w:abstractNumId w:val="60"/>
  </w:num>
  <w:num w:numId="85" w16cid:durableId="284115686">
    <w:abstractNumId w:val="80"/>
  </w:num>
  <w:num w:numId="86" w16cid:durableId="235942765">
    <w:abstractNumId w:val="51"/>
  </w:num>
  <w:num w:numId="87" w16cid:durableId="215551108">
    <w:abstractNumId w:val="22"/>
  </w:num>
  <w:num w:numId="88" w16cid:durableId="1209609462">
    <w:abstractNumId w:val="81"/>
  </w:num>
  <w:num w:numId="89" w16cid:durableId="896814808">
    <w:abstractNumId w:val="31"/>
  </w:num>
  <w:num w:numId="90" w16cid:durableId="572662666">
    <w:abstractNumId w:val="110"/>
  </w:num>
  <w:num w:numId="91" w16cid:durableId="1075123444">
    <w:abstractNumId w:val="71"/>
  </w:num>
  <w:num w:numId="92" w16cid:durableId="1182621263">
    <w:abstractNumId w:val="42"/>
  </w:num>
  <w:num w:numId="93" w16cid:durableId="1550337239">
    <w:abstractNumId w:val="83"/>
  </w:num>
  <w:num w:numId="94" w16cid:durableId="827596497">
    <w:abstractNumId w:val="3"/>
  </w:num>
  <w:num w:numId="95" w16cid:durableId="775294042">
    <w:abstractNumId w:val="2"/>
  </w:num>
  <w:num w:numId="96" w16cid:durableId="141777720">
    <w:abstractNumId w:val="15"/>
  </w:num>
  <w:num w:numId="97" w16cid:durableId="297883843">
    <w:abstractNumId w:val="68"/>
  </w:num>
  <w:num w:numId="98" w16cid:durableId="2011445039">
    <w:abstractNumId w:val="98"/>
  </w:num>
  <w:num w:numId="99" w16cid:durableId="1442409559">
    <w:abstractNumId w:val="69"/>
  </w:num>
  <w:num w:numId="100" w16cid:durableId="978388211">
    <w:abstractNumId w:val="10"/>
  </w:num>
  <w:num w:numId="101" w16cid:durableId="878206150">
    <w:abstractNumId w:val="16"/>
  </w:num>
  <w:num w:numId="102" w16cid:durableId="648558843">
    <w:abstractNumId w:val="95"/>
  </w:num>
  <w:num w:numId="103" w16cid:durableId="1496143105">
    <w:abstractNumId w:val="33"/>
  </w:num>
  <w:num w:numId="104" w16cid:durableId="82529634">
    <w:abstractNumId w:val="59"/>
  </w:num>
  <w:num w:numId="105" w16cid:durableId="180777922">
    <w:abstractNumId w:val="30"/>
  </w:num>
  <w:num w:numId="106" w16cid:durableId="2083409508">
    <w:abstractNumId w:val="50"/>
  </w:num>
  <w:num w:numId="107" w16cid:durableId="1450471796">
    <w:abstractNumId w:val="73"/>
  </w:num>
  <w:num w:numId="108" w16cid:durableId="972295706">
    <w:abstractNumId w:val="5"/>
  </w:num>
  <w:num w:numId="109" w16cid:durableId="1124885879">
    <w:abstractNumId w:val="74"/>
  </w:num>
  <w:num w:numId="110" w16cid:durableId="519004498">
    <w:abstractNumId w:val="93"/>
  </w:num>
  <w:num w:numId="111" w16cid:durableId="38672807">
    <w:abstractNumId w:val="84"/>
  </w:num>
  <w:num w:numId="112" w16cid:durableId="772281087">
    <w:abstractNumId w:val="109"/>
  </w:num>
  <w:num w:numId="113" w16cid:durableId="118040348">
    <w:abstractNumId w:val="34"/>
  </w:num>
  <w:num w:numId="114" w16cid:durableId="1741905730">
    <w:abstractNumId w:val="39"/>
  </w:num>
  <w:num w:numId="115" w16cid:durableId="58599964">
    <w:abstractNumId w:val="35"/>
  </w:num>
  <w:num w:numId="116" w16cid:durableId="1227062606">
    <w:abstractNumId w:val="96"/>
  </w:num>
  <w:num w:numId="117" w16cid:durableId="1769033598">
    <w:abstractNumId w:val="86"/>
  </w:num>
  <w:num w:numId="118" w16cid:durableId="1224605735">
    <w:abstractNumId w:val="113"/>
  </w:num>
  <w:num w:numId="119" w16cid:durableId="1432579598">
    <w:abstractNumId w:val="87"/>
  </w:num>
  <w:num w:numId="120" w16cid:durableId="8585904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3BC8"/>
    <w:rsid w:val="000A606A"/>
    <w:rsid w:val="000D0DBD"/>
    <w:rsid w:val="000E789B"/>
    <w:rsid w:val="000F5883"/>
    <w:rsid w:val="0010129B"/>
    <w:rsid w:val="0010169C"/>
    <w:rsid w:val="001262E5"/>
    <w:rsid w:val="001453E5"/>
    <w:rsid w:val="00157780"/>
    <w:rsid w:val="00185544"/>
    <w:rsid w:val="001F0CAF"/>
    <w:rsid w:val="001F60A2"/>
    <w:rsid w:val="0020080B"/>
    <w:rsid w:val="00205548"/>
    <w:rsid w:val="00214670"/>
    <w:rsid w:val="00307CA6"/>
    <w:rsid w:val="003879C8"/>
    <w:rsid w:val="003902FF"/>
    <w:rsid w:val="003935ED"/>
    <w:rsid w:val="003C762D"/>
    <w:rsid w:val="003D16C6"/>
    <w:rsid w:val="003D3AFA"/>
    <w:rsid w:val="003E558E"/>
    <w:rsid w:val="003E6902"/>
    <w:rsid w:val="00455286"/>
    <w:rsid w:val="004632B4"/>
    <w:rsid w:val="00593F8E"/>
    <w:rsid w:val="00597C84"/>
    <w:rsid w:val="005B0C17"/>
    <w:rsid w:val="005C683A"/>
    <w:rsid w:val="0064762C"/>
    <w:rsid w:val="00671E08"/>
    <w:rsid w:val="0068654B"/>
    <w:rsid w:val="006A2494"/>
    <w:rsid w:val="006C6AE2"/>
    <w:rsid w:val="00700D10"/>
    <w:rsid w:val="007541A5"/>
    <w:rsid w:val="007617BF"/>
    <w:rsid w:val="00772E8E"/>
    <w:rsid w:val="008007CD"/>
    <w:rsid w:val="00834CE1"/>
    <w:rsid w:val="008362EF"/>
    <w:rsid w:val="0086281E"/>
    <w:rsid w:val="00863DA5"/>
    <w:rsid w:val="008815E4"/>
    <w:rsid w:val="008A7DC0"/>
    <w:rsid w:val="008D0FB8"/>
    <w:rsid w:val="008F451C"/>
    <w:rsid w:val="00940A8A"/>
    <w:rsid w:val="009444E5"/>
    <w:rsid w:val="0096214B"/>
    <w:rsid w:val="00993847"/>
    <w:rsid w:val="009A7ED7"/>
    <w:rsid w:val="009C3F6B"/>
    <w:rsid w:val="009D00A2"/>
    <w:rsid w:val="009F7A01"/>
    <w:rsid w:val="00A02386"/>
    <w:rsid w:val="00A360BF"/>
    <w:rsid w:val="00A43C92"/>
    <w:rsid w:val="00A74C21"/>
    <w:rsid w:val="00AB26D6"/>
    <w:rsid w:val="00AB7807"/>
    <w:rsid w:val="00AE4493"/>
    <w:rsid w:val="00AF3D52"/>
    <w:rsid w:val="00B02341"/>
    <w:rsid w:val="00B321CC"/>
    <w:rsid w:val="00B41AFC"/>
    <w:rsid w:val="00B90F9E"/>
    <w:rsid w:val="00BB1802"/>
    <w:rsid w:val="00BD4D53"/>
    <w:rsid w:val="00BD63D7"/>
    <w:rsid w:val="00C041D3"/>
    <w:rsid w:val="00C35E1C"/>
    <w:rsid w:val="00C46BA0"/>
    <w:rsid w:val="00C47C9F"/>
    <w:rsid w:val="00C65F20"/>
    <w:rsid w:val="00CA3315"/>
    <w:rsid w:val="00CA66D3"/>
    <w:rsid w:val="00CF1572"/>
    <w:rsid w:val="00CF1E96"/>
    <w:rsid w:val="00D25C61"/>
    <w:rsid w:val="00D3454E"/>
    <w:rsid w:val="00D53B1B"/>
    <w:rsid w:val="00DA3E03"/>
    <w:rsid w:val="00DB1373"/>
    <w:rsid w:val="00DE3702"/>
    <w:rsid w:val="00E33AB3"/>
    <w:rsid w:val="00E4584D"/>
    <w:rsid w:val="00E86619"/>
    <w:rsid w:val="00E86A4C"/>
    <w:rsid w:val="00EA675B"/>
    <w:rsid w:val="00EB6CE8"/>
    <w:rsid w:val="00F36E49"/>
    <w:rsid w:val="00F649B4"/>
    <w:rsid w:val="00F70024"/>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 w:type="character" w:customStyle="1" w:styleId="s3">
    <w:name w:val="s3"/>
    <w:basedOn w:val="a0"/>
    <w:rsid w:val="00EA675B"/>
    <w:rPr>
      <w:rFonts w:ascii="Arial" w:hAnsi="Arial" w:cs="Arial"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237789194">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81779714">
      <w:bodyDiv w:val="1"/>
      <w:marLeft w:val="0"/>
      <w:marRight w:val="0"/>
      <w:marTop w:val="0"/>
      <w:marBottom w:val="0"/>
      <w:divBdr>
        <w:top w:val="none" w:sz="0" w:space="0" w:color="auto"/>
        <w:left w:val="none" w:sz="0" w:space="0" w:color="auto"/>
        <w:bottom w:val="none" w:sz="0" w:space="0" w:color="auto"/>
        <w:right w:val="none" w:sz="0" w:space="0" w:color="auto"/>
      </w:divBdr>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38819609">
      <w:bodyDiv w:val="1"/>
      <w:marLeft w:val="0"/>
      <w:marRight w:val="0"/>
      <w:marTop w:val="0"/>
      <w:marBottom w:val="0"/>
      <w:divBdr>
        <w:top w:val="none" w:sz="0" w:space="0" w:color="auto"/>
        <w:left w:val="none" w:sz="0" w:space="0" w:color="auto"/>
        <w:bottom w:val="none" w:sz="0" w:space="0" w:color="auto"/>
        <w:right w:val="none" w:sz="0" w:space="0" w:color="auto"/>
      </w:divBdr>
      <w:divsChild>
        <w:div w:id="1603368807">
          <w:marLeft w:val="0"/>
          <w:marRight w:val="0"/>
          <w:marTop w:val="0"/>
          <w:marBottom w:val="0"/>
          <w:divBdr>
            <w:top w:val="none" w:sz="0" w:space="0" w:color="auto"/>
            <w:left w:val="none" w:sz="0" w:space="0" w:color="auto"/>
            <w:bottom w:val="none" w:sz="0" w:space="0" w:color="auto"/>
            <w:right w:val="none" w:sz="0" w:space="0" w:color="auto"/>
          </w:divBdr>
          <w:divsChild>
            <w:div w:id="1936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0811">
      <w:bodyDiv w:val="1"/>
      <w:marLeft w:val="0"/>
      <w:marRight w:val="0"/>
      <w:marTop w:val="0"/>
      <w:marBottom w:val="0"/>
      <w:divBdr>
        <w:top w:val="none" w:sz="0" w:space="0" w:color="auto"/>
        <w:left w:val="none" w:sz="0" w:space="0" w:color="auto"/>
        <w:bottom w:val="none" w:sz="0" w:space="0" w:color="auto"/>
        <w:right w:val="none" w:sz="0" w:space="0" w:color="auto"/>
      </w:divBdr>
    </w:div>
    <w:div w:id="748582259">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13392068">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6722">
      <w:bodyDiv w:val="1"/>
      <w:marLeft w:val="0"/>
      <w:marRight w:val="0"/>
      <w:marTop w:val="0"/>
      <w:marBottom w:val="0"/>
      <w:divBdr>
        <w:top w:val="none" w:sz="0" w:space="0" w:color="auto"/>
        <w:left w:val="none" w:sz="0" w:space="0" w:color="auto"/>
        <w:bottom w:val="none" w:sz="0" w:space="0" w:color="auto"/>
        <w:right w:val="none" w:sz="0" w:space="0" w:color="auto"/>
      </w:divBdr>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270627927">
      <w:bodyDiv w:val="1"/>
      <w:marLeft w:val="0"/>
      <w:marRight w:val="0"/>
      <w:marTop w:val="0"/>
      <w:marBottom w:val="0"/>
      <w:divBdr>
        <w:top w:val="none" w:sz="0" w:space="0" w:color="auto"/>
        <w:left w:val="none" w:sz="0" w:space="0" w:color="auto"/>
        <w:bottom w:val="none" w:sz="0" w:space="0" w:color="auto"/>
        <w:right w:val="none" w:sz="0" w:space="0" w:color="auto"/>
      </w:divBdr>
    </w:div>
    <w:div w:id="1270818126">
      <w:bodyDiv w:val="1"/>
      <w:marLeft w:val="0"/>
      <w:marRight w:val="0"/>
      <w:marTop w:val="0"/>
      <w:marBottom w:val="0"/>
      <w:divBdr>
        <w:top w:val="none" w:sz="0" w:space="0" w:color="auto"/>
        <w:left w:val="none" w:sz="0" w:space="0" w:color="auto"/>
        <w:bottom w:val="none" w:sz="0" w:space="0" w:color="auto"/>
        <w:right w:val="none" w:sz="0" w:space="0" w:color="auto"/>
      </w:divBdr>
    </w:div>
    <w:div w:id="1314987825">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7137512">
      <w:bodyDiv w:val="1"/>
      <w:marLeft w:val="0"/>
      <w:marRight w:val="0"/>
      <w:marTop w:val="0"/>
      <w:marBottom w:val="0"/>
      <w:divBdr>
        <w:top w:val="none" w:sz="0" w:space="0" w:color="auto"/>
        <w:left w:val="none" w:sz="0" w:space="0" w:color="auto"/>
        <w:bottom w:val="none" w:sz="0" w:space="0" w:color="auto"/>
        <w:right w:val="none" w:sz="0" w:space="0" w:color="auto"/>
      </w:divBdr>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91151">
      <w:bodyDiv w:val="1"/>
      <w:marLeft w:val="0"/>
      <w:marRight w:val="0"/>
      <w:marTop w:val="0"/>
      <w:marBottom w:val="0"/>
      <w:divBdr>
        <w:top w:val="none" w:sz="0" w:space="0" w:color="auto"/>
        <w:left w:val="none" w:sz="0" w:space="0" w:color="auto"/>
        <w:bottom w:val="none" w:sz="0" w:space="0" w:color="auto"/>
        <w:right w:val="none" w:sz="0" w:space="0" w:color="auto"/>
      </w:divBdr>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263">
      <w:bodyDiv w:val="1"/>
      <w:marLeft w:val="0"/>
      <w:marRight w:val="0"/>
      <w:marTop w:val="0"/>
      <w:marBottom w:val="0"/>
      <w:divBdr>
        <w:top w:val="none" w:sz="0" w:space="0" w:color="auto"/>
        <w:left w:val="none" w:sz="0" w:space="0" w:color="auto"/>
        <w:bottom w:val="none" w:sz="0" w:space="0" w:color="auto"/>
        <w:right w:val="none" w:sz="0" w:space="0" w:color="auto"/>
      </w:divBdr>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738867243">
      <w:bodyDiv w:val="1"/>
      <w:marLeft w:val="0"/>
      <w:marRight w:val="0"/>
      <w:marTop w:val="0"/>
      <w:marBottom w:val="0"/>
      <w:divBdr>
        <w:top w:val="none" w:sz="0" w:space="0" w:color="auto"/>
        <w:left w:val="none" w:sz="0" w:space="0" w:color="auto"/>
        <w:bottom w:val="none" w:sz="0" w:space="0" w:color="auto"/>
        <w:right w:val="none" w:sz="0" w:space="0" w:color="auto"/>
      </w:divBdr>
    </w:div>
    <w:div w:id="1806041972">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31890081">
      <w:bodyDiv w:val="1"/>
      <w:marLeft w:val="0"/>
      <w:marRight w:val="0"/>
      <w:marTop w:val="0"/>
      <w:marBottom w:val="0"/>
      <w:divBdr>
        <w:top w:val="none" w:sz="0" w:space="0" w:color="auto"/>
        <w:left w:val="none" w:sz="0" w:space="0" w:color="auto"/>
        <w:bottom w:val="none" w:sz="0" w:space="0" w:color="auto"/>
        <w:right w:val="none" w:sz="0" w:space="0" w:color="auto"/>
      </w:divBdr>
    </w:div>
    <w:div w:id="1944339463">
      <w:bodyDiv w:val="1"/>
      <w:marLeft w:val="0"/>
      <w:marRight w:val="0"/>
      <w:marTop w:val="0"/>
      <w:marBottom w:val="0"/>
      <w:divBdr>
        <w:top w:val="none" w:sz="0" w:space="0" w:color="auto"/>
        <w:left w:val="none" w:sz="0" w:space="0" w:color="auto"/>
        <w:bottom w:val="none" w:sz="0" w:space="0" w:color="auto"/>
        <w:right w:val="none" w:sz="0" w:space="0" w:color="auto"/>
      </w:divBdr>
    </w:div>
    <w:div w:id="1955356145">
      <w:bodyDiv w:val="1"/>
      <w:marLeft w:val="0"/>
      <w:marRight w:val="0"/>
      <w:marTop w:val="0"/>
      <w:marBottom w:val="0"/>
      <w:divBdr>
        <w:top w:val="none" w:sz="0" w:space="0" w:color="auto"/>
        <w:left w:val="none" w:sz="0" w:space="0" w:color="auto"/>
        <w:bottom w:val="none" w:sz="0" w:space="0" w:color="auto"/>
        <w:right w:val="none" w:sz="0" w:space="0" w:color="auto"/>
      </w:divBdr>
    </w:div>
    <w:div w:id="1956328093">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089184643">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me.gov.ua/Documents/Detail%3Fid%3D17f558a7-b4b4-42ca-b662-2811f42d4a33" TargetMode="External"/><Relationship Id="rId13" Type="http://schemas.openxmlformats.org/officeDocument/2006/relationships/hyperlink" Target="https://epo.org.ua/" TargetMode="External"/><Relationship Id="rId3" Type="http://schemas.openxmlformats.org/officeDocument/2006/relationships/styles" Target="styles.xml"/><Relationship Id="rId7" Type="http://schemas.openxmlformats.org/officeDocument/2006/relationships/hyperlink" Target="https://zakon.rada.gov.ua/laws/show/1115-IX" TargetMode="External"/><Relationship Id="rId12" Type="http://schemas.openxmlformats.org/officeDocument/2006/relationships/hyperlink" Target="https://niss.gov.ua/doslidzhennya/mizhnarodni-vidnosyny/liberalizatsiya-velykoyu-brytaniyeyu-torhivli-z-ukrayinoy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ogle.com/search?q=https://zakon.rada.gov.ua/laws/show/824_001-20" TargetMode="External"/><Relationship Id="rId11" Type="http://schemas.openxmlformats.org/officeDocument/2006/relationships/hyperlink" Target="https://www.business.gov.uk/export-from-uk/markets/ukraine/support-for-exporting-to-ukraine/" TargetMode="External"/><Relationship Id="rId5" Type="http://schemas.openxmlformats.org/officeDocument/2006/relationships/webSettings" Target="webSettings.xml"/><Relationship Id="rId15" Type="http://schemas.openxmlformats.org/officeDocument/2006/relationships/hyperlink" Target="https://www.google.com/search?q=https://customs.gov.ua/statistika" TargetMode="External"/><Relationship Id="rId10" Type="http://schemas.openxmlformats.org/officeDocument/2006/relationships/hyperlink" Target="https://www.google.com/search?q=https://www.gov.uk/guidance/trade-with-ukraine" TargetMode="External"/><Relationship Id="rId4" Type="http://schemas.openxmlformats.org/officeDocument/2006/relationships/settings" Target="settings.xml"/><Relationship Id="rId9" Type="http://schemas.openxmlformats.org/officeDocument/2006/relationships/hyperlink" Target="https://www.google.com/search?q=https://business.diia.gov.ua/export/velyka-brytaniia/fta" TargetMode="External"/><Relationship Id="rId14" Type="http://schemas.openxmlformats.org/officeDocument/2006/relationships/hyperlink" Target="https://www.ukrstat.gov.ua/operativ/menu/menu_u/zed.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3074</Words>
  <Characters>17526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2025-11-12T10:15:00Z</dcterms:created>
  <dcterms:modified xsi:type="dcterms:W3CDTF">2025-11-13T10:18:00Z</dcterms:modified>
</cp:coreProperties>
</file>