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Шаблон фандрейзингового плану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1. Загальна інформація про організацію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Назва організації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Рік заснування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Місія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Основна цільова аудиторія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Географія діяльності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Ключові напрямки роботи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2. Мета фандрайзингової діяльності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Загальна мета залучення ресурсів на </w:t>
      </w:r>
      <w:r w:rsidDel="00000000" w:rsidR="00000000" w:rsidRPr="00000000">
        <w:rPr>
          <w:rtl w:val="0"/>
        </w:rPr>
        <w:t xml:space="preserve">2025 (2026)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рік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Цільова сума (грн/євро/дол.)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Пріоритетні напрямки, які потребують фінансування</w:t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3. Цілі фандрайзингового плану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sdt>
        <w:sdtPr>
          <w:id w:val="-970022664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Забезпечити фінансування ___% бюджету з позагрантових джерел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Залучити не менше ніж ___ нових донорів</w:t>
      </w:r>
    </w:p>
    <w:p w:rsidR="00000000" w:rsidDel="00000000" w:rsidP="00000000" w:rsidRDefault="00000000" w:rsidRPr="00000000" w14:paraId="00000011">
      <w:pPr>
        <w:pStyle w:val="Heading1"/>
        <w:rPr/>
      </w:pPr>
      <w:sdt>
        <w:sdtPr>
          <w:id w:val="47639726"/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4. Цільові групи донорів та джерела фінансування </w:t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5. План заходів на рік</w:t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6. Відповідальні особи та команди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7. Індикатори успішності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Загальна зібрана сума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Кількість нових донорів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Частка регулярних внесків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Кількість партнерських угод</w:t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8. Комунікаційна підтримка фандрайзингу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Сторінка «Підтримати» на сайті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Закріплена інформація в соціальних мережах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360"/>
      </w:pPr>
      <w:r w:rsidDel="00000000" w:rsidR="00000000" w:rsidRPr="00000000">
        <w:rPr>
          <w:rtl w:val="0"/>
        </w:rPr>
        <w:t xml:space="preserve">Сторітелінг, пости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360"/>
      </w:pPr>
      <w:r w:rsidDel="00000000" w:rsidR="00000000" w:rsidRPr="00000000">
        <w:rPr>
          <w:rtl w:val="0"/>
        </w:rPr>
        <w:t xml:space="preserve">Розсилки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Співпраця з амбасадорами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Шаблони листів подяки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Інформування про результати зборів</w:t>
      </w:r>
    </w:p>
    <w:p w:rsidR="00000000" w:rsidDel="00000000" w:rsidP="00000000" w:rsidRDefault="00000000" w:rsidRPr="00000000" w14:paraId="00000021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Vitalina Nagorna" w:id="1" w:date="2025-04-09T06:17:08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ці пункти можна заповнювати тут, а можна в екселі, щоб легше відслідковувати, а можна лише в екселі, якщо всі інші блоки є в інших документах (стратегія, комункаційний план тощо)</w:t>
      </w:r>
    </w:p>
  </w:comment>
  <w:comment w:author="Vitalina Nagorna" w:id="0" w:date="2025-04-09T06:16:40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(Це приклад, можуть бути інші цілі)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3" w15:done="0"/>
  <w15:commentEx w15:paraId="0000002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S2c8gi3cJqB6A7tBZl7DtEybVw==">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