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Практичне заняття 2.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Завдання 1.</w:t>
      </w:r>
      <w:r>
        <w:rPr/>
        <w:t xml:space="preserve"> Обрати із  списку стратегію бенчмаркінгу та охарактеризувати особливості, переваги і недоліки, принципи впровадження стратегії в життя. А також провести аналогію з українськими компаніями. Чи використовують українські фірми той чи інший тип стратегії? Якщо так, то які? Результати дослідження оформити у вигляді звіту та презентації Power Point.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1. Бенчмаркінг стратегій бізнесу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Стратегії організацій (General Electric, SMH, Citizen)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Шлях до успіху (IBM)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Стратегія в умовах невизначеності (Credit Lyonnais, UMC, USA Today, Palm, Qualcomm)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Мережеві стратегії (Kraft Foods, Syngenta)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Творчі стратегії (Cisco Systems, Gillette)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Стратегія як мистецтво думати (Benetton)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>Ефективні моделі бізнесу, логіка розвитку бізнесу (Skoda A.S., Guinnes, Nestle)</w:t>
      </w:r>
    </w:p>
    <w:p>
      <w:pPr>
        <w:pStyle w:val="Normal"/>
        <w:bidi w:val="0"/>
        <w:jc w:val="both"/>
        <w:rPr/>
      </w:pPr>
      <w:r>
        <w:rPr/>
        <w:t xml:space="preserve">  </w:t>
      </w:r>
      <w:r>
        <w:rPr/>
        <w:t xml:space="preserve">«Кругова піраміна» Семлера (Semco)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>Місія виконана - AT&amp;T, British Airways, Campbell Soup, Compaq, Gilette, Kodak, Lucent Technologies, Hewlett Packard, Motorola, Xerox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. Бенчмаркінг стратегій маркетингу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Зона цінності споживача (Hilton, Xerox Business Service, AutoNation, SYSCO)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Радикальний маркетинг (P&amp;G, Harley-Davidson, Philip Morris, Boston Beer Company)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Машина творчості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Особливості створення брендів-лідерів (Sony, Panasonic, Samsung, LG, BBH)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Маркетингові комунікації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Стратегія інсайтів (IKEA, DMB&amp;B)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Вірусний маркетинг (Granite Rock, Cemex)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>Тотальне управління грошима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 Бенчмаркінг стратегій управління персонало</w:t>
      </w:r>
      <w:r>
        <w:rPr>
          <w:b/>
          <w:bCs/>
        </w:rPr>
        <w:t>м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Внутрішні секрети успіху компаній (TMI, Skandia)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Типи кумунікаційних моделей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>Створення функціональн</w:t>
      </w:r>
      <w:r>
        <w:rPr/>
        <w:t>их</w:t>
      </w:r>
      <w:r>
        <w:rPr/>
        <w:t xml:space="preserve"> робоч</w:t>
      </w:r>
      <w:r>
        <w:rPr/>
        <w:t>их умов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>Як оточити себе великими людьми (Nike, Starbucks, Microsoft, Sun, Dell, Body Shop)</w:t>
      </w:r>
    </w:p>
    <w:p>
      <w:pPr>
        <w:pStyle w:val="Normal"/>
        <w:bidi w:val="0"/>
        <w:jc w:val="both"/>
        <w:rPr/>
      </w:pPr>
      <w:r>
        <w:rPr/>
        <w:t xml:space="preserve"> </w:t>
      </w:r>
      <w:r>
        <w:rPr/>
        <w:t xml:space="preserve">Управління змінами </w:t>
      </w:r>
    </w:p>
    <w:p>
      <w:pPr>
        <w:pStyle w:val="Normal"/>
        <w:bidi w:val="0"/>
        <w:jc w:val="both"/>
        <w:rPr/>
      </w:pPr>
      <w:r>
        <w:rPr/>
        <w:t xml:space="preserve"> </w:t>
      </w:r>
      <w:r>
        <w:rPr/>
        <w:t xml:space="preserve">Парадигма лідерства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LibreOffice/24.2.0.3$Windows_X86_64 LibreOffice_project/da48488a73ddd66ea24cf16bbc4f7b9c08e9bea1</Application>
  <AppVersion>15.0000</AppVersion>
  <Pages>1</Pages>
  <Words>225</Words>
  <Characters>1462</Characters>
  <CharactersWithSpaces>1681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2025-09-22T20:45:19Z</dcterms:created>
  <dc:creator/>
  <dc:description/>
  <dc:language>uk-UA</dc:language>
  <cp:lastModifiedBy/>
  <dcterms:modified xsi:type="dcterms:W3CDTF">2025-09-22T20:56:09Z</dcterms:modified>
  <cp:revision>3</cp:revision>
  <dc:subject/>
  <dc:title/>
</cp:coreProperties>
</file>