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4A" w:rsidRPr="0024494A" w:rsidRDefault="0024494A" w:rsidP="0024494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4A">
        <w:rPr>
          <w:rFonts w:ascii="Times New Roman" w:hAnsi="Times New Roman" w:cs="Times New Roman"/>
          <w:b/>
          <w:sz w:val="28"/>
          <w:szCs w:val="28"/>
        </w:rPr>
        <w:t>Теми рефератів та доповідей</w:t>
      </w:r>
    </w:p>
    <w:p w:rsidR="0024494A" w:rsidRPr="0024494A" w:rsidRDefault="0024494A" w:rsidP="0024494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94A">
        <w:rPr>
          <w:rFonts w:ascii="Times New Roman" w:hAnsi="Times New Roman" w:cs="Times New Roman"/>
          <w:sz w:val="28"/>
          <w:szCs w:val="28"/>
        </w:rPr>
        <w:t xml:space="preserve">1. Види людської діяльності (спілкування, гра, навчання, праця), їхнє 13 освоєння і розвиток. </w:t>
      </w:r>
    </w:p>
    <w:p w:rsidR="0024494A" w:rsidRPr="0024494A" w:rsidRDefault="0024494A" w:rsidP="0024494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94A">
        <w:rPr>
          <w:rFonts w:ascii="Times New Roman" w:hAnsi="Times New Roman" w:cs="Times New Roman"/>
          <w:sz w:val="28"/>
          <w:szCs w:val="28"/>
        </w:rPr>
        <w:t xml:space="preserve">2. Ігрова діяльність, її психологічні особливості та роль у психічному розвитку дитини </w:t>
      </w:r>
    </w:p>
    <w:p w:rsidR="0024494A" w:rsidRPr="0024494A" w:rsidRDefault="0024494A" w:rsidP="0024494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94A">
        <w:rPr>
          <w:rFonts w:ascii="Times New Roman" w:hAnsi="Times New Roman" w:cs="Times New Roman"/>
          <w:sz w:val="28"/>
          <w:szCs w:val="28"/>
        </w:rPr>
        <w:t xml:space="preserve">3. Ефективність та стилі спілкування («спільна творчість», «дружня прихильність», «загравання», «залякування», «дистанція», «менторський»). </w:t>
      </w:r>
    </w:p>
    <w:p w:rsidR="0024494A" w:rsidRPr="0024494A" w:rsidRDefault="0024494A" w:rsidP="0024494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4A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24494A" w:rsidRPr="0024494A" w:rsidRDefault="0024494A" w:rsidP="0024494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94A">
        <w:rPr>
          <w:rFonts w:ascii="Times New Roman" w:hAnsi="Times New Roman" w:cs="Times New Roman"/>
          <w:sz w:val="28"/>
          <w:szCs w:val="28"/>
        </w:rPr>
        <w:t xml:space="preserve">1. Навички й уміння. Етапи і фактори продуктивності формування навички. Взаємодія навичок. </w:t>
      </w:r>
    </w:p>
    <w:p w:rsidR="0024494A" w:rsidRPr="0024494A" w:rsidRDefault="0024494A" w:rsidP="0024494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94A">
        <w:rPr>
          <w:rFonts w:ascii="Times New Roman" w:hAnsi="Times New Roman" w:cs="Times New Roman"/>
          <w:sz w:val="28"/>
          <w:szCs w:val="28"/>
        </w:rPr>
        <w:t xml:space="preserve">2. Діяльність і імпульсивна поведінка. Зовнішня (фізична) і внутрішня (психічна) діяльність. </w:t>
      </w:r>
    </w:p>
    <w:p w:rsidR="009D2552" w:rsidRPr="0024494A" w:rsidRDefault="0024494A" w:rsidP="0024494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94A">
        <w:rPr>
          <w:rFonts w:ascii="Times New Roman" w:hAnsi="Times New Roman" w:cs="Times New Roman"/>
          <w:sz w:val="28"/>
          <w:szCs w:val="28"/>
        </w:rPr>
        <w:t>3. Функції спілкування: регулювання спільної діяльності; пізнання і формування свідомості людини; самовизнач</w:t>
      </w:r>
      <w:bookmarkStart w:id="0" w:name="_GoBack"/>
      <w:bookmarkEnd w:id="0"/>
      <w:r w:rsidRPr="0024494A">
        <w:rPr>
          <w:rFonts w:ascii="Times New Roman" w:hAnsi="Times New Roman" w:cs="Times New Roman"/>
          <w:sz w:val="28"/>
          <w:szCs w:val="28"/>
        </w:rPr>
        <w:t>ення індивіда та форми спілкування.</w:t>
      </w:r>
    </w:p>
    <w:sectPr w:rsidR="009D2552" w:rsidRPr="00244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4A"/>
    <w:rsid w:val="0024494A"/>
    <w:rsid w:val="00947B2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8802"/>
  <w15:chartTrackingRefBased/>
  <w15:docId w15:val="{B7085E19-E313-452E-8168-503BD5C3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2025-10-23T08:47:00Z</dcterms:created>
  <dcterms:modified xsi:type="dcterms:W3CDTF">2025-10-23T08:48:00Z</dcterms:modified>
</cp:coreProperties>
</file>