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DDD78" w14:textId="524E457E" w:rsidR="00084D1E" w:rsidRPr="005803A9" w:rsidRDefault="00084D1E" w:rsidP="00A13A7F">
      <w:pPr>
        <w:jc w:val="center"/>
        <w:rPr>
          <w:rFonts w:ascii="Times New Roman" w:hAnsi="Times New Roman" w:cs="Times New Roman"/>
          <w:b/>
          <w:bCs/>
          <w:sz w:val="28"/>
          <w:szCs w:val="28"/>
          <w:lang w:val="uk-UA"/>
        </w:rPr>
      </w:pPr>
      <w:r w:rsidRPr="005803A9">
        <w:rPr>
          <w:rFonts w:ascii="Times New Roman" w:hAnsi="Times New Roman" w:cs="Times New Roman"/>
          <w:b/>
          <w:bCs/>
          <w:sz w:val="28"/>
          <w:szCs w:val="28"/>
          <w:lang w:val="uk-UA"/>
        </w:rPr>
        <w:t>Лекція 1. Вступ до міжнародного гуманітарного права</w:t>
      </w:r>
    </w:p>
    <w:p w14:paraId="0D7F43F9" w14:textId="25AB9959" w:rsidR="00084D1E" w:rsidRPr="005803A9" w:rsidRDefault="00084D1E" w:rsidP="009F15A9">
      <w:pPr>
        <w:spacing w:line="240" w:lineRule="auto"/>
        <w:ind w:firstLine="709"/>
        <w:rPr>
          <w:rFonts w:ascii="Times New Roman" w:hAnsi="Times New Roman" w:cs="Times New Roman"/>
          <w:b/>
          <w:bCs/>
          <w:sz w:val="28"/>
          <w:szCs w:val="28"/>
          <w:lang w:val="uk-UA"/>
        </w:rPr>
      </w:pPr>
      <w:r w:rsidRPr="005803A9">
        <w:rPr>
          <w:rFonts w:ascii="Times New Roman" w:hAnsi="Times New Roman" w:cs="Times New Roman"/>
          <w:b/>
          <w:bCs/>
          <w:sz w:val="28"/>
          <w:szCs w:val="28"/>
          <w:lang w:val="uk-UA"/>
        </w:rPr>
        <w:t>1. Визначення та основні принципи міжнародного гуманітарного права.</w:t>
      </w:r>
    </w:p>
    <w:p w14:paraId="3EA3DA79" w14:textId="50A64BD0" w:rsidR="00084D1E" w:rsidRPr="005803A9" w:rsidRDefault="00084D1E" w:rsidP="009F15A9">
      <w:pPr>
        <w:spacing w:line="240" w:lineRule="auto"/>
        <w:ind w:firstLine="709"/>
        <w:rPr>
          <w:rFonts w:ascii="Times New Roman" w:hAnsi="Times New Roman" w:cs="Times New Roman"/>
          <w:b/>
          <w:bCs/>
          <w:sz w:val="28"/>
          <w:szCs w:val="28"/>
          <w:lang w:val="uk-UA"/>
        </w:rPr>
      </w:pPr>
      <w:r w:rsidRPr="005803A9">
        <w:rPr>
          <w:rFonts w:ascii="Times New Roman" w:hAnsi="Times New Roman" w:cs="Times New Roman"/>
          <w:b/>
          <w:bCs/>
          <w:sz w:val="28"/>
          <w:szCs w:val="28"/>
          <w:lang w:val="uk-UA"/>
        </w:rPr>
        <w:t>2. Джерела міжнародного гуманітарного права.</w:t>
      </w:r>
    </w:p>
    <w:p w14:paraId="1AC370D7" w14:textId="78C8DFE6" w:rsidR="00084D1E" w:rsidRPr="005803A9" w:rsidRDefault="00084D1E" w:rsidP="009F15A9">
      <w:pPr>
        <w:spacing w:line="240" w:lineRule="auto"/>
        <w:ind w:firstLine="709"/>
        <w:rPr>
          <w:rFonts w:ascii="Times New Roman" w:hAnsi="Times New Roman" w:cs="Times New Roman"/>
          <w:b/>
          <w:bCs/>
          <w:sz w:val="28"/>
          <w:szCs w:val="28"/>
          <w:lang w:val="uk-UA"/>
        </w:rPr>
      </w:pPr>
      <w:r w:rsidRPr="005803A9">
        <w:rPr>
          <w:rFonts w:ascii="Times New Roman" w:hAnsi="Times New Roman" w:cs="Times New Roman"/>
          <w:b/>
          <w:bCs/>
          <w:sz w:val="28"/>
          <w:szCs w:val="28"/>
          <w:lang w:val="uk-UA"/>
        </w:rPr>
        <w:t>3. Міжнародне гуманітарне право у міжнародному правопорядку.</w:t>
      </w:r>
    </w:p>
    <w:p w14:paraId="0724DBFE" w14:textId="00AC8502" w:rsidR="00084D1E" w:rsidRPr="005803A9" w:rsidRDefault="00084D1E" w:rsidP="009F15A9">
      <w:pPr>
        <w:spacing w:line="240" w:lineRule="auto"/>
        <w:ind w:firstLine="709"/>
        <w:rPr>
          <w:rFonts w:ascii="Times New Roman" w:hAnsi="Times New Roman" w:cs="Times New Roman"/>
          <w:b/>
          <w:bCs/>
          <w:sz w:val="28"/>
          <w:szCs w:val="28"/>
          <w:lang w:val="uk-UA"/>
        </w:rPr>
      </w:pPr>
      <w:r w:rsidRPr="005803A9">
        <w:rPr>
          <w:rFonts w:ascii="Times New Roman" w:hAnsi="Times New Roman" w:cs="Times New Roman"/>
          <w:b/>
          <w:bCs/>
          <w:sz w:val="28"/>
          <w:szCs w:val="28"/>
          <w:lang w:val="uk-UA"/>
        </w:rPr>
        <w:t>4. Історія розвитку міжнародного гуманітарного права</w:t>
      </w:r>
      <w:r w:rsidR="00A13A7F" w:rsidRPr="005803A9">
        <w:rPr>
          <w:rFonts w:ascii="Times New Roman" w:hAnsi="Times New Roman" w:cs="Times New Roman"/>
          <w:b/>
          <w:bCs/>
          <w:sz w:val="28"/>
          <w:szCs w:val="28"/>
          <w:lang w:val="uk-UA"/>
        </w:rPr>
        <w:t xml:space="preserve"> та нові випробування.</w:t>
      </w:r>
    </w:p>
    <w:p w14:paraId="07066133" w14:textId="77777777" w:rsidR="00084D1E" w:rsidRPr="005803A9" w:rsidRDefault="00084D1E" w:rsidP="00084D1E">
      <w:pPr>
        <w:rPr>
          <w:rFonts w:ascii="Times New Roman" w:hAnsi="Times New Roman" w:cs="Times New Roman"/>
          <w:sz w:val="28"/>
          <w:szCs w:val="28"/>
          <w:lang w:val="uk-UA"/>
        </w:rPr>
      </w:pPr>
    </w:p>
    <w:p w14:paraId="7FB5EB88" w14:textId="064076D7" w:rsidR="00084D1E" w:rsidRPr="005803A9" w:rsidRDefault="00084D1E" w:rsidP="00084D1E">
      <w:pPr>
        <w:jc w:val="center"/>
        <w:rPr>
          <w:rFonts w:ascii="Times New Roman" w:hAnsi="Times New Roman" w:cs="Times New Roman"/>
          <w:b/>
          <w:bCs/>
          <w:sz w:val="28"/>
          <w:szCs w:val="28"/>
          <w:lang w:val="uk-UA"/>
        </w:rPr>
      </w:pPr>
      <w:r w:rsidRPr="005803A9">
        <w:rPr>
          <w:rFonts w:ascii="Times New Roman" w:hAnsi="Times New Roman" w:cs="Times New Roman"/>
          <w:b/>
          <w:bCs/>
          <w:sz w:val="28"/>
          <w:szCs w:val="28"/>
          <w:lang w:val="uk-UA"/>
        </w:rPr>
        <w:t>1. Визначення та основні принципи міжнародного гуманітарного права</w:t>
      </w:r>
    </w:p>
    <w:p w14:paraId="3FC96851" w14:textId="326E5910" w:rsidR="00615B26" w:rsidRPr="005803A9" w:rsidRDefault="009F15A9" w:rsidP="009F15A9">
      <w:pPr>
        <w:pStyle w:val="p1"/>
        <w:ind w:firstLine="709"/>
        <w:jc w:val="both"/>
        <w:rPr>
          <w:rFonts w:ascii="Times New Roman" w:hAnsi="Times New Roman"/>
          <w:sz w:val="28"/>
          <w:szCs w:val="28"/>
          <w:lang w:val="uk-UA"/>
        </w:rPr>
      </w:pPr>
      <w:r w:rsidRPr="005803A9">
        <w:rPr>
          <w:rFonts w:ascii="Times New Roman" w:hAnsi="Times New Roman"/>
          <w:sz w:val="28"/>
          <w:szCs w:val="28"/>
          <w:u w:val="single"/>
          <w:lang w:val="uk-UA"/>
        </w:rPr>
        <w:t>Міжнародне гуманітарне право (МГП)</w:t>
      </w:r>
      <w:r w:rsidR="00084D1E" w:rsidRPr="005803A9">
        <w:rPr>
          <w:rFonts w:ascii="Times New Roman" w:hAnsi="Times New Roman"/>
          <w:sz w:val="28"/>
          <w:szCs w:val="28"/>
          <w:lang w:val="uk-UA"/>
        </w:rPr>
        <w:t xml:space="preserve"> – це сукупність норм, спрямованих на обмеження гуманітарних</w:t>
      </w:r>
      <w:r w:rsidR="00615B26" w:rsidRPr="005803A9">
        <w:rPr>
          <w:rFonts w:ascii="Times New Roman" w:hAnsi="Times New Roman"/>
          <w:sz w:val="28"/>
          <w:szCs w:val="28"/>
          <w:lang w:val="uk-UA"/>
        </w:rPr>
        <w:t xml:space="preserve"> </w:t>
      </w:r>
      <w:r w:rsidR="00084D1E" w:rsidRPr="005803A9">
        <w:rPr>
          <w:rFonts w:ascii="Times New Roman" w:hAnsi="Times New Roman"/>
          <w:sz w:val="28"/>
          <w:szCs w:val="28"/>
          <w:lang w:val="uk-UA"/>
        </w:rPr>
        <w:t>наслідків збройних конфліктів. Його іноді також називають правом</w:t>
      </w:r>
      <w:r w:rsidR="00615B26" w:rsidRPr="005803A9">
        <w:rPr>
          <w:rFonts w:ascii="Times New Roman" w:hAnsi="Times New Roman"/>
          <w:sz w:val="28"/>
          <w:szCs w:val="28"/>
          <w:lang w:val="uk-UA"/>
        </w:rPr>
        <w:t xml:space="preserve"> </w:t>
      </w:r>
      <w:r w:rsidR="00084D1E" w:rsidRPr="005803A9">
        <w:rPr>
          <w:rFonts w:ascii="Times New Roman" w:hAnsi="Times New Roman"/>
          <w:sz w:val="28"/>
          <w:szCs w:val="28"/>
          <w:lang w:val="uk-UA"/>
        </w:rPr>
        <w:t>збройних конфліктів або правом війни (</w:t>
      </w:r>
      <w:proofErr w:type="spellStart"/>
      <w:r w:rsidR="00084D1E" w:rsidRPr="005803A9">
        <w:rPr>
          <w:rFonts w:ascii="Times New Roman" w:hAnsi="Times New Roman"/>
          <w:sz w:val="28"/>
          <w:szCs w:val="28"/>
          <w:lang w:val="uk-UA"/>
        </w:rPr>
        <w:t>jus</w:t>
      </w:r>
      <w:proofErr w:type="spellEnd"/>
      <w:r w:rsidR="00084D1E" w:rsidRPr="005803A9">
        <w:rPr>
          <w:rFonts w:ascii="Times New Roman" w:hAnsi="Times New Roman"/>
          <w:sz w:val="28"/>
          <w:szCs w:val="28"/>
          <w:lang w:val="uk-UA"/>
        </w:rPr>
        <w:t xml:space="preserve"> </w:t>
      </w:r>
      <w:proofErr w:type="spellStart"/>
      <w:r w:rsidR="00084D1E" w:rsidRPr="005803A9">
        <w:rPr>
          <w:rFonts w:ascii="Times New Roman" w:hAnsi="Times New Roman"/>
          <w:sz w:val="28"/>
          <w:szCs w:val="28"/>
          <w:lang w:val="uk-UA"/>
        </w:rPr>
        <w:t>in</w:t>
      </w:r>
      <w:proofErr w:type="spellEnd"/>
      <w:r w:rsidR="00084D1E" w:rsidRPr="005803A9">
        <w:rPr>
          <w:rFonts w:ascii="Times New Roman" w:hAnsi="Times New Roman"/>
          <w:sz w:val="28"/>
          <w:szCs w:val="28"/>
          <w:lang w:val="uk-UA"/>
        </w:rPr>
        <w:t xml:space="preserve"> </w:t>
      </w:r>
      <w:proofErr w:type="spellStart"/>
      <w:r w:rsidR="00084D1E" w:rsidRPr="005803A9">
        <w:rPr>
          <w:rFonts w:ascii="Times New Roman" w:hAnsi="Times New Roman"/>
          <w:sz w:val="28"/>
          <w:szCs w:val="28"/>
          <w:lang w:val="uk-UA"/>
        </w:rPr>
        <w:t>bello</w:t>
      </w:r>
      <w:proofErr w:type="spellEnd"/>
      <w:r w:rsidR="00084D1E" w:rsidRPr="005803A9">
        <w:rPr>
          <w:rFonts w:ascii="Times New Roman" w:hAnsi="Times New Roman"/>
          <w:sz w:val="28"/>
          <w:szCs w:val="28"/>
          <w:lang w:val="uk-UA"/>
        </w:rPr>
        <w:t xml:space="preserve">). </w:t>
      </w:r>
    </w:p>
    <w:p w14:paraId="1288B011" w14:textId="2DFA24F4"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i/>
          <w:iCs/>
          <w:sz w:val="28"/>
          <w:szCs w:val="28"/>
          <w:lang w:val="uk-UA"/>
        </w:rPr>
        <w:t>Основна</w:t>
      </w:r>
      <w:r w:rsidRPr="005803A9">
        <w:rPr>
          <w:rFonts w:ascii="Times New Roman" w:hAnsi="Times New Roman"/>
          <w:sz w:val="28"/>
          <w:szCs w:val="28"/>
          <w:lang w:val="uk-UA"/>
        </w:rPr>
        <w:t xml:space="preserve"> мета МГП</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полягає в обмеженні засобів і методів ведення війни, що можуть застосовувати сторони конфлікту, а також у забезпеченні захисту та гуманного поводження з особами, які не беруть або припинили брати безпосередню участь у бойових діях. Загалом, МГП охоплює ті норми міжнародного права, що встановлюють мінімальні стандарти гуманності, яких</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необхідно дотримуватися у будь-якій ситуації збройних конфліктів.</w:t>
      </w:r>
    </w:p>
    <w:p w14:paraId="650FC544" w14:textId="6C03BFA2"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МГП спеціально призначене для застосування в ситуаціях збройного</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конфлікту. Тому сторони збройного конфлікту не можуть виправдовувати невиконання МГП, посилаючись на жорстоку природу конфлікту;</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вони повинні виконувати свої гуманітарні зобов’язання за будь-яких</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обставин.</w:t>
      </w:r>
    </w:p>
    <w:p w14:paraId="151E620B" w14:textId="2E5E26C2"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Це також означає, що МГП однаковою мірою є обов’язковим для всіх учасників збройного конфлікту, незалежно від їх мотивів,</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характеру або причин конфлікту.</w:t>
      </w:r>
    </w:p>
    <w:p w14:paraId="70982410" w14:textId="77777777" w:rsidR="00615B26"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Держава, що здійснює своє право на</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самооборону чи законно намагається відновити правопорядок на своїй</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території, повинна настільки ж точно застосовувати МГП, як і держава-агресор або недержавна збройна група, що вдалися до застосування</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сили з порушенням міжнародного чи національного права (рівність</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 xml:space="preserve">сторін конфлікту). </w:t>
      </w:r>
    </w:p>
    <w:p w14:paraId="1D346ADF" w14:textId="71F683D4"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Крім того, сторони повинні дотримуватись МГП,</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навіть якщо його порушує їх супротивник (відсутність принципу</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взаємності щодо гуманітарних зобов’язань).</w:t>
      </w:r>
    </w:p>
    <w:p w14:paraId="6059523E" w14:textId="2AEF7601"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Воєнні репресалії дозволяються лише за надзвичайно суворих умов і ніколи не можуть бути</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спрямовані проти осіб або об’єктів, що мають право на гуманітарний</w:t>
      </w:r>
      <w:r w:rsidR="009F15A9" w:rsidRPr="005803A9">
        <w:rPr>
          <w:rFonts w:ascii="Times New Roman" w:hAnsi="Times New Roman"/>
          <w:sz w:val="28"/>
          <w:szCs w:val="28"/>
          <w:lang w:val="uk-UA"/>
        </w:rPr>
        <w:t xml:space="preserve"> </w:t>
      </w:r>
      <w:r w:rsidRPr="005803A9">
        <w:rPr>
          <w:rFonts w:ascii="Times New Roman" w:hAnsi="Times New Roman"/>
          <w:sz w:val="28"/>
          <w:szCs w:val="28"/>
          <w:lang w:val="uk-UA"/>
        </w:rPr>
        <w:t>захист.</w:t>
      </w:r>
    </w:p>
    <w:p w14:paraId="4A6880B5" w14:textId="5D6EC589"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МГП базується на балансі між міркуваннями військової необхідності</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та гуманності. З одного боку, воно визнає, що для перемоги над супротивником у воєнний час, військова необхідність може вимагати</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заподіяння смерті, поранень</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та руйнувань, а також запровадження</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більш суворих заходів безпеки, ніж це було б дозволено у мирний час.</w:t>
      </w:r>
    </w:p>
    <w:p w14:paraId="1AF1F75A" w14:textId="6E1DE385"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З іншого боку, МГП також чітко встановлює, що військова необхідність не дає сторонам, що воюють, карт-бланш на ведення нічим не</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обмеженої війни.</w:t>
      </w:r>
    </w:p>
    <w:p w14:paraId="1F12D743" w14:textId="7AD75566"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lastRenderedPageBreak/>
        <w:t>Навпаки, міркування про гуманність накладають</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певні обмеження на засоби та методи ведення війни і вимагають, щоб</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із тими, хто потрапив до рук супротивника, поводилися гуманно за</w:t>
      </w:r>
      <w:r w:rsidR="00615B26" w:rsidRPr="005803A9">
        <w:rPr>
          <w:rFonts w:ascii="Times New Roman" w:hAnsi="Times New Roman"/>
          <w:sz w:val="28"/>
          <w:szCs w:val="28"/>
          <w:lang w:val="uk-UA"/>
        </w:rPr>
        <w:t xml:space="preserve"> </w:t>
      </w:r>
      <w:proofErr w:type="spellStart"/>
      <w:r w:rsidR="00615B26" w:rsidRPr="005803A9">
        <w:rPr>
          <w:rFonts w:ascii="Times New Roman" w:hAnsi="Times New Roman"/>
          <w:sz w:val="28"/>
          <w:szCs w:val="28"/>
          <w:lang w:val="uk-UA"/>
        </w:rPr>
        <w:t>ь</w:t>
      </w:r>
      <w:r w:rsidRPr="005803A9">
        <w:rPr>
          <w:rFonts w:ascii="Times New Roman" w:hAnsi="Times New Roman"/>
          <w:sz w:val="28"/>
          <w:szCs w:val="28"/>
          <w:lang w:val="uk-UA"/>
        </w:rPr>
        <w:t>будь</w:t>
      </w:r>
      <w:proofErr w:type="spellEnd"/>
      <w:r w:rsidRPr="005803A9">
        <w:rPr>
          <w:rFonts w:ascii="Times New Roman" w:hAnsi="Times New Roman"/>
          <w:sz w:val="28"/>
          <w:szCs w:val="28"/>
          <w:lang w:val="uk-UA"/>
        </w:rPr>
        <w:t>-яких обставин.</w:t>
      </w:r>
    </w:p>
    <w:p w14:paraId="389C7FB4" w14:textId="6559F4CC"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Баланс між військовою необхідністю та гуманністю знаходить конкретніше вираження в низці основних принципів,</w:t>
      </w:r>
      <w:r w:rsidR="009F15A9" w:rsidRPr="005803A9">
        <w:rPr>
          <w:rFonts w:ascii="Times New Roman" w:hAnsi="Times New Roman"/>
          <w:sz w:val="28"/>
          <w:szCs w:val="28"/>
          <w:lang w:val="uk-UA"/>
        </w:rPr>
        <w:t xml:space="preserve"> </w:t>
      </w:r>
      <w:r w:rsidRPr="005803A9">
        <w:rPr>
          <w:rFonts w:ascii="Times New Roman" w:hAnsi="Times New Roman"/>
          <w:sz w:val="28"/>
          <w:szCs w:val="28"/>
          <w:lang w:val="uk-UA"/>
        </w:rPr>
        <w:t>коротко викладених нижче.</w:t>
      </w:r>
    </w:p>
    <w:p w14:paraId="490E749F" w14:textId="0F118D35"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 xml:space="preserve">Наріжним </w:t>
      </w:r>
      <w:proofErr w:type="spellStart"/>
      <w:r w:rsidRPr="005803A9">
        <w:rPr>
          <w:rFonts w:ascii="Times New Roman" w:hAnsi="Times New Roman"/>
          <w:sz w:val="28"/>
          <w:szCs w:val="28"/>
          <w:lang w:val="uk-UA"/>
        </w:rPr>
        <w:t>каменем</w:t>
      </w:r>
      <w:proofErr w:type="spellEnd"/>
      <w:r w:rsidRPr="005803A9">
        <w:rPr>
          <w:rFonts w:ascii="Times New Roman" w:hAnsi="Times New Roman"/>
          <w:sz w:val="28"/>
          <w:szCs w:val="28"/>
          <w:lang w:val="uk-UA"/>
        </w:rPr>
        <w:t xml:space="preserve"> МГП є </w:t>
      </w:r>
      <w:r w:rsidRPr="005803A9">
        <w:rPr>
          <w:rFonts w:ascii="Times New Roman" w:hAnsi="Times New Roman"/>
          <w:i/>
          <w:iCs/>
          <w:sz w:val="28"/>
          <w:szCs w:val="28"/>
          <w:lang w:val="uk-UA"/>
        </w:rPr>
        <w:t>принцип розрізнення</w:t>
      </w:r>
      <w:r w:rsidRPr="005803A9">
        <w:rPr>
          <w:rFonts w:ascii="Times New Roman" w:hAnsi="Times New Roman"/>
          <w:sz w:val="28"/>
          <w:szCs w:val="28"/>
          <w:lang w:val="uk-UA"/>
        </w:rPr>
        <w:t>. Він заснований на</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визнанні того, що «єдина законна мета, яку повинні переслідувати держави під час війни, полягає в послабленні збройних сил супротивника»</w:t>
      </w:r>
      <w:r w:rsidR="00615B26" w:rsidRPr="005803A9">
        <w:rPr>
          <w:rStyle w:val="s1"/>
          <w:rFonts w:ascii="Times New Roman" w:eastAsiaTheme="majorEastAsia" w:hAnsi="Times New Roman"/>
          <w:sz w:val="28"/>
          <w:szCs w:val="28"/>
          <w:lang w:val="uk-UA"/>
        </w:rPr>
        <w:t xml:space="preserve"> </w:t>
      </w:r>
      <w:r w:rsidRPr="005803A9">
        <w:rPr>
          <w:rFonts w:ascii="Times New Roman" w:hAnsi="Times New Roman"/>
          <w:sz w:val="28"/>
          <w:szCs w:val="28"/>
          <w:lang w:val="uk-UA"/>
        </w:rPr>
        <w:t xml:space="preserve">тоді як </w:t>
      </w:r>
      <w:r w:rsidR="00615B26" w:rsidRPr="005803A9">
        <w:rPr>
          <w:rFonts w:ascii="Times New Roman" w:hAnsi="Times New Roman"/>
          <w:sz w:val="28"/>
          <w:szCs w:val="28"/>
          <w:lang w:val="uk-UA"/>
        </w:rPr>
        <w:t>ц</w:t>
      </w:r>
      <w:r w:rsidRPr="005803A9">
        <w:rPr>
          <w:rFonts w:ascii="Times New Roman" w:hAnsi="Times New Roman"/>
          <w:sz w:val="28"/>
          <w:szCs w:val="28"/>
          <w:lang w:val="uk-UA"/>
        </w:rPr>
        <w:t>ивільне населення й окремі цивільні особи користуються</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загальним захистом від небезпек, що виникають у зв’язку з воєнними</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операціями.</w:t>
      </w:r>
    </w:p>
    <w:p w14:paraId="2D1D7995" w14:textId="3FB41CDB"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Отже, сторони збройного конфлікту зобов’язані завжди</w:t>
      </w:r>
      <w:r w:rsidR="00615B26" w:rsidRPr="005803A9">
        <w:rPr>
          <w:rFonts w:ascii="Times New Roman" w:hAnsi="Times New Roman"/>
          <w:sz w:val="28"/>
          <w:szCs w:val="28"/>
          <w:lang w:val="uk-UA"/>
        </w:rPr>
        <w:t xml:space="preserve"> </w:t>
      </w:r>
      <w:r w:rsidRPr="005803A9">
        <w:rPr>
          <w:rFonts w:ascii="Times New Roman" w:hAnsi="Times New Roman"/>
          <w:sz w:val="28"/>
          <w:szCs w:val="28"/>
          <w:lang w:val="uk-UA"/>
        </w:rPr>
        <w:t>розрізняти цивільне населення й комбатантів, а також цивільні об’єкти</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та військові цілі та відповідно спрямовувати свої дії тільки проти військових цілей».</w:t>
      </w:r>
    </w:p>
    <w:p w14:paraId="5C27E07D" w14:textId="4E9668B8"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Принцип розрізнення також включає обов’язок уникати або, у будь</w:t>
      </w:r>
      <w:r w:rsidR="005D4F7A" w:rsidRPr="005803A9">
        <w:rPr>
          <w:rFonts w:ascii="Times New Roman" w:hAnsi="Times New Roman"/>
          <w:sz w:val="28"/>
          <w:szCs w:val="28"/>
          <w:lang w:val="uk-UA"/>
        </w:rPr>
        <w:t>-</w:t>
      </w:r>
      <w:r w:rsidRPr="005803A9">
        <w:rPr>
          <w:rFonts w:ascii="Times New Roman" w:hAnsi="Times New Roman"/>
          <w:sz w:val="28"/>
          <w:szCs w:val="28"/>
          <w:lang w:val="uk-UA"/>
        </w:rPr>
        <w:t>якому випадку, мінімізувати заподіяння випадкової смерті, поранень</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 xml:space="preserve">та знищення людей і об’єктів, захищених від прямого нападу. Відповідно, МГП вимагає, що </w:t>
      </w:r>
      <w:r w:rsidR="005D4F7A" w:rsidRPr="005803A9">
        <w:rPr>
          <w:rFonts w:ascii="Times New Roman" w:hAnsi="Times New Roman"/>
          <w:sz w:val="28"/>
          <w:szCs w:val="28"/>
          <w:lang w:val="uk-UA"/>
        </w:rPr>
        <w:t>п</w:t>
      </w:r>
      <w:r w:rsidRPr="005803A9">
        <w:rPr>
          <w:rFonts w:ascii="Times New Roman" w:hAnsi="Times New Roman"/>
          <w:sz w:val="28"/>
          <w:szCs w:val="28"/>
          <w:lang w:val="uk-UA"/>
        </w:rPr>
        <w:t>ри проведенні воєнних операцій повинна постійно виявлятися турбота про те, щоб оберігати цивільне населення,</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цивільних осіб і цивільні об’єкти</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Це стосується і сторони, що здійснює напад, яка повинна зробити все можливе, щоб уникнути завдання випадкової шкоди внаслідок своїх операцій (запобіжні заходи під</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час здійснення нападу), і сторони, на яку здійснюється напад, і яка,</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наскільки це можливо, повинна вжити всіх необхідних заходів для захисту цивільного населення під своїм контролем від наслідків нападів</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супротивника (запобіжні заходи від наслідків нападу).</w:t>
      </w:r>
    </w:p>
    <w:p w14:paraId="525C2215" w14:textId="079BD048" w:rsidR="00084D1E" w:rsidRPr="005803A9" w:rsidRDefault="00084D1E" w:rsidP="009F15A9">
      <w:pPr>
        <w:pStyle w:val="p4"/>
        <w:ind w:firstLine="709"/>
        <w:jc w:val="both"/>
        <w:rPr>
          <w:rFonts w:ascii="Times New Roman" w:hAnsi="Times New Roman"/>
          <w:i/>
          <w:iCs/>
          <w:sz w:val="28"/>
          <w:szCs w:val="28"/>
          <w:lang w:val="uk-UA"/>
        </w:rPr>
      </w:pPr>
      <w:r w:rsidRPr="005803A9">
        <w:rPr>
          <w:rFonts w:ascii="Times New Roman" w:hAnsi="Times New Roman"/>
          <w:sz w:val="28"/>
          <w:szCs w:val="28"/>
          <w:lang w:val="uk-UA"/>
        </w:rPr>
        <w:t>У ситуаціях, за яких неможливо уникнути завдання випадкової шкоди</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 xml:space="preserve">цивільним особам чи цивільним об’єктам, діє </w:t>
      </w:r>
      <w:r w:rsidRPr="005803A9">
        <w:rPr>
          <w:rFonts w:ascii="Times New Roman" w:hAnsi="Times New Roman"/>
          <w:i/>
          <w:iCs/>
          <w:sz w:val="28"/>
          <w:szCs w:val="28"/>
          <w:lang w:val="uk-UA"/>
        </w:rPr>
        <w:t>принцип пропорційності</w:t>
      </w:r>
      <w:r w:rsidRPr="005803A9">
        <w:rPr>
          <w:rFonts w:ascii="Times New Roman" w:hAnsi="Times New Roman"/>
          <w:sz w:val="28"/>
          <w:szCs w:val="28"/>
          <w:lang w:val="uk-UA"/>
        </w:rPr>
        <w:t>.</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Відповідно, ті, хто планують чи приймають рішення про напад, повинні</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не починати або припинити будь-який напад, що, як можна очікувати,</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попутно потягне за собою втрати життя серед цивільного населення,</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 xml:space="preserve">поранення цивільних осіб та </w:t>
      </w:r>
      <w:proofErr w:type="spellStart"/>
      <w:r w:rsidRPr="005803A9">
        <w:rPr>
          <w:rFonts w:ascii="Times New Roman" w:hAnsi="Times New Roman"/>
          <w:sz w:val="28"/>
          <w:szCs w:val="28"/>
          <w:lang w:val="uk-UA"/>
        </w:rPr>
        <w:t>завдасть</w:t>
      </w:r>
      <w:proofErr w:type="spellEnd"/>
      <w:r w:rsidRPr="005803A9">
        <w:rPr>
          <w:rFonts w:ascii="Times New Roman" w:hAnsi="Times New Roman"/>
          <w:sz w:val="28"/>
          <w:szCs w:val="28"/>
          <w:lang w:val="uk-UA"/>
        </w:rPr>
        <w:t xml:space="preserve"> шкоду цивільним об’єктам, або</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те й інше разом, які були б надмірними у порівнянні з конкретною і</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безпосередньою військовою перевагою, яку передбачається таким чином досягти</w:t>
      </w:r>
      <w:r w:rsidR="005D4F7A" w:rsidRPr="005803A9">
        <w:rPr>
          <w:rFonts w:ascii="Times New Roman" w:hAnsi="Times New Roman"/>
          <w:sz w:val="28"/>
          <w:szCs w:val="28"/>
          <w:lang w:val="uk-UA"/>
        </w:rPr>
        <w:t>.</w:t>
      </w:r>
    </w:p>
    <w:p w14:paraId="2462CDA3" w14:textId="21F5DAB3"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МГП не лише захищає цивільних осіб від наслідків бойових дій, а також забороняє або обмежує засоби та методи ведення бойових дій, що,</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 xml:space="preserve">як вважається, призводять до </w:t>
      </w:r>
      <w:r w:rsidRPr="005803A9">
        <w:rPr>
          <w:rFonts w:ascii="Times New Roman" w:hAnsi="Times New Roman"/>
          <w:i/>
          <w:iCs/>
          <w:sz w:val="28"/>
          <w:szCs w:val="28"/>
          <w:lang w:val="uk-UA"/>
        </w:rPr>
        <w:t>зайвих страждань</w:t>
      </w:r>
      <w:r w:rsidRPr="005803A9">
        <w:rPr>
          <w:rFonts w:ascii="Times New Roman" w:hAnsi="Times New Roman"/>
          <w:sz w:val="28"/>
          <w:szCs w:val="28"/>
          <w:lang w:val="uk-UA"/>
        </w:rPr>
        <w:t xml:space="preserve"> або надмірних ушкоджень комбатантам. Ще в 1868 році в Санкт-Петербурзькій декларації</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було визнано</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що єдина законна ціль під час війни, полягає в послабленні</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військових сил ворога</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що для досягнення цієї цілі буде достатнім вивести зі строю най</w:t>
      </w:r>
      <w:r w:rsidR="005803A9">
        <w:rPr>
          <w:rFonts w:ascii="Times New Roman" w:hAnsi="Times New Roman"/>
          <w:sz w:val="28"/>
          <w:szCs w:val="28"/>
          <w:lang w:val="uk-UA"/>
        </w:rPr>
        <w:t>б</w:t>
      </w:r>
      <w:r w:rsidRPr="005803A9">
        <w:rPr>
          <w:rFonts w:ascii="Times New Roman" w:hAnsi="Times New Roman"/>
          <w:sz w:val="28"/>
          <w:szCs w:val="28"/>
          <w:lang w:val="uk-UA"/>
        </w:rPr>
        <w:t>ільш можливу кількість осіб</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що застосування такої зброї, котра збільшує страждання осіб,</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вибулих зі строю, або робить їхню смерть неминучою, повинно</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визнаватися як таке, що не відповідає вказаній цілі</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що застосування такої зброї суперечить законам людяності</w:t>
      </w:r>
      <w:r w:rsidR="005D4F7A" w:rsidRPr="005803A9">
        <w:rPr>
          <w:rFonts w:ascii="Times New Roman" w:hAnsi="Times New Roman"/>
          <w:sz w:val="28"/>
          <w:szCs w:val="28"/>
          <w:lang w:val="uk-UA"/>
        </w:rPr>
        <w:t>.</w:t>
      </w:r>
    </w:p>
    <w:p w14:paraId="3F30E269" w14:textId="791C56E4"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Відповідно, під час ведення бойових дій забороняється застосовувати</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зброю, снаряди, речовини й методи ведення воєнних дій, здатні завдати</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надмірних ушкоджень або зайвих страждань</w:t>
      </w:r>
      <w:r w:rsidR="005D4F7A" w:rsidRPr="005803A9">
        <w:rPr>
          <w:rStyle w:val="s1"/>
          <w:rFonts w:ascii="Times New Roman" w:eastAsiaTheme="majorEastAsia" w:hAnsi="Times New Roman"/>
          <w:sz w:val="28"/>
          <w:szCs w:val="28"/>
          <w:lang w:val="uk-UA"/>
        </w:rPr>
        <w:t>.</w:t>
      </w:r>
    </w:p>
    <w:p w14:paraId="578C29B0" w14:textId="7FB82346"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lastRenderedPageBreak/>
        <w:t xml:space="preserve">Одна з основних норм МГП полягає в тому, що всі особи, які потрапили під владу супротивника, мають </w:t>
      </w:r>
      <w:r w:rsidRPr="005803A9">
        <w:rPr>
          <w:rFonts w:ascii="Times New Roman" w:hAnsi="Times New Roman"/>
          <w:i/>
          <w:iCs/>
          <w:sz w:val="28"/>
          <w:szCs w:val="28"/>
          <w:lang w:val="uk-UA"/>
        </w:rPr>
        <w:t>право на гуманне поводження</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незалежно від їхнього статусу та попередньої функції або діяльності.</w:t>
      </w:r>
    </w:p>
    <w:p w14:paraId="0DDD3690" w14:textId="75640606" w:rsidR="00084D1E" w:rsidRPr="005803A9" w:rsidRDefault="00084D1E" w:rsidP="009F15A9">
      <w:pPr>
        <w:pStyle w:val="p1"/>
        <w:ind w:firstLine="709"/>
        <w:jc w:val="both"/>
        <w:rPr>
          <w:rFonts w:ascii="Times New Roman" w:hAnsi="Times New Roman"/>
          <w:sz w:val="28"/>
          <w:szCs w:val="28"/>
          <w:lang w:val="uk-UA"/>
        </w:rPr>
      </w:pPr>
      <w:r w:rsidRPr="005803A9">
        <w:rPr>
          <w:rFonts w:ascii="Times New Roman" w:hAnsi="Times New Roman"/>
          <w:sz w:val="28"/>
          <w:szCs w:val="28"/>
          <w:lang w:val="uk-UA"/>
        </w:rPr>
        <w:t>З особами, які не беруть активної участі</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в бойових діях, включно з особами зі складу збройних сил, які склали</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зброю, а також із тими, хто виведений зі строю (</w:t>
      </w:r>
      <w:proofErr w:type="spellStart"/>
      <w:r w:rsidRPr="005803A9">
        <w:rPr>
          <w:rFonts w:ascii="Times New Roman" w:hAnsi="Times New Roman"/>
          <w:sz w:val="28"/>
          <w:szCs w:val="28"/>
          <w:lang w:val="uk-UA"/>
        </w:rPr>
        <w:t>hors</w:t>
      </w:r>
      <w:proofErr w:type="spellEnd"/>
      <w:r w:rsidRPr="005803A9">
        <w:rPr>
          <w:rFonts w:ascii="Times New Roman" w:hAnsi="Times New Roman"/>
          <w:sz w:val="28"/>
          <w:szCs w:val="28"/>
          <w:lang w:val="uk-UA"/>
        </w:rPr>
        <w:t xml:space="preserve"> </w:t>
      </w:r>
      <w:proofErr w:type="spellStart"/>
      <w:r w:rsidRPr="005803A9">
        <w:rPr>
          <w:rFonts w:ascii="Times New Roman" w:hAnsi="Times New Roman"/>
          <w:sz w:val="28"/>
          <w:szCs w:val="28"/>
          <w:lang w:val="uk-UA"/>
        </w:rPr>
        <w:t>de</w:t>
      </w:r>
      <w:proofErr w:type="spellEnd"/>
      <w:r w:rsidRPr="005803A9">
        <w:rPr>
          <w:rFonts w:ascii="Times New Roman" w:hAnsi="Times New Roman"/>
          <w:sz w:val="28"/>
          <w:szCs w:val="28"/>
          <w:lang w:val="uk-UA"/>
        </w:rPr>
        <w:t xml:space="preserve"> </w:t>
      </w:r>
      <w:proofErr w:type="spellStart"/>
      <w:r w:rsidRPr="005803A9">
        <w:rPr>
          <w:rFonts w:ascii="Times New Roman" w:hAnsi="Times New Roman"/>
          <w:sz w:val="28"/>
          <w:szCs w:val="28"/>
          <w:lang w:val="uk-UA"/>
        </w:rPr>
        <w:t>combat</w:t>
      </w:r>
      <w:proofErr w:type="spellEnd"/>
      <w:r w:rsidRPr="005803A9">
        <w:rPr>
          <w:rFonts w:ascii="Times New Roman" w:hAnsi="Times New Roman"/>
          <w:sz w:val="28"/>
          <w:szCs w:val="28"/>
          <w:lang w:val="uk-UA"/>
        </w:rPr>
        <w:t>) унаслідок хвороби, поранення, затримання чи з будь-якої іншої причини,</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поводяться гуманно, без будь-якої ворожої дискримінації за ознаками</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раси, кольору шкіри, релігії чи вірування, статі, походження чи майнового стану чи будь-яких інших подібних критеріїв</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Незважаючи на</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те, що МГП прямо дозволяє сторонам конфлікту вживати до осіб, що</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перебувають під їхнім контролем, таких заходів контролю чи безпеки, які будуть визнані за необхідні під час ведення війни, право на</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гуманне поводження є абсолютним і застосовується не лише до осіб,</w:t>
      </w:r>
      <w:r w:rsidR="005D4F7A" w:rsidRPr="005803A9">
        <w:rPr>
          <w:rFonts w:ascii="Times New Roman" w:hAnsi="Times New Roman"/>
          <w:sz w:val="28"/>
          <w:szCs w:val="28"/>
          <w:lang w:val="uk-UA"/>
        </w:rPr>
        <w:t xml:space="preserve"> </w:t>
      </w:r>
      <w:r w:rsidRPr="005803A9">
        <w:rPr>
          <w:rFonts w:ascii="Times New Roman" w:hAnsi="Times New Roman"/>
          <w:sz w:val="28"/>
          <w:szCs w:val="28"/>
          <w:lang w:val="uk-UA"/>
        </w:rPr>
        <w:t>позбавлених волі, а й загалом до мешканців територій під контролем</w:t>
      </w:r>
      <w:r w:rsidR="009F15A9" w:rsidRPr="005803A9">
        <w:rPr>
          <w:rFonts w:ascii="Times New Roman" w:hAnsi="Times New Roman"/>
          <w:sz w:val="28"/>
          <w:szCs w:val="28"/>
          <w:lang w:val="uk-UA"/>
        </w:rPr>
        <w:t xml:space="preserve"> </w:t>
      </w:r>
      <w:r w:rsidRPr="005803A9">
        <w:rPr>
          <w:rFonts w:ascii="Times New Roman" w:hAnsi="Times New Roman"/>
          <w:sz w:val="28"/>
          <w:szCs w:val="28"/>
          <w:lang w:val="uk-UA"/>
        </w:rPr>
        <w:t>супротивника.</w:t>
      </w:r>
    </w:p>
    <w:p w14:paraId="0494FBAD" w14:textId="77777777" w:rsidR="00084D1E" w:rsidRPr="005803A9" w:rsidRDefault="00084D1E" w:rsidP="009F15A9">
      <w:pPr>
        <w:spacing w:after="0" w:line="240" w:lineRule="auto"/>
        <w:ind w:firstLine="709"/>
        <w:jc w:val="both"/>
        <w:rPr>
          <w:rFonts w:ascii="Times New Roman" w:hAnsi="Times New Roman" w:cs="Times New Roman"/>
          <w:sz w:val="28"/>
          <w:szCs w:val="28"/>
          <w:lang w:val="uk-UA"/>
        </w:rPr>
      </w:pPr>
    </w:p>
    <w:p w14:paraId="1E7ABA9D" w14:textId="6555E982" w:rsidR="005D4F7A" w:rsidRPr="005803A9" w:rsidRDefault="005D4F7A" w:rsidP="009F15A9">
      <w:pPr>
        <w:spacing w:after="0" w:line="240" w:lineRule="auto"/>
        <w:ind w:firstLine="709"/>
        <w:jc w:val="center"/>
        <w:rPr>
          <w:rFonts w:ascii="Times New Roman" w:hAnsi="Times New Roman" w:cs="Times New Roman"/>
          <w:b/>
          <w:bCs/>
          <w:sz w:val="28"/>
          <w:szCs w:val="28"/>
          <w:lang w:val="uk-UA"/>
        </w:rPr>
      </w:pPr>
      <w:r w:rsidRPr="005803A9">
        <w:rPr>
          <w:rFonts w:ascii="Times New Roman" w:hAnsi="Times New Roman" w:cs="Times New Roman"/>
          <w:b/>
          <w:bCs/>
          <w:sz w:val="28"/>
          <w:szCs w:val="28"/>
          <w:lang w:val="uk-UA"/>
        </w:rPr>
        <w:t>2. Джерела міжнародного гуманітарного права</w:t>
      </w:r>
    </w:p>
    <w:p w14:paraId="0FA732F6" w14:textId="77777777" w:rsidR="00084D1E" w:rsidRPr="005803A9" w:rsidRDefault="00084D1E" w:rsidP="009F15A9">
      <w:pPr>
        <w:spacing w:after="0" w:line="240" w:lineRule="auto"/>
        <w:ind w:firstLine="709"/>
        <w:jc w:val="both"/>
        <w:rPr>
          <w:rFonts w:ascii="Times New Roman" w:hAnsi="Times New Roman" w:cs="Times New Roman"/>
          <w:sz w:val="28"/>
          <w:szCs w:val="28"/>
          <w:lang w:val="uk-UA"/>
        </w:rPr>
      </w:pPr>
    </w:p>
    <w:p w14:paraId="1D6A1538" w14:textId="77777777" w:rsidR="005D4F7A" w:rsidRPr="005803A9" w:rsidRDefault="005D4F7A"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Як і будь-яка інша галузь міжнародного права, МГП базується на трьох окремих джерелах: </w:t>
      </w:r>
    </w:p>
    <w:p w14:paraId="7DD85C6B" w14:textId="77777777" w:rsidR="005D4F7A" w:rsidRPr="005803A9" w:rsidRDefault="005D4F7A"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міжнародні договори;</w:t>
      </w:r>
    </w:p>
    <w:p w14:paraId="18A90E7A" w14:textId="77777777" w:rsidR="005D4F7A" w:rsidRPr="005803A9" w:rsidRDefault="005D4F7A"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звичаєве право;</w:t>
      </w:r>
    </w:p>
    <w:p w14:paraId="4B82A2B4" w14:textId="1D83EE79" w:rsidR="005D4F7A" w:rsidRPr="005803A9" w:rsidRDefault="005D4F7A"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загальні принципи права.</w:t>
      </w:r>
    </w:p>
    <w:p w14:paraId="5B665851" w14:textId="44D276E0" w:rsidR="005D4F7A" w:rsidRPr="005803A9" w:rsidRDefault="005D4F7A"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Крім того, прецедентне право, доктрина та «м’яке право» на практиці відіграють все більш важливу роль у тлумаченні окремих норм МГП.</w:t>
      </w:r>
    </w:p>
    <w:p w14:paraId="50134181" w14:textId="77777777" w:rsidR="008A207D" w:rsidRPr="005803A9" w:rsidRDefault="005D4F7A"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i/>
          <w:iCs/>
          <w:color w:val="141413"/>
          <w:kern w:val="0"/>
          <w:sz w:val="28"/>
          <w:szCs w:val="28"/>
          <w:lang w:val="uk-UA"/>
          <w14:ligatures w14:val="none"/>
        </w:rPr>
        <w:t xml:space="preserve">Договірне право. </w:t>
      </w:r>
      <w:r w:rsidRPr="005803A9">
        <w:rPr>
          <w:rFonts w:ascii="Times New Roman" w:eastAsia="Times New Roman" w:hAnsi="Times New Roman" w:cs="Times New Roman"/>
          <w:color w:val="141413"/>
          <w:kern w:val="0"/>
          <w:sz w:val="28"/>
          <w:szCs w:val="28"/>
          <w:lang w:val="uk-UA"/>
          <w14:ligatures w14:val="none"/>
        </w:rPr>
        <w:t>Сьогодні МГП є однією з найбільш кодифікованих галузей міжнародного права. Тому на практиці найбільш значимими джерелами МГП є</w:t>
      </w:r>
      <w:r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міжнародні договори, що застосовуються до відповідного збройного</w:t>
      </w:r>
      <w:r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конфлікту. Наприклад, у ситуаціях міжнародного збройного конфлікту</w:t>
      </w:r>
      <w:r w:rsidR="00CD3455"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найважливішими джерелами з застосовного МГП будуть </w:t>
      </w:r>
      <w:r w:rsidRPr="005803A9">
        <w:rPr>
          <w:rFonts w:ascii="Times New Roman" w:eastAsia="Times New Roman" w:hAnsi="Times New Roman" w:cs="Times New Roman"/>
          <w:color w:val="141413"/>
          <w:kern w:val="0"/>
          <w:sz w:val="28"/>
          <w:szCs w:val="28"/>
          <w:u w:val="single"/>
          <w:lang w:val="uk-UA"/>
          <w14:ligatures w14:val="none"/>
        </w:rPr>
        <w:t>чотири Женевські конвенції 1949 року</w:t>
      </w:r>
      <w:r w:rsidR="008A207D" w:rsidRPr="005803A9">
        <w:rPr>
          <w:rFonts w:ascii="Times New Roman" w:eastAsia="Times New Roman" w:hAnsi="Times New Roman" w:cs="Times New Roman"/>
          <w:color w:val="141413"/>
          <w:kern w:val="0"/>
          <w:sz w:val="28"/>
          <w:szCs w:val="28"/>
          <w:lang w:val="uk-UA"/>
          <w14:ligatures w14:val="none"/>
        </w:rPr>
        <w:t>:</w:t>
      </w:r>
    </w:p>
    <w:p w14:paraId="7474B639" w14:textId="014E4229" w:rsidR="008A207D" w:rsidRPr="005803A9" w:rsidRDefault="008A207D"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Конвенція про поліпшення долі поранених і хворих у діючих арміях, 12 серпня 1949 року (Перша Женевська конвенція);</w:t>
      </w:r>
    </w:p>
    <w:p w14:paraId="61603FF2" w14:textId="4617404E" w:rsidR="008A207D" w:rsidRPr="005803A9" w:rsidRDefault="008A207D"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Конвенція  про поліпшення долі поранених, хворих і осіб, які зазнали корабельної аварії, зі складу збройних сил на морі, 12 серпня 1949 року (Друга Женевська конвенція)</w:t>
      </w:r>
    </w:p>
    <w:p w14:paraId="3F8016D8" w14:textId="23FB1563" w:rsidR="008A207D" w:rsidRPr="005803A9" w:rsidRDefault="008A207D"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Конвенція про поводження з військовополоненими, 12 серпня 1949 року (Третя Женевська конвенція);</w:t>
      </w:r>
    </w:p>
    <w:p w14:paraId="32A559F9" w14:textId="1FA33080" w:rsidR="008A207D" w:rsidRPr="005803A9" w:rsidRDefault="008A207D"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Конвенція про захист цивільного населення під час війни, 12 серпня 1949 року (Четверта Женевська конвенція).</w:t>
      </w:r>
    </w:p>
    <w:p w14:paraId="2A1F3544" w14:textId="77777777" w:rsidR="008A207D" w:rsidRPr="005803A9" w:rsidRDefault="005D4F7A" w:rsidP="008A207D">
      <w:pPr>
        <w:spacing w:after="0" w:line="240" w:lineRule="auto"/>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u w:val="single"/>
          <w:lang w:val="uk-UA"/>
          <w14:ligatures w14:val="none"/>
        </w:rPr>
        <w:t>Додатковий протокол I</w:t>
      </w:r>
      <w:r w:rsidRPr="005803A9">
        <w:rPr>
          <w:rFonts w:ascii="Times New Roman" w:eastAsia="Times New Roman" w:hAnsi="Times New Roman" w:cs="Times New Roman"/>
          <w:color w:val="141413"/>
          <w:kern w:val="0"/>
          <w:sz w:val="28"/>
          <w:szCs w:val="28"/>
          <w:lang w:val="uk-UA"/>
          <w14:ligatures w14:val="none"/>
        </w:rPr>
        <w:t xml:space="preserve"> до них та </w:t>
      </w:r>
      <w:r w:rsidRPr="005803A9">
        <w:rPr>
          <w:rFonts w:ascii="Times New Roman" w:eastAsia="Times New Roman" w:hAnsi="Times New Roman" w:cs="Times New Roman"/>
          <w:color w:val="141413"/>
          <w:kern w:val="0"/>
          <w:sz w:val="28"/>
          <w:szCs w:val="28"/>
          <w:u w:val="single"/>
          <w:lang w:val="uk-UA"/>
          <w14:ligatures w14:val="none"/>
        </w:rPr>
        <w:t>договори</w:t>
      </w:r>
      <w:r w:rsidR="00CD3455" w:rsidRPr="005803A9">
        <w:rPr>
          <w:rFonts w:ascii="Times New Roman" w:eastAsia="Times New Roman" w:hAnsi="Times New Roman" w:cs="Times New Roman"/>
          <w:i/>
          <w:iCs/>
          <w:color w:val="141413"/>
          <w:kern w:val="0"/>
          <w:sz w:val="28"/>
          <w:szCs w:val="28"/>
          <w:u w:val="single"/>
          <w:lang w:val="uk-UA"/>
          <w14:ligatures w14:val="none"/>
        </w:rPr>
        <w:t xml:space="preserve"> </w:t>
      </w:r>
      <w:r w:rsidRPr="005803A9">
        <w:rPr>
          <w:rFonts w:ascii="Times New Roman" w:eastAsia="Times New Roman" w:hAnsi="Times New Roman" w:cs="Times New Roman"/>
          <w:color w:val="141413"/>
          <w:kern w:val="0"/>
          <w:sz w:val="28"/>
          <w:szCs w:val="28"/>
          <w:u w:val="single"/>
          <w:lang w:val="uk-UA"/>
          <w14:ligatures w14:val="none"/>
        </w:rPr>
        <w:t>про зброю</w:t>
      </w:r>
      <w:r w:rsidR="008A207D"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Конвенція про конкретні види звичайної зброї 1980</w:t>
      </w:r>
      <w:r w:rsidR="00CD345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року або Конвенція про касетні боєприпаси 2008 року. </w:t>
      </w:r>
    </w:p>
    <w:p w14:paraId="1C08A3AD" w14:textId="1E9DE321" w:rsidR="005D4F7A" w:rsidRPr="005803A9" w:rsidRDefault="005D4F7A" w:rsidP="008A207D">
      <w:pPr>
        <w:spacing w:after="0" w:line="240" w:lineRule="auto"/>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Договірне МГП,</w:t>
      </w:r>
      <w:r w:rsidR="00CD345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що застосовується у збройних конфліктах неміжнародного характеру,</w:t>
      </w:r>
      <w:r w:rsidR="00CD345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значно менше розвинене, оскільки найважливішими джерелами цього права є спільна стаття 3 чотирьох Женевських конвенцій 1949 р</w:t>
      </w:r>
      <w:r w:rsidR="009F15A9" w:rsidRPr="005803A9">
        <w:rPr>
          <w:rFonts w:ascii="Times New Roman" w:eastAsia="Times New Roman" w:hAnsi="Times New Roman" w:cs="Times New Roman"/>
          <w:color w:val="141413"/>
          <w:kern w:val="0"/>
          <w:sz w:val="28"/>
          <w:szCs w:val="28"/>
          <w:lang w:val="uk-UA"/>
          <w14:ligatures w14:val="none"/>
        </w:rPr>
        <w:t>оку</w:t>
      </w:r>
      <w:r w:rsidR="00CD345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та, за певних обставин, Додатковий протокол II.</w:t>
      </w:r>
    </w:p>
    <w:p w14:paraId="280B7AF8" w14:textId="246F4789" w:rsidR="005D4F7A" w:rsidRPr="005803A9" w:rsidRDefault="005D4F7A"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lastRenderedPageBreak/>
        <w:t>Зважаючи на те, що</w:t>
      </w:r>
      <w:r w:rsidR="00CD345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більшість сучасних збройних конфліктів не є міжнародними, зростає</w:t>
      </w:r>
      <w:r w:rsidR="00CD345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рівень усвідомлення того, що певні сфери договірного МГП, що регулює такі ситуації, можуть вимагати подальшого зміцнення, розвитку</w:t>
      </w:r>
      <w:r w:rsidR="00CD345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або роз’яснення.</w:t>
      </w:r>
    </w:p>
    <w:p w14:paraId="45744A83" w14:textId="06138657" w:rsidR="005D4F7A" w:rsidRPr="005803A9" w:rsidRDefault="005D4F7A"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Перевага договірного МГП полягає в тому, що воно є відносно однозначним. Сфера застосування договору визначається в самому тексті,</w:t>
      </w:r>
      <w:r w:rsidR="007C40C0"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відповідні права та обов’язки викладені в детально узгоджених положеннях, які можуть бути доповнені чіткими застереженнями або домовленостями, а держави-учасниці чітко визначаються через ратифікацію або приєднання. Проте, цілком імовірно, що пізніше можуть з’явитися питання щодо тлумачення викладеного, зокрема у зв’язку зі</w:t>
      </w:r>
      <w:r w:rsidR="003F3418"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змінами в політичній та військовій ситуації, проте договір забезпечує</w:t>
      </w:r>
      <w:r w:rsidR="003F3418"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надійну основу для визначення прав та обов’язків сторін, що воюють,</w:t>
      </w:r>
      <w:r w:rsidR="003F3418"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та для діалогу з ними щодо дотримання вимог МГП.</w:t>
      </w:r>
    </w:p>
    <w:p w14:paraId="7168AB20" w14:textId="5BB9DC09" w:rsidR="005D4F7A" w:rsidRPr="005803A9" w:rsidRDefault="005D4F7A" w:rsidP="009F15A9">
      <w:pPr>
        <w:spacing w:after="0" w:line="240" w:lineRule="auto"/>
        <w:ind w:firstLine="709"/>
        <w:jc w:val="both"/>
        <w:rPr>
          <w:rFonts w:ascii="Times New Roman" w:eastAsia="Times New Roman" w:hAnsi="Times New Roman" w:cs="Times New Roman"/>
          <w:i/>
          <w:iCs/>
          <w:color w:val="141413"/>
          <w:kern w:val="0"/>
          <w:sz w:val="28"/>
          <w:szCs w:val="28"/>
          <w:lang w:val="uk-UA"/>
          <w14:ligatures w14:val="none"/>
        </w:rPr>
      </w:pPr>
      <w:r w:rsidRPr="005803A9">
        <w:rPr>
          <w:rFonts w:ascii="Times New Roman" w:eastAsia="Times New Roman" w:hAnsi="Times New Roman" w:cs="Times New Roman"/>
          <w:i/>
          <w:iCs/>
          <w:color w:val="141413"/>
          <w:kern w:val="0"/>
          <w:sz w:val="28"/>
          <w:szCs w:val="28"/>
          <w:lang w:val="uk-UA"/>
          <w14:ligatures w14:val="none"/>
        </w:rPr>
        <w:t>Звичаєве право</w:t>
      </w:r>
      <w:r w:rsidR="003F3418"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Попри те, що договірне право є найбільш вагомим джерелом МГП, його</w:t>
      </w:r>
      <w:r w:rsidR="003F3418"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норми та принципи часто беруть свій початок у звичаєвому праві, тобто загальній практиці держав (</w:t>
      </w:r>
      <w:proofErr w:type="spellStart"/>
      <w:r w:rsidRPr="005803A9">
        <w:rPr>
          <w:rFonts w:ascii="Times New Roman" w:eastAsia="Times New Roman" w:hAnsi="Times New Roman" w:cs="Times New Roman"/>
          <w:color w:val="141413"/>
          <w:kern w:val="0"/>
          <w:sz w:val="28"/>
          <w:szCs w:val="28"/>
          <w:lang w:val="uk-UA"/>
          <w14:ligatures w14:val="none"/>
        </w:rPr>
        <w:t>usus</w:t>
      </w:r>
      <w:proofErr w:type="spellEnd"/>
      <w:r w:rsidRPr="005803A9">
        <w:rPr>
          <w:rFonts w:ascii="Times New Roman" w:eastAsia="Times New Roman" w:hAnsi="Times New Roman" w:cs="Times New Roman"/>
          <w:color w:val="141413"/>
          <w:kern w:val="0"/>
          <w:sz w:val="28"/>
          <w:szCs w:val="28"/>
          <w:lang w:val="uk-UA"/>
          <w14:ligatures w14:val="none"/>
        </w:rPr>
        <w:t>), що розглядається як право (</w:t>
      </w:r>
      <w:proofErr w:type="spellStart"/>
      <w:r w:rsidRPr="005803A9">
        <w:rPr>
          <w:rFonts w:ascii="Times New Roman" w:eastAsia="Times New Roman" w:hAnsi="Times New Roman" w:cs="Times New Roman"/>
          <w:color w:val="141413"/>
          <w:kern w:val="0"/>
          <w:sz w:val="28"/>
          <w:szCs w:val="28"/>
          <w:lang w:val="uk-UA"/>
          <w14:ligatures w14:val="none"/>
        </w:rPr>
        <w:t>opinio</w:t>
      </w:r>
      <w:proofErr w:type="spellEnd"/>
      <w:r w:rsidR="003F3418" w:rsidRPr="005803A9">
        <w:rPr>
          <w:rFonts w:ascii="Times New Roman" w:eastAsia="Times New Roman" w:hAnsi="Times New Roman" w:cs="Times New Roman"/>
          <w:i/>
          <w:iCs/>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juris</w:t>
      </w:r>
      <w:proofErr w:type="spellEnd"/>
      <w:r w:rsidRPr="005803A9">
        <w:rPr>
          <w:rFonts w:ascii="Times New Roman" w:eastAsia="Times New Roman" w:hAnsi="Times New Roman" w:cs="Times New Roman"/>
          <w:color w:val="141413"/>
          <w:kern w:val="0"/>
          <w:sz w:val="28"/>
          <w:szCs w:val="28"/>
          <w:lang w:val="uk-UA"/>
          <w14:ligatures w14:val="none"/>
        </w:rPr>
        <w:t>).</w:t>
      </w:r>
    </w:p>
    <w:p w14:paraId="0519AB1F" w14:textId="77777777" w:rsidR="008A207D" w:rsidRPr="005803A9" w:rsidRDefault="005D4F7A"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Така практика перетворюється на звичаєве право, що існує паралельно із договірним і незалежно від нього. Звичаєве право не обов’язково повинно передувати договірному праву; воно також може розвиватися після укладення договору або викристалізовуватись у момент</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його укладення. Наприклад, держава, що воює, не ратифікувала ані</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Конвенцію про конкретні види звичайної зброї 1980 року, ані Додатковий протокол I 1977 року, що забороняє використання «зброї, снарядів,</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речовин і методів ведення воєнних дій, які здатні заподіяти надмірних</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ушкоджень або зайвих страждань. Проте, існує загальноприйнята заборона на такі засоби і способи ведення війни</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Отже, цій державі буде</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заборонено використовувати такі боєприпаси за звичаєвим МГП.</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Перевага звичаєвого МГП полягає в тому, що це динамічний набір норм</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права, що постійно розвивається разом із практикою держав та думкою</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правознавців. </w:t>
      </w:r>
    </w:p>
    <w:p w14:paraId="0360ACF8" w14:textId="0A4B4819" w:rsidR="001E0DB5" w:rsidRPr="005803A9" w:rsidRDefault="005D4F7A"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Отже, звичаєве право може набагато швидше адаптуватися до нових викликів та подій, порівняно з договірним правом,</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будь-які зміни або розвиток якого вимагають організації міжнародних</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переговорів, після яких відбувається офіційне прийняття та ратифікація узгодженого тексту. Крім того, якщо договори зобов’язують лише</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ті держави, які їх ратифікували, то звичаєве МГП є обов’язковим для</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всіх учасників збройного конфлікту, незалежно від їхніх договірних зобов’язань. Звичаєве право має значення не лише тоді, коли вже існуюче</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договірне МГП не було ратифіковано державою, що є стороною міжнародного збройного конфлікту; воно є особливо актуальним у ситуаціях збройних конфліктів неміжнародного характеру, оскільки, як було</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вказано вище, вони регулюються набагато меншою кількістю договірних норм, аніж міжнародні збройні конфлікти. </w:t>
      </w:r>
    </w:p>
    <w:p w14:paraId="08EA87C9" w14:textId="0C84E3FE" w:rsidR="005D4F7A" w:rsidRPr="005803A9" w:rsidRDefault="005D4F7A"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Недоліком звичаєвого</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права є те, що воно не ґрунтується на письмовій угоді, та, відповідно,</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нелегко визначити, наскільки певна норма досягла характеру звичаю.</w:t>
      </w:r>
      <w:r w:rsidR="008A207D"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Насправді, національні та міжнародні судові установи під час тлумачення та імплементації міжнародного права мають тенденцію вивчати</w:t>
      </w:r>
      <w:r w:rsidR="001E0DB5"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практику держав та визначати звичаєві норми. </w:t>
      </w:r>
    </w:p>
    <w:p w14:paraId="33161713" w14:textId="7E7C1E90" w:rsidR="005D4F7A" w:rsidRPr="005803A9" w:rsidRDefault="005D4F7A"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lastRenderedPageBreak/>
        <w:t>Той факт, що звичаєве право не є прописаним, не означає, що воно є</w:t>
      </w:r>
      <w:r w:rsidR="00025D83"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менш важливим, аніж договірне право. Різниця полягає в характері</w:t>
      </w:r>
      <w:r w:rsidR="00025D83"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джерела, а не в обов’язковій силі зобов’язань, що випливають із нього. Наприклад, Міжнародний військовий трибунал у Нюрнберзі під час</w:t>
      </w:r>
      <w:r w:rsidR="00025D83"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судових слухань після Другої світової війни встановив не лише, що Гаазька конвенція 1907 року набула звичаєвого характеру, а її дотримання стало обов’язковим для всіх держав, незалежно від ратифікації</w:t>
      </w:r>
      <w:r w:rsidR="00025D83"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та взаємності, а й те, що особи повинні нести кримінальну відповідальність та покарання за порушення її положень як звичаєвого міжнародного права. </w:t>
      </w:r>
    </w:p>
    <w:p w14:paraId="2702448D" w14:textId="2C0E8D72" w:rsidR="00025D83" w:rsidRPr="005803A9" w:rsidRDefault="00025D83"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Третє джерело міжнародного права, поряд із договірним та звичаєм правом, це – </w:t>
      </w:r>
      <w:r w:rsidRPr="005803A9">
        <w:rPr>
          <w:rFonts w:ascii="Times New Roman" w:eastAsia="Times New Roman" w:hAnsi="Times New Roman" w:cs="Times New Roman"/>
          <w:i/>
          <w:iCs/>
          <w:color w:val="141413"/>
          <w:kern w:val="0"/>
          <w:sz w:val="28"/>
          <w:szCs w:val="28"/>
          <w:lang w:val="uk-UA"/>
          <w14:ligatures w14:val="none"/>
        </w:rPr>
        <w:t>загальні принципи права</w:t>
      </w:r>
      <w:r w:rsidRPr="005803A9">
        <w:rPr>
          <w:rFonts w:ascii="Times New Roman" w:eastAsia="Times New Roman" w:hAnsi="Times New Roman" w:cs="Times New Roman"/>
          <w:color w:val="141413"/>
          <w:kern w:val="0"/>
          <w:sz w:val="28"/>
          <w:szCs w:val="28"/>
          <w:lang w:val="uk-UA"/>
          <w14:ligatures w14:val="none"/>
        </w:rPr>
        <w:t>, визнані цивілізованими націями. Немає узгодженого визначення або переліку загальних принципів права.</w:t>
      </w:r>
    </w:p>
    <w:p w14:paraId="28E84DE3" w14:textId="1D1D1D29" w:rsidR="00025D83" w:rsidRPr="005803A9" w:rsidRDefault="00025D83"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Фактично, термін належить до правових принципів, які визнано у всіх розвинутих національних правових системах, таких як обов’язок діяти добросовісно, право на самозбереження та відсутність зворотної сили кримінального законодавства. Загальні принципи права важко визначити з достатньою точністю, і тому вони не відіграють помітної ролі в реалізації МГП. Водночас, якщо вони отримають точне та авторитетне визначення, загальні принципи права можуть мати вирішальне значення, оскільки вони породжують окремі міжнародні зобов’язання.</w:t>
      </w:r>
    </w:p>
    <w:p w14:paraId="3C0BF3C4" w14:textId="34FBE5CF" w:rsidR="00025D83" w:rsidRPr="005803A9" w:rsidRDefault="00025D83"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Зокрема, Міжнародний суд ООН неодноразово виводив зобов’язання за МГП із загального принципу права, а саме – «елементарних міркувань гуманності», в яких «виникає ще більша потреба у мирний час, ніж під час війни». На підставі цього принципу Міжнародний суд ООН стверджував, що зобов’язання держав відповідно до МГП повідомляти про місця розташування морських мінних полів під час війни, застосовується також в мирний час, а також, що гуманітарні принципи, є обов’язковими в будь-якому збройному конфлікті, незалежно від його юридичної класифікації та договірних зобов’язань сторін конфлікту.</w:t>
      </w:r>
    </w:p>
    <w:p w14:paraId="383245A3" w14:textId="2CFAEDC8" w:rsidR="00025D83" w:rsidRPr="005803A9" w:rsidRDefault="00025D83"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У цьому контексті необхідно згадати Декларацію </w:t>
      </w:r>
      <w:proofErr w:type="spellStart"/>
      <w:r w:rsidRPr="005803A9">
        <w:rPr>
          <w:rFonts w:ascii="Times New Roman" w:eastAsia="Times New Roman" w:hAnsi="Times New Roman" w:cs="Times New Roman"/>
          <w:color w:val="141413"/>
          <w:kern w:val="0"/>
          <w:sz w:val="28"/>
          <w:szCs w:val="28"/>
          <w:lang w:val="uk-UA"/>
          <w14:ligatures w14:val="none"/>
        </w:rPr>
        <w:t>Мартенса</w:t>
      </w:r>
      <w:proofErr w:type="spellEnd"/>
      <w:r w:rsidRPr="005803A9">
        <w:rPr>
          <w:rFonts w:ascii="Times New Roman" w:eastAsia="Times New Roman" w:hAnsi="Times New Roman" w:cs="Times New Roman"/>
          <w:color w:val="141413"/>
          <w:kern w:val="0"/>
          <w:sz w:val="28"/>
          <w:szCs w:val="28"/>
          <w:lang w:val="uk-UA"/>
          <w14:ligatures w14:val="none"/>
        </w:rPr>
        <w:t>, зміст якої зводиться до того, що у випадках, не врегульованих договірним правом, населення та воюючі залишаються під охороною і дією принципів міжнародного права, оскільки вони випливають зі звичаїв, що існують між цивілізованими народами, із законів людяності та вимог суспільної свідомості.</w:t>
      </w:r>
    </w:p>
    <w:p w14:paraId="44659F37" w14:textId="65E7A334" w:rsidR="00025D83" w:rsidRPr="005803A9" w:rsidRDefault="00025D83"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i/>
          <w:iCs/>
          <w:color w:val="141413"/>
          <w:kern w:val="0"/>
          <w:sz w:val="28"/>
          <w:szCs w:val="28"/>
          <w:lang w:val="uk-UA"/>
          <w14:ligatures w14:val="none"/>
        </w:rPr>
        <w:t>Роль</w:t>
      </w:r>
      <w:r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i/>
          <w:iCs/>
          <w:color w:val="141413"/>
          <w:kern w:val="0"/>
          <w:sz w:val="28"/>
          <w:szCs w:val="28"/>
          <w:lang w:val="uk-UA"/>
          <w14:ligatures w14:val="none"/>
        </w:rPr>
        <w:t>м’якого права</w:t>
      </w:r>
      <w:r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i/>
          <w:iCs/>
          <w:color w:val="141413"/>
          <w:kern w:val="0"/>
          <w:sz w:val="28"/>
          <w:szCs w:val="28"/>
          <w:lang w:val="uk-UA"/>
          <w14:ligatures w14:val="none"/>
        </w:rPr>
        <w:t>судової практики та доктрини.</w:t>
      </w:r>
      <w:r w:rsidRPr="005803A9">
        <w:rPr>
          <w:rFonts w:ascii="Times New Roman" w:eastAsia="Times New Roman" w:hAnsi="Times New Roman" w:cs="Times New Roman"/>
          <w:color w:val="141413"/>
          <w:kern w:val="0"/>
          <w:sz w:val="28"/>
          <w:szCs w:val="28"/>
          <w:lang w:val="uk-UA"/>
          <w14:ligatures w14:val="none"/>
        </w:rPr>
        <w:t xml:space="preserve"> Хоча договори, звичаї та загальні принципи права є єдиними джерелами міжнародного права, норми та принципи, що випливають з цих джерел, часто потребують більш детального тлумачення перед їх застосуванням на практиці.</w:t>
      </w:r>
    </w:p>
    <w:p w14:paraId="3AE54E9C" w14:textId="534C5395" w:rsidR="00025D83" w:rsidRPr="005803A9" w:rsidRDefault="00025D83"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Наприклад, хоча з права чітко випливає той факт, що МГП застосовується лише в ситуаціях «збройного конфлікту», точне значення цього терміну необхідно визначити за допомогою юридичного тлумачення. Аналогічно, МГП передбачає, що цивільні особи мають право на захист від прямого нападу за винятком того часу, коли вони беруть безпосередню участь у бойових діях. Знову ж таки, рішення про те, чи втратила певна цивільна особа захист, залежить від змісту терміну «безпосередня участь у бойових діях».</w:t>
      </w:r>
    </w:p>
    <w:p w14:paraId="43267572" w14:textId="4F5E5A86" w:rsidR="00025D83" w:rsidRPr="005803A9" w:rsidRDefault="00025D83"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Звичайно, вказівки щодо тлумачення МГП можуть бути надані самими державами як суб’єктами </w:t>
      </w:r>
      <w:proofErr w:type="spellStart"/>
      <w:r w:rsidRPr="005803A9">
        <w:rPr>
          <w:rFonts w:ascii="Times New Roman" w:eastAsia="Times New Roman" w:hAnsi="Times New Roman" w:cs="Times New Roman"/>
          <w:color w:val="141413"/>
          <w:kern w:val="0"/>
          <w:sz w:val="28"/>
          <w:szCs w:val="28"/>
          <w:lang w:val="uk-UA"/>
          <w14:ligatures w14:val="none"/>
        </w:rPr>
        <w:t>нормотворення</w:t>
      </w:r>
      <w:proofErr w:type="spellEnd"/>
      <w:r w:rsidRPr="005803A9">
        <w:rPr>
          <w:rFonts w:ascii="Times New Roman" w:eastAsia="Times New Roman" w:hAnsi="Times New Roman" w:cs="Times New Roman"/>
          <w:color w:val="141413"/>
          <w:kern w:val="0"/>
          <w:sz w:val="28"/>
          <w:szCs w:val="28"/>
          <w:lang w:val="uk-UA"/>
          <w14:ligatures w14:val="none"/>
        </w:rPr>
        <w:t xml:space="preserve"> у міжнародному праві. Це може мати форму </w:t>
      </w:r>
      <w:r w:rsidRPr="005803A9">
        <w:rPr>
          <w:rFonts w:ascii="Times New Roman" w:eastAsia="Times New Roman" w:hAnsi="Times New Roman" w:cs="Times New Roman"/>
          <w:color w:val="141413"/>
          <w:kern w:val="0"/>
          <w:sz w:val="28"/>
          <w:szCs w:val="28"/>
          <w:lang w:val="uk-UA"/>
          <w14:ligatures w14:val="none"/>
        </w:rPr>
        <w:lastRenderedPageBreak/>
        <w:t>односторонніх застережень чи декларацій або резолюцій багатосторонніх організацій, а також виражатися у підтримці документів, котрі не мають обов’язкової сили. До переліку таких документів «м’якого права», що мають значення для тлумачення МГП, належать Керівні принципи ООН з питань внутрішнього переміщення (1998 р.) та Основні принципи та керівні положення ООН, що стосуються права на правовий захист і відшкодування шкоди для жертв грубих порушень міжнародних норм у галузі прав людини та серйозних</w:t>
      </w:r>
      <w:r w:rsidR="008A207D"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порушень міжнародного гуманітарного права</w:t>
      </w:r>
      <w:r w:rsidR="008A207D"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(2005 р.).</w:t>
      </w:r>
    </w:p>
    <w:p w14:paraId="24E9002C" w14:textId="18BE5444" w:rsidR="00025D83" w:rsidRPr="005803A9" w:rsidRDefault="00025D83"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За відсутності таких вказівок від держав, завдання тлумачення МГП покладається, передусім, на міжнародні суди та трибунали, яким надається право вирішувати справи, пов’язані з МГП, як-от спеціальним міжнародним кримінальним трибуналам, створеним для розгляду справ, пов’язаних з конкретним конфліктом, Міжнародному кримінальному суду і, звичайно, МС ООН. Крім того, доктрина найбільш кваліфікованих спеціалістів з публічного права також визнається допоміжним засобом для визначення норм права.</w:t>
      </w:r>
    </w:p>
    <w:p w14:paraId="6E081744" w14:textId="77777777" w:rsidR="00025D83" w:rsidRPr="005803A9" w:rsidRDefault="00025D83"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p>
    <w:p w14:paraId="5F65A626" w14:textId="713ECA22" w:rsidR="00084D1E" w:rsidRPr="005803A9" w:rsidRDefault="00FA6AFE" w:rsidP="009F15A9">
      <w:pPr>
        <w:spacing w:after="0" w:line="240" w:lineRule="auto"/>
        <w:ind w:firstLine="709"/>
        <w:jc w:val="both"/>
        <w:rPr>
          <w:rFonts w:ascii="Times New Roman" w:hAnsi="Times New Roman" w:cs="Times New Roman"/>
          <w:b/>
          <w:bCs/>
          <w:sz w:val="28"/>
          <w:szCs w:val="28"/>
          <w:lang w:val="uk-UA"/>
        </w:rPr>
      </w:pPr>
      <w:r w:rsidRPr="005803A9">
        <w:rPr>
          <w:rFonts w:ascii="Times New Roman" w:hAnsi="Times New Roman" w:cs="Times New Roman"/>
          <w:b/>
          <w:bCs/>
          <w:sz w:val="28"/>
          <w:szCs w:val="28"/>
          <w:lang w:val="uk-UA"/>
        </w:rPr>
        <w:t>3. Міжнародне гуманітарне право у міжнародному правопорядку</w:t>
      </w:r>
    </w:p>
    <w:p w14:paraId="14733DE7" w14:textId="77777777" w:rsidR="00FA6AFE" w:rsidRPr="005803A9" w:rsidRDefault="00FA6AFE" w:rsidP="009F15A9">
      <w:pPr>
        <w:spacing w:after="0" w:line="240" w:lineRule="auto"/>
        <w:ind w:firstLine="709"/>
        <w:jc w:val="both"/>
        <w:rPr>
          <w:rFonts w:ascii="Times New Roman" w:hAnsi="Times New Roman" w:cs="Times New Roman"/>
          <w:b/>
          <w:bCs/>
          <w:sz w:val="28"/>
          <w:szCs w:val="28"/>
          <w:lang w:val="uk-UA"/>
        </w:rPr>
      </w:pPr>
    </w:p>
    <w:p w14:paraId="441DD69E" w14:textId="77777777"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МГП є галуззю міжнародного права, яка регулює ситуації збройного конфлікту. Отже, її слід відрізняти від інших галузей міжнародного права, зокрема тих, що можуть застосовуватися одночасно з МГП, але мають інші об’єкти та цілі. </w:t>
      </w:r>
    </w:p>
    <w:p w14:paraId="74A8B669" w14:textId="77777777"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Найбільш важливими комплексами норм в цьому контексті є: </w:t>
      </w:r>
    </w:p>
    <w:p w14:paraId="57BEE051" w14:textId="77777777"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 Статут ООН та заборона агресії у міждержавних відносинах; </w:t>
      </w:r>
    </w:p>
    <w:p w14:paraId="5C3537B6" w14:textId="77777777"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 міжнародне право прав людини; </w:t>
      </w:r>
    </w:p>
    <w:p w14:paraId="6E9A1624" w14:textId="77777777"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 міжнародне кримінальне право; </w:t>
      </w:r>
    </w:p>
    <w:p w14:paraId="6353E97B" w14:textId="77777777"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 право нейтралітету. </w:t>
      </w:r>
    </w:p>
    <w:p w14:paraId="2638CAD3" w14:textId="2320A98E"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Слід зазначити, що, залежно від ситуації, інші галузі міжнародного права, які тут детально не розглядаються, також можуть мати відношення до цієї теми. Зокрема, до них належать морське право, право зовнішніх відносин, екологічне право та право біженців.</w:t>
      </w:r>
    </w:p>
    <w:p w14:paraId="7A592FD2" w14:textId="678ED8E5" w:rsidR="008A207D" w:rsidRPr="005803A9" w:rsidRDefault="008A207D" w:rsidP="008A207D">
      <w:pPr>
        <w:spacing w:after="0" w:line="240" w:lineRule="auto"/>
        <w:ind w:firstLine="709"/>
        <w:jc w:val="both"/>
        <w:rPr>
          <w:rFonts w:ascii="Times New Roman" w:eastAsia="Times New Roman" w:hAnsi="Times New Roman" w:cs="Times New Roman"/>
          <w:i/>
          <w:iCs/>
          <w:color w:val="141413"/>
          <w:kern w:val="0"/>
          <w:sz w:val="28"/>
          <w:szCs w:val="28"/>
          <w:lang w:val="uk-UA"/>
          <w14:ligatures w14:val="none"/>
        </w:rPr>
      </w:pPr>
      <w:r w:rsidRPr="005803A9">
        <w:rPr>
          <w:rFonts w:ascii="Times New Roman" w:eastAsia="Times New Roman" w:hAnsi="Times New Roman" w:cs="Times New Roman"/>
          <w:i/>
          <w:iCs/>
          <w:color w:val="141413"/>
          <w:kern w:val="0"/>
          <w:sz w:val="28"/>
          <w:szCs w:val="28"/>
          <w:lang w:val="uk-UA"/>
          <w14:ligatures w14:val="none"/>
        </w:rPr>
        <w:t xml:space="preserve">МГП та заборона застосування сили у міждержавних відносинах. </w:t>
      </w:r>
      <w:r w:rsidR="00FA6AFE" w:rsidRPr="005803A9">
        <w:rPr>
          <w:rFonts w:ascii="Times New Roman" w:eastAsia="Times New Roman" w:hAnsi="Times New Roman" w:cs="Times New Roman"/>
          <w:color w:val="141413"/>
          <w:kern w:val="0"/>
          <w:sz w:val="28"/>
          <w:szCs w:val="28"/>
          <w:lang w:val="uk-UA"/>
          <w14:ligatures w14:val="none"/>
        </w:rPr>
        <w:t xml:space="preserve">МГП регулює ситуації збройних конфліктів у разі їх виникнення. Проте, воно не встановлює правомірність застосування сили однією державою проти іншої. Ця функція права, що регулює застосування сили у відносинах між державами, яке має назву </w:t>
      </w:r>
      <w:proofErr w:type="spellStart"/>
      <w:r w:rsidR="00FA6AFE" w:rsidRPr="005803A9">
        <w:rPr>
          <w:rFonts w:ascii="Times New Roman" w:eastAsia="Times New Roman" w:hAnsi="Times New Roman" w:cs="Times New Roman"/>
          <w:color w:val="141413"/>
          <w:kern w:val="0"/>
          <w:sz w:val="28"/>
          <w:szCs w:val="28"/>
          <w:lang w:val="uk-UA"/>
          <w14:ligatures w14:val="none"/>
        </w:rPr>
        <w:t>jus</w:t>
      </w:r>
      <w:proofErr w:type="spellEnd"/>
      <w:r w:rsidR="00FA6AFE" w:rsidRPr="005803A9">
        <w:rPr>
          <w:rFonts w:ascii="Times New Roman" w:eastAsia="Times New Roman" w:hAnsi="Times New Roman" w:cs="Times New Roman"/>
          <w:color w:val="141413"/>
          <w:kern w:val="0"/>
          <w:sz w:val="28"/>
          <w:szCs w:val="28"/>
          <w:lang w:val="uk-UA"/>
          <w14:ligatures w14:val="none"/>
        </w:rPr>
        <w:t xml:space="preserve"> </w:t>
      </w:r>
      <w:proofErr w:type="spellStart"/>
      <w:r w:rsidR="00FA6AFE" w:rsidRPr="005803A9">
        <w:rPr>
          <w:rFonts w:ascii="Times New Roman" w:eastAsia="Times New Roman" w:hAnsi="Times New Roman" w:cs="Times New Roman"/>
          <w:color w:val="141413"/>
          <w:kern w:val="0"/>
          <w:sz w:val="28"/>
          <w:szCs w:val="28"/>
          <w:lang w:val="uk-UA"/>
          <w14:ligatures w14:val="none"/>
        </w:rPr>
        <w:t>ad</w:t>
      </w:r>
      <w:proofErr w:type="spellEnd"/>
      <w:r w:rsidR="00FA6AFE" w:rsidRPr="005803A9">
        <w:rPr>
          <w:rFonts w:ascii="Times New Roman" w:eastAsia="Times New Roman" w:hAnsi="Times New Roman" w:cs="Times New Roman"/>
          <w:color w:val="141413"/>
          <w:kern w:val="0"/>
          <w:sz w:val="28"/>
          <w:szCs w:val="28"/>
          <w:lang w:val="uk-UA"/>
          <w14:ligatures w14:val="none"/>
        </w:rPr>
        <w:t xml:space="preserve"> </w:t>
      </w:r>
      <w:proofErr w:type="spellStart"/>
      <w:r w:rsidR="00FA6AFE" w:rsidRPr="005803A9">
        <w:rPr>
          <w:rFonts w:ascii="Times New Roman" w:eastAsia="Times New Roman" w:hAnsi="Times New Roman" w:cs="Times New Roman"/>
          <w:color w:val="141413"/>
          <w:kern w:val="0"/>
          <w:sz w:val="28"/>
          <w:szCs w:val="28"/>
          <w:lang w:val="uk-UA"/>
          <w14:ligatures w14:val="none"/>
        </w:rPr>
        <w:t>bellum</w:t>
      </w:r>
      <w:proofErr w:type="spellEnd"/>
      <w:r w:rsidR="00FA6AFE" w:rsidRPr="005803A9">
        <w:rPr>
          <w:rFonts w:ascii="Times New Roman" w:eastAsia="Times New Roman" w:hAnsi="Times New Roman" w:cs="Times New Roman"/>
          <w:color w:val="141413"/>
          <w:kern w:val="0"/>
          <w:sz w:val="28"/>
          <w:szCs w:val="28"/>
          <w:lang w:val="uk-UA"/>
          <w14:ligatures w14:val="none"/>
        </w:rPr>
        <w:t xml:space="preserve"> (у цьому контексті можна використати й більш точну назву </w:t>
      </w:r>
      <w:proofErr w:type="spellStart"/>
      <w:r w:rsidR="00FA6AFE" w:rsidRPr="005803A9">
        <w:rPr>
          <w:rFonts w:ascii="Times New Roman" w:eastAsia="Times New Roman" w:hAnsi="Times New Roman" w:cs="Times New Roman"/>
          <w:color w:val="141413"/>
          <w:kern w:val="0"/>
          <w:sz w:val="28"/>
          <w:szCs w:val="28"/>
          <w:lang w:val="uk-UA"/>
          <w14:ligatures w14:val="none"/>
        </w:rPr>
        <w:t>jus</w:t>
      </w:r>
      <w:proofErr w:type="spellEnd"/>
      <w:r w:rsidR="00FA6AFE" w:rsidRPr="005803A9">
        <w:rPr>
          <w:rFonts w:ascii="Times New Roman" w:eastAsia="Times New Roman" w:hAnsi="Times New Roman" w:cs="Times New Roman"/>
          <w:color w:val="141413"/>
          <w:kern w:val="0"/>
          <w:sz w:val="28"/>
          <w:szCs w:val="28"/>
          <w:lang w:val="uk-UA"/>
          <w14:ligatures w14:val="none"/>
        </w:rPr>
        <w:t xml:space="preserve"> </w:t>
      </w:r>
      <w:proofErr w:type="spellStart"/>
      <w:r w:rsidR="00FA6AFE" w:rsidRPr="005803A9">
        <w:rPr>
          <w:rFonts w:ascii="Times New Roman" w:eastAsia="Times New Roman" w:hAnsi="Times New Roman" w:cs="Times New Roman"/>
          <w:color w:val="141413"/>
          <w:kern w:val="0"/>
          <w:sz w:val="28"/>
          <w:szCs w:val="28"/>
          <w:lang w:val="uk-UA"/>
          <w14:ligatures w14:val="none"/>
        </w:rPr>
        <w:t>contra</w:t>
      </w:r>
      <w:proofErr w:type="spellEnd"/>
      <w:r w:rsidR="00FA6AFE" w:rsidRPr="005803A9">
        <w:rPr>
          <w:rFonts w:ascii="Times New Roman" w:eastAsia="Times New Roman" w:hAnsi="Times New Roman" w:cs="Times New Roman"/>
          <w:color w:val="141413"/>
          <w:kern w:val="0"/>
          <w:sz w:val="28"/>
          <w:szCs w:val="28"/>
          <w:lang w:val="uk-UA"/>
          <w14:ligatures w14:val="none"/>
        </w:rPr>
        <w:t xml:space="preserve"> </w:t>
      </w:r>
      <w:proofErr w:type="spellStart"/>
      <w:r w:rsidR="00FA6AFE" w:rsidRPr="005803A9">
        <w:rPr>
          <w:rFonts w:ascii="Times New Roman" w:eastAsia="Times New Roman" w:hAnsi="Times New Roman" w:cs="Times New Roman"/>
          <w:color w:val="141413"/>
          <w:kern w:val="0"/>
          <w:sz w:val="28"/>
          <w:szCs w:val="28"/>
          <w:lang w:val="uk-UA"/>
          <w14:ligatures w14:val="none"/>
        </w:rPr>
        <w:t>bellum</w:t>
      </w:r>
      <w:proofErr w:type="spellEnd"/>
      <w:r w:rsidR="00FA6AFE" w:rsidRPr="005803A9">
        <w:rPr>
          <w:rFonts w:ascii="Times New Roman" w:eastAsia="Times New Roman" w:hAnsi="Times New Roman" w:cs="Times New Roman"/>
          <w:color w:val="141413"/>
          <w:kern w:val="0"/>
          <w:sz w:val="28"/>
          <w:szCs w:val="28"/>
          <w:lang w:val="uk-UA"/>
          <w14:ligatures w14:val="none"/>
        </w:rPr>
        <w:t xml:space="preserve">), основні положення якого викладені в Статуті ООН та відповідному звичаєвому праві. </w:t>
      </w:r>
    </w:p>
    <w:p w14:paraId="7A2DDAA8" w14:textId="71C3A9E2"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Стаття 2 Статуту ООН передбачає, що держави утримуються у своїх міжнародних відносинах від погрози силою або її застосування як проти територіальної недоторканності або політичної незалежності будь-якої держави, так і якимось іншим чином, несумісним із цілями Об’єднаних Націй. Фактично, це означає повну заборону застосування сили чи погрози її застосування в міжнародних відносинах між державами. </w:t>
      </w:r>
    </w:p>
    <w:p w14:paraId="2BBDACD6" w14:textId="6FD3BA13"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Хоча, для МГП це не має жодного значення, питання про те, чи порушено заборону застосування сили у відносинах між державами, є важливою частиною </w:t>
      </w:r>
      <w:r w:rsidRPr="005803A9">
        <w:rPr>
          <w:rFonts w:ascii="Times New Roman" w:eastAsia="Times New Roman" w:hAnsi="Times New Roman" w:cs="Times New Roman"/>
          <w:color w:val="141413"/>
          <w:kern w:val="0"/>
          <w:sz w:val="28"/>
          <w:szCs w:val="28"/>
          <w:lang w:val="uk-UA"/>
          <w14:ligatures w14:val="none"/>
        </w:rPr>
        <w:lastRenderedPageBreak/>
        <w:t>правового та політичного контексту будь-якого збройного конфлікту, що охоплює і транскордонні операції на території</w:t>
      </w:r>
      <w:r w:rsid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іншої держави.</w:t>
      </w:r>
    </w:p>
    <w:p w14:paraId="7DCAA3E6" w14:textId="76536C2E"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У Статуті ООН передбачено лише два винятки із заборони застосування сили у відносинах між державами. По-перше, стаття 51 зазначає, що заборона не обмежує невід’ємного права на індивідуальну або колективну самооборону у випадку збройного нападу. Фактично, це означає, що держава може на законних підставах з метою самооборони вдаватися у міждержавних відносинах до такої сили, яка є необхідною і </w:t>
      </w:r>
      <w:proofErr w:type="spellStart"/>
      <w:r w:rsidRPr="005803A9">
        <w:rPr>
          <w:rFonts w:ascii="Times New Roman" w:eastAsia="Times New Roman" w:hAnsi="Times New Roman" w:cs="Times New Roman"/>
          <w:color w:val="141413"/>
          <w:kern w:val="0"/>
          <w:sz w:val="28"/>
          <w:szCs w:val="28"/>
          <w:lang w:val="uk-UA"/>
          <w14:ligatures w14:val="none"/>
        </w:rPr>
        <w:t>співмірною</w:t>
      </w:r>
      <w:proofErr w:type="spellEnd"/>
      <w:r w:rsidRPr="005803A9">
        <w:rPr>
          <w:rFonts w:ascii="Times New Roman" w:eastAsia="Times New Roman" w:hAnsi="Times New Roman" w:cs="Times New Roman"/>
          <w:color w:val="141413"/>
          <w:kern w:val="0"/>
          <w:sz w:val="28"/>
          <w:szCs w:val="28"/>
          <w:lang w:val="uk-UA"/>
          <w14:ligatures w14:val="none"/>
        </w:rPr>
        <w:t xml:space="preserve"> збройному нападу. По-друге, у статті 42 зазначено, що Рада Безпеки може застосовувати або дозволяти застосування сили у відносинах між державами, наскільки це може бути необхідним для підтримання або відновлення міжнародного миру та безпеки. Однак, варто наголосити, що обидва винятки стосуються лише заборони Статуту щодо застосування сили між державами, але вони не можуть припинити, зменшити або іншим чином змінити абсолютні зобов’язання воюючих сторін щодо дотримання МГП (рівність сторін конфлікту).</w:t>
      </w:r>
    </w:p>
    <w:p w14:paraId="580B6733" w14:textId="136F56C7" w:rsidR="00FA6AFE" w:rsidRPr="005803A9" w:rsidRDefault="008A207D"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i/>
          <w:iCs/>
          <w:color w:val="141413"/>
          <w:kern w:val="0"/>
          <w:sz w:val="28"/>
          <w:szCs w:val="28"/>
          <w:lang w:val="uk-UA"/>
          <w14:ligatures w14:val="none"/>
        </w:rPr>
        <w:t>МГП та міжнародне право прав людини</w:t>
      </w:r>
      <w:r w:rsidRPr="005803A9">
        <w:rPr>
          <w:rFonts w:ascii="Times New Roman" w:eastAsia="Times New Roman" w:hAnsi="Times New Roman" w:cs="Times New Roman"/>
          <w:color w:val="141413"/>
          <w:kern w:val="0"/>
          <w:sz w:val="28"/>
          <w:szCs w:val="28"/>
          <w:lang w:val="uk-UA"/>
          <w14:ligatures w14:val="none"/>
        </w:rPr>
        <w:t xml:space="preserve">. </w:t>
      </w:r>
      <w:r w:rsidR="00FA6AFE" w:rsidRPr="005803A9">
        <w:rPr>
          <w:rFonts w:ascii="Times New Roman" w:eastAsia="Times New Roman" w:hAnsi="Times New Roman" w:cs="Times New Roman"/>
          <w:color w:val="141413"/>
          <w:kern w:val="0"/>
          <w:sz w:val="28"/>
          <w:szCs w:val="28"/>
          <w:lang w:val="uk-UA"/>
          <w14:ligatures w14:val="none"/>
        </w:rPr>
        <w:t>Якщо МГП регулює ведення бойових дій та захист осіб у ситуаціях збройних конфліктів, то міжнародне право прав людини захищає особу від протиправного чи деспотичного використання владних повноважень органами держави. Хоча ці дві галузі права містять безліч подібних положень, між ними є також і значні відмінності.</w:t>
      </w:r>
    </w:p>
    <w:p w14:paraId="1E69A4B5" w14:textId="0A4C4F7E" w:rsidR="00FA6AFE" w:rsidRPr="005803A9" w:rsidRDefault="00FA6AFE"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Сфера застосування: застосування щодо осіб, матеріальне й територіальне застосування МГП, фактично, залежать від існування зв’язку зі збройним конфліктом, а застосування права прав людини залежить від того, чи перебуває конкретна особа в межах юрисдикції відповідної держави. Наприклад, під час міжнародного збройного</w:t>
      </w:r>
      <w:r w:rsidR="008A207D"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конфлікту МГП застосовується не тільки на територіях держав, що воюють, а й практично там, де відбувається зіткнення їх збройних сил, включно з територією третіх держав, міжнародним повітряним простором, відкритим морем і навіть кіберпростором. Відповідно до найпоширенішого тлумачення, право прав людини застосовується лише тоді, коли особи перебувають на території, контрольованій певною державою, включно з окупованою територією (територіальна юрисдикція), або ж на території, де певна держава встановлює ефективний контроль, який найчастіше полягає у фізичному утриманні під вартою, над особами, які знаходяться за межами її територіальної.</w:t>
      </w:r>
    </w:p>
    <w:p w14:paraId="05406AC8" w14:textId="22D719D4"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Висловлювались також варіанти більш широкого тлумачення поняття юрисдикції, за яким право прав людини поширювалось би на будь-яку особу, яка зазнала негативного впливу з боку певної держави, проте таке тлумачення й досі залишається спірним.</w:t>
      </w:r>
    </w:p>
    <w:p w14:paraId="2F090669" w14:textId="1391157C"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МГП іноді помилково визначається як право прав людини в збройних конфліктах. На відміну від права прав людини, МГП взагалі не надає особам прав, забезпечення яких вони б могли вимагати через процедури подання індивідуальних скарг. Крім того, право прав людини зосереджене саме на людях, тоді як МГП також безпосередньо захищає, наприклад, худобу, цивільні об’єкти, культурні цінності, природне середовище та політичний устрій окупованих територій. Нарешті, право прав людини є обов’язковим лише для держав, тоді як МГП є обов’язковим для всіх учасників збройного конфлікту, включно з недержавними збройними групами.</w:t>
      </w:r>
    </w:p>
    <w:p w14:paraId="7D23CA9B" w14:textId="28965BD2"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lastRenderedPageBreak/>
        <w:t>Насамперед МГП застосовується лише у збройних конфліктах і було розроблене саме для регулювання</w:t>
      </w:r>
      <w:r w:rsid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таких ситуацій. Тому, якщо це прямо не передбачено у відповідних договірних положеннях, норми та принципи МГП не допускають відступлення від них. Наприклад, не дозволяється ігнорувати заборону нападів на цивільне населення, посилаючись на військову необхідність, право на самооборону або на стихійне лихо. З іншого боку, право прав людини застосовується незалежно від наявності збройного конфлікту.</w:t>
      </w:r>
    </w:p>
    <w:p w14:paraId="6BADE6C7" w14:textId="43F52A62"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Однак, у разі виникнення надзвичайної ситуації, право прав людини допускає відступлення (</w:t>
      </w:r>
      <w:proofErr w:type="spellStart"/>
      <w:r w:rsidRPr="005803A9">
        <w:rPr>
          <w:rFonts w:ascii="Times New Roman" w:eastAsia="Times New Roman" w:hAnsi="Times New Roman" w:cs="Times New Roman"/>
          <w:color w:val="141413"/>
          <w:kern w:val="0"/>
          <w:sz w:val="28"/>
          <w:szCs w:val="28"/>
          <w:lang w:val="uk-UA"/>
          <w14:ligatures w14:val="none"/>
        </w:rPr>
        <w:t>дерогацію</w:t>
      </w:r>
      <w:proofErr w:type="spellEnd"/>
      <w:r w:rsidRPr="005803A9">
        <w:rPr>
          <w:rFonts w:ascii="Times New Roman" w:eastAsia="Times New Roman" w:hAnsi="Times New Roman" w:cs="Times New Roman"/>
          <w:color w:val="141413"/>
          <w:kern w:val="0"/>
          <w:sz w:val="28"/>
          <w:szCs w:val="28"/>
          <w:lang w:val="uk-UA"/>
          <w14:ligatures w14:val="none"/>
        </w:rPr>
        <w:t>) від захищених прав тією мірою, якою це дійсно вимагається внаслідок такої ситуації. Наприклад, під час збройного конфлікту або стихійного лиха уряд може законно обмежувати свободу пересування, щоб захистити населення на вражених територіях та сприяти діяльності уряду, спрямованій на відновлення громадської безпеки та правопорядку. Лише визначена низка основоположних прав людини, таких як право на життя, заборона катувань та нелюдського або такого, що принижує гідність, поводження чи покарання, а також заборона рабства не допускають обмежень чи відступлення навіть під час надзвичайних ситуацій.</w:t>
      </w:r>
    </w:p>
    <w:p w14:paraId="1B8D41A6" w14:textId="5424FAEF"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Незважаючи на ці принципові відмінності, МГП та право прав людини, як було справедливо зазначено, мають спільне ядро невід’ємних прав і загальну мету – захист життя та гідності людини.</w:t>
      </w:r>
    </w:p>
    <w:p w14:paraId="542B51FA" w14:textId="5468B845"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Зазвичай, коли МГП та право прав людини застосовуються одночасно</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до тієї самої ситуації, їх відповідні положення не перебувають у суперечності, а навпаки – взаємно доповнюють одне одного. Отже, як МГП,</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так і право прав людини забороняють катування та нелюдське, а також</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таке, що принижує людську гідність, поводження й надають гарантії</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справедливого судового розгляду будь-якій особі, яку звинувачують у</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вчиненні злочину.</w:t>
      </w:r>
    </w:p>
    <w:p w14:paraId="210BD2E8" w14:textId="0AED56E7"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У деяких сферах взаємозв’язок між МГП та правом прав людини може</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бути менш простим. Наприклад, щодо осіб, які не беруть безпосередньої участі або більше не залучені до бойових дій, МГП забороняє</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будь-яке насилля, спрямоване проти їхнього життя і фізичної недоторканності за будь-яких обставин, включно з вбивством. Однак, з очевидних причин воно не забезпечує такий захист комбатантам та цивільним</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особам, які беруть безпосередню участь у бойових діях. З іншого боку,</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універсальне право прав людини захищає всіх людей від свавільного</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позбавлення життя, у такий спосіб припускаючи, що однакові стандарти застосовуються до всіх осіб, незалежно</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від їхнього статусу в межах</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МГП. У таких випадках відповідні положення, зазвичай, узгоджують</w:t>
      </w:r>
      <w:r w:rsidR="00413C64" w:rsidRPr="005803A9">
        <w:rPr>
          <w:rFonts w:ascii="Times New Roman" w:eastAsia="Times New Roman" w:hAnsi="Times New Roman" w:cs="Times New Roman"/>
          <w:color w:val="141413"/>
          <w:kern w:val="0"/>
          <w:sz w:val="28"/>
          <w:szCs w:val="28"/>
          <w:lang w:val="uk-UA"/>
          <w14:ligatures w14:val="none"/>
        </w:rPr>
        <w:t>с</w:t>
      </w:r>
      <w:r w:rsidRPr="005803A9">
        <w:rPr>
          <w:rFonts w:ascii="Times New Roman" w:eastAsia="Times New Roman" w:hAnsi="Times New Roman" w:cs="Times New Roman"/>
          <w:color w:val="141413"/>
          <w:kern w:val="0"/>
          <w:sz w:val="28"/>
          <w:szCs w:val="28"/>
          <w:lang w:val="uk-UA"/>
          <w14:ligatures w14:val="none"/>
        </w:rPr>
        <w:t xml:space="preserve">я за принципом </w:t>
      </w:r>
      <w:proofErr w:type="spellStart"/>
      <w:r w:rsidRPr="005803A9">
        <w:rPr>
          <w:rFonts w:ascii="Times New Roman" w:eastAsia="Times New Roman" w:hAnsi="Times New Roman" w:cs="Times New Roman"/>
          <w:color w:val="141413"/>
          <w:kern w:val="0"/>
          <w:sz w:val="28"/>
          <w:szCs w:val="28"/>
          <w:lang w:val="uk-UA"/>
          <w14:ligatures w14:val="none"/>
        </w:rPr>
        <w:t>lex</w:t>
      </w:r>
      <w:proofErr w:type="spellEnd"/>
      <w:r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specialis</w:t>
      </w:r>
      <w:proofErr w:type="spellEnd"/>
      <w:r w:rsidRPr="005803A9">
        <w:rPr>
          <w:rFonts w:ascii="Times New Roman" w:eastAsia="Times New Roman" w:hAnsi="Times New Roman" w:cs="Times New Roman"/>
          <w:color w:val="141413"/>
          <w:kern w:val="0"/>
          <w:sz w:val="28"/>
          <w:szCs w:val="28"/>
          <w:lang w:val="uk-UA"/>
          <w14:ligatures w14:val="none"/>
        </w:rPr>
        <w:t>, який передбачає, що спеціальні норми,</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більшою мірою розроблені для вирішення конкретної ситуації, котра</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склалася (</w:t>
      </w:r>
      <w:proofErr w:type="spellStart"/>
      <w:r w:rsidRPr="005803A9">
        <w:rPr>
          <w:rFonts w:ascii="Times New Roman" w:eastAsia="Times New Roman" w:hAnsi="Times New Roman" w:cs="Times New Roman"/>
          <w:color w:val="141413"/>
          <w:kern w:val="0"/>
          <w:sz w:val="28"/>
          <w:szCs w:val="28"/>
          <w:lang w:val="uk-UA"/>
          <w14:ligatures w14:val="none"/>
        </w:rPr>
        <w:t>lex</w:t>
      </w:r>
      <w:proofErr w:type="spellEnd"/>
      <w:r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specialis</w:t>
      </w:r>
      <w:proofErr w:type="spellEnd"/>
      <w:r w:rsidRPr="005803A9">
        <w:rPr>
          <w:rFonts w:ascii="Times New Roman" w:eastAsia="Times New Roman" w:hAnsi="Times New Roman" w:cs="Times New Roman"/>
          <w:color w:val="141413"/>
          <w:kern w:val="0"/>
          <w:sz w:val="28"/>
          <w:szCs w:val="28"/>
          <w:lang w:val="uk-UA"/>
          <w14:ligatures w14:val="none"/>
        </w:rPr>
        <w:t>), мають перевагу над конкуруючими нормами</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більш загального характеру (</w:t>
      </w:r>
      <w:proofErr w:type="spellStart"/>
      <w:r w:rsidRPr="005803A9">
        <w:rPr>
          <w:rFonts w:ascii="Times New Roman" w:eastAsia="Times New Roman" w:hAnsi="Times New Roman" w:cs="Times New Roman"/>
          <w:color w:val="141413"/>
          <w:kern w:val="0"/>
          <w:sz w:val="28"/>
          <w:szCs w:val="28"/>
          <w:lang w:val="uk-UA"/>
          <w14:ligatures w14:val="none"/>
        </w:rPr>
        <w:t>lex</w:t>
      </w:r>
      <w:proofErr w:type="spellEnd"/>
      <w:r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generalis</w:t>
      </w:r>
      <w:proofErr w:type="spellEnd"/>
      <w:r w:rsidRPr="005803A9">
        <w:rPr>
          <w:rFonts w:ascii="Times New Roman" w:eastAsia="Times New Roman" w:hAnsi="Times New Roman" w:cs="Times New Roman"/>
          <w:color w:val="141413"/>
          <w:kern w:val="0"/>
          <w:sz w:val="28"/>
          <w:szCs w:val="28"/>
          <w:lang w:val="uk-UA"/>
          <w14:ligatures w14:val="none"/>
        </w:rPr>
        <w:t xml:space="preserve">). Тому </w:t>
      </w:r>
      <w:r w:rsidR="00413C64" w:rsidRPr="005803A9">
        <w:rPr>
          <w:rFonts w:ascii="Times New Roman" w:eastAsia="Times New Roman" w:hAnsi="Times New Roman" w:cs="Times New Roman"/>
          <w:color w:val="141413"/>
          <w:kern w:val="0"/>
          <w:sz w:val="28"/>
          <w:szCs w:val="28"/>
          <w:lang w:val="uk-UA"/>
          <w14:ligatures w14:val="none"/>
        </w:rPr>
        <w:t xml:space="preserve">Міжнародний суд </w:t>
      </w:r>
      <w:r w:rsidRPr="005803A9">
        <w:rPr>
          <w:rFonts w:ascii="Times New Roman" w:eastAsia="Times New Roman" w:hAnsi="Times New Roman" w:cs="Times New Roman"/>
          <w:color w:val="141413"/>
          <w:kern w:val="0"/>
          <w:sz w:val="28"/>
          <w:szCs w:val="28"/>
          <w:lang w:val="uk-UA"/>
          <w14:ligatures w14:val="none"/>
        </w:rPr>
        <w:t>ООН постановив,</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що хоча заборона свавільного позбавлення життя, що міститься в праві</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прав людини, застосовується й під час бойових дій, визначення того,</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що становить свавільне позбавлення життя в контексті бойових дій,</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визначається згідно з МГП як </w:t>
      </w:r>
      <w:proofErr w:type="spellStart"/>
      <w:r w:rsidRPr="005803A9">
        <w:rPr>
          <w:rFonts w:ascii="Times New Roman" w:eastAsia="Times New Roman" w:hAnsi="Times New Roman" w:cs="Times New Roman"/>
          <w:color w:val="141413"/>
          <w:kern w:val="0"/>
          <w:sz w:val="28"/>
          <w:szCs w:val="28"/>
          <w:lang w:val="uk-UA"/>
          <w14:ligatures w14:val="none"/>
        </w:rPr>
        <w:t>lex</w:t>
      </w:r>
      <w:proofErr w:type="spellEnd"/>
      <w:r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specialis</w:t>
      </w:r>
      <w:proofErr w:type="spellEnd"/>
      <w:r w:rsidRPr="005803A9">
        <w:rPr>
          <w:rFonts w:ascii="Times New Roman" w:eastAsia="Times New Roman" w:hAnsi="Times New Roman" w:cs="Times New Roman"/>
          <w:color w:val="141413"/>
          <w:kern w:val="0"/>
          <w:sz w:val="28"/>
          <w:szCs w:val="28"/>
          <w:lang w:val="uk-UA"/>
          <w14:ligatures w14:val="none"/>
        </w:rPr>
        <w:t>, яке спеціально призначене</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для регулювання таких ситуацій.</w:t>
      </w:r>
    </w:p>
    <w:p w14:paraId="38C39B0F" w14:textId="57C9757D"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Аналогічно, питання про те, чи інтернування громадянина або військовополоненого державою, що є</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стороною міжнародного збройного конфлікту, </w:t>
      </w:r>
      <w:r w:rsidRPr="005803A9">
        <w:rPr>
          <w:rFonts w:ascii="Times New Roman" w:eastAsia="Times New Roman" w:hAnsi="Times New Roman" w:cs="Times New Roman"/>
          <w:color w:val="141413"/>
          <w:kern w:val="0"/>
          <w:sz w:val="28"/>
          <w:szCs w:val="28"/>
          <w:lang w:val="uk-UA"/>
          <w14:ligatures w14:val="none"/>
        </w:rPr>
        <w:lastRenderedPageBreak/>
        <w:t>визнається незаконним</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затриманням, що заборонено відповідно до права прав людини, слід</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визначати відповідно до Женевськ</w:t>
      </w:r>
      <w:r w:rsidR="00413C64" w:rsidRPr="005803A9">
        <w:rPr>
          <w:rFonts w:ascii="Times New Roman" w:eastAsia="Times New Roman" w:hAnsi="Times New Roman" w:cs="Times New Roman"/>
          <w:color w:val="141413"/>
          <w:kern w:val="0"/>
          <w:sz w:val="28"/>
          <w:szCs w:val="28"/>
          <w:lang w:val="uk-UA"/>
          <w14:ligatures w14:val="none"/>
        </w:rPr>
        <w:t>их</w:t>
      </w:r>
      <w:r w:rsidRPr="005803A9">
        <w:rPr>
          <w:rFonts w:ascii="Times New Roman" w:eastAsia="Times New Roman" w:hAnsi="Times New Roman" w:cs="Times New Roman"/>
          <w:color w:val="141413"/>
          <w:kern w:val="0"/>
          <w:sz w:val="28"/>
          <w:szCs w:val="28"/>
          <w:lang w:val="uk-UA"/>
          <w14:ligatures w14:val="none"/>
        </w:rPr>
        <w:t xml:space="preserve"> конвенцій,</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які є </w:t>
      </w:r>
      <w:proofErr w:type="spellStart"/>
      <w:r w:rsidRPr="005803A9">
        <w:rPr>
          <w:rFonts w:ascii="Times New Roman" w:eastAsia="Times New Roman" w:hAnsi="Times New Roman" w:cs="Times New Roman"/>
          <w:color w:val="141413"/>
          <w:kern w:val="0"/>
          <w:sz w:val="28"/>
          <w:szCs w:val="28"/>
          <w:lang w:val="uk-UA"/>
          <w14:ligatures w14:val="none"/>
        </w:rPr>
        <w:t>lex</w:t>
      </w:r>
      <w:proofErr w:type="spellEnd"/>
      <w:r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specialis</w:t>
      </w:r>
      <w:proofErr w:type="spellEnd"/>
      <w:r w:rsidRPr="005803A9">
        <w:rPr>
          <w:rFonts w:ascii="Times New Roman" w:eastAsia="Times New Roman" w:hAnsi="Times New Roman" w:cs="Times New Roman"/>
          <w:color w:val="141413"/>
          <w:kern w:val="0"/>
          <w:sz w:val="28"/>
          <w:szCs w:val="28"/>
          <w:lang w:val="uk-UA"/>
          <w14:ligatures w14:val="none"/>
        </w:rPr>
        <w:t xml:space="preserve"> та конкретно призначені для регулювання інтернування в таких ситуаціях.</w:t>
      </w:r>
    </w:p>
    <w:p w14:paraId="00278B05" w14:textId="0FD0916B"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В інших сферах питання співвідношення МГП та права прав людини</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може бути складнішим. Наприклад, хоча договірне МГП дозволяє затримання з міркувань безпеки й під час збройних конфліктів неміжнародного характеру, воно не містить жодних процесуальних гарантій</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для інтернованих осіб, і так порушується питання про те, як слід тлумачити заборону в контексті права прав людини на незаконне затримання</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 таких ситуаціях.</w:t>
      </w:r>
    </w:p>
    <w:p w14:paraId="22429260" w14:textId="72FEF8E6" w:rsidR="00FA6AFE" w:rsidRPr="005803A9" w:rsidRDefault="00FA6AFE"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Нарешті, хоча в збройних конфліктах МГП та право прав людини загалом застосовуються паралельно, деякі питання також можуть регулюватися винятково однією чи іншою галуззю права. Наприклад, гарантії</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справедливого судового розгляду для особи, яка здійснила пограбування банку в районі, де відбувається збройний конфлікт, але з причин,</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не пов’язаних із цим конфліктом, будуть регулюватися не МГП, а винятково правом прав людини та національним кримінальним процесуальним законодавством. З іншого боку, повітряне бомбардування території поза територіальним контролем держави, яка здійснює напад, або</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будь-які бойові дії, здійснювані організованими збройними групами,</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що не належать державі, будуть регулюватися не правом прав людини,</w:t>
      </w:r>
      <w:r w:rsidR="00413C64"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а винятково МГП.</w:t>
      </w:r>
    </w:p>
    <w:p w14:paraId="7B1BC100" w14:textId="77777777"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i/>
          <w:iCs/>
          <w:color w:val="141413"/>
          <w:kern w:val="0"/>
          <w:sz w:val="28"/>
          <w:szCs w:val="28"/>
          <w:lang w:val="uk-UA"/>
          <w14:ligatures w14:val="none"/>
        </w:rPr>
        <w:t>МГП та міжнародне кримінальне право</w:t>
      </w:r>
      <w:r w:rsidRPr="005803A9">
        <w:rPr>
          <w:rFonts w:ascii="Times New Roman" w:eastAsia="Times New Roman" w:hAnsi="Times New Roman" w:cs="Times New Roman"/>
          <w:color w:val="141413"/>
          <w:kern w:val="0"/>
          <w:sz w:val="28"/>
          <w:szCs w:val="28"/>
          <w:lang w:val="uk-UA"/>
          <w14:ligatures w14:val="none"/>
        </w:rPr>
        <w:t>. У процесі регулювання ведення бойових дій та захисту жертв збройного конфлікту МГП накладає певні обов’язки на тих, хто бере участь у конфлікті, і забороняє їм вчиняти певні дії. Для забезпечення виконання цих обов’язків та заборон МГП зобов’язує всіх учасників конфлікту вжити необхідних заходів для запобігання та припинення порушень МГП, включно з притягненням до кримінальної відповідальності та санкціями. Женевські конвенції 1949 року та Додатковий протокол I також визначають низку особливо грубих порушень, що йменуються «грубими порушеннями» в Женевських конвенціях 1949 року, а в Додатковому протоколі I – як «воєнні злочини», що породжують універсальну юрисдикцію.</w:t>
      </w:r>
    </w:p>
    <w:p w14:paraId="7F778F7C" w14:textId="6D17DFD3"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Це означає, що будь-яка держава, незалежно від її участі в конфлікті або її зв’язку з підозрюваними або потерпілими від </w:t>
      </w:r>
      <w:proofErr w:type="spellStart"/>
      <w:r w:rsidRPr="005803A9">
        <w:rPr>
          <w:rFonts w:ascii="Times New Roman" w:eastAsia="Times New Roman" w:hAnsi="Times New Roman" w:cs="Times New Roman"/>
          <w:color w:val="141413"/>
          <w:kern w:val="0"/>
          <w:sz w:val="28"/>
          <w:szCs w:val="28"/>
          <w:lang w:val="uk-UA"/>
          <w14:ligatures w14:val="none"/>
        </w:rPr>
        <w:t>стверджуваного</w:t>
      </w:r>
      <w:proofErr w:type="spellEnd"/>
      <w:r w:rsidRPr="005803A9">
        <w:rPr>
          <w:rFonts w:ascii="Times New Roman" w:eastAsia="Times New Roman" w:hAnsi="Times New Roman" w:cs="Times New Roman"/>
          <w:color w:val="141413"/>
          <w:kern w:val="0"/>
          <w:sz w:val="28"/>
          <w:szCs w:val="28"/>
          <w:lang w:val="uk-UA"/>
          <w14:ligatures w14:val="none"/>
        </w:rPr>
        <w:t xml:space="preserve"> злочину, бере на себе міжнародне зобов’язання проводити розслідування або притягувати затриманих підозрюваних до кримінальної відповідальності, або видавати їх іншій державі, що висловлює бажання притягнути їх до кримінальної відповідальності.</w:t>
      </w:r>
    </w:p>
    <w:p w14:paraId="1E457795" w14:textId="7ACA3E32"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Інакше кажучи, МГП зобов’язує держави запобігати грубим порушенням МГП та притягати до кримінальної відповідальності за такі порушення, проте не визначає санкцій за ці порушення, не описує їх достатньо докладно, щоб вони стали підставою для кримінальної відповідальності, встановленої судом, і не встановлює жодних процедур для здійснення юрисдикції над окремими підозрюваними. Це роль кримінального права на національному чи на міжнародному рівні.</w:t>
      </w:r>
    </w:p>
    <w:p w14:paraId="22EF1CAB" w14:textId="72F07776"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Інакше кажучи, кримінальне право, на відміну від МГП, не визначає обов’язків воюючих сторін, а створює правову базу, необхідну для притягнення осіб до кримінальної відповідальності за грубі порушення цих зобов’язань.</w:t>
      </w:r>
    </w:p>
    <w:p w14:paraId="62029FAB" w14:textId="58C09CC6"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lastRenderedPageBreak/>
        <w:t>Традиційно, застосування МГП на рівні окремих осіб значною мірою забезпечувалося самими державами, що воюють, через застосування дисциплінарних санкцій та притягнення до кримінальної відповідальності відповідно до їх національного законодавства. Наприкінці Другої світової війни серйозні порушення МГП вперше були розглянуті як такі, що породжують індивідуальну кримінальну відповідальність у контексті міжнародного права. Окрім того, вони стали основою для кримінального переслідування Міжнародними військовими трибуналами в Нюрнберзі і Токіо і розглядалися як воєнні злочини. Проте, ці судові процеси залишалися прив’язаними до контексту окремих справ, і рішення виносились лише щодо злочинів, вчинених сторонами, які зазнали поразки в конфлікті. Коли Рада Безпеки ООН заснувала МКТЮ та МТР у 1993 та 1994 роках, їх юрисдикція все ще обмежувалася певними контекстами. Лише з прийняттям Римського статуту в 1998 році міжнародна спільнота нарешті створила постійний Міжнародний кримінальний суд, що має юрисдикцію щодо міжнародних злочинів, вчинених громадянами держави-учасниці Статуту або на території держави-учасниці Статуту, або на території, вказаній Радою Безпеки ООН. На сьогодні Римський статут був ратифікований більш ніж 120 державами; утім, низка важливих з військового погляду держав ще не здійснили цього.</w:t>
      </w:r>
    </w:p>
    <w:p w14:paraId="16B0213C" w14:textId="77777777"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i/>
          <w:iCs/>
          <w:color w:val="141413"/>
          <w:kern w:val="0"/>
          <w:sz w:val="28"/>
          <w:szCs w:val="28"/>
          <w:lang w:val="uk-UA"/>
          <w14:ligatures w14:val="none"/>
        </w:rPr>
        <w:t>МГП та право нейтралітету</w:t>
      </w:r>
      <w:r w:rsidRPr="005803A9">
        <w:rPr>
          <w:rFonts w:ascii="Times New Roman" w:eastAsia="Times New Roman" w:hAnsi="Times New Roman" w:cs="Times New Roman"/>
          <w:color w:val="141413"/>
          <w:kern w:val="0"/>
          <w:sz w:val="28"/>
          <w:szCs w:val="28"/>
          <w:lang w:val="uk-UA"/>
          <w14:ligatures w14:val="none"/>
        </w:rPr>
        <w:t>. Право нейтралітету традиційно розглядається як частина права війни (</w:t>
      </w:r>
      <w:proofErr w:type="spellStart"/>
      <w:r w:rsidRPr="005803A9">
        <w:rPr>
          <w:rFonts w:ascii="Times New Roman" w:eastAsia="Times New Roman" w:hAnsi="Times New Roman" w:cs="Times New Roman"/>
          <w:color w:val="141413"/>
          <w:kern w:val="0"/>
          <w:sz w:val="28"/>
          <w:szCs w:val="28"/>
          <w:lang w:val="uk-UA"/>
          <w14:ligatures w14:val="none"/>
        </w:rPr>
        <w:t>jus</w:t>
      </w:r>
      <w:proofErr w:type="spellEnd"/>
      <w:r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in</w:t>
      </w:r>
      <w:proofErr w:type="spellEnd"/>
      <w:r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bello</w:t>
      </w:r>
      <w:proofErr w:type="spellEnd"/>
      <w:r w:rsidRPr="005803A9">
        <w:rPr>
          <w:rFonts w:ascii="Times New Roman" w:eastAsia="Times New Roman" w:hAnsi="Times New Roman" w:cs="Times New Roman"/>
          <w:color w:val="141413"/>
          <w:kern w:val="0"/>
          <w:sz w:val="28"/>
          <w:szCs w:val="28"/>
          <w:lang w:val="uk-UA"/>
          <w14:ligatures w14:val="none"/>
        </w:rPr>
        <w:t xml:space="preserve">) поряд з МГП. Воно ґрунтується на звичаєвому праві та кодифіковане в Гаазьких конвенціях V і XIII 1907 року. Фактично, право нейтралітету має три основні цілі: </w:t>
      </w:r>
    </w:p>
    <w:p w14:paraId="6CF4FD7F" w14:textId="77777777"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 захищати нейтральні держави (тобто всі держави, які не є учасниками міжнародних збройних конфліктів) від бойових дій; </w:t>
      </w:r>
    </w:p>
    <w:p w14:paraId="485D6694" w14:textId="77777777"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 забезпечити, щоб нейтральні держави не підтримували ведення бойових дій держав, що воюють; </w:t>
      </w:r>
    </w:p>
    <w:p w14:paraId="753B23C8" w14:textId="77777777"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 підтримувати нормальний зв’язок між нейтральними державами та державами, що воюють. </w:t>
      </w:r>
    </w:p>
    <w:p w14:paraId="298C152F" w14:textId="4613781A"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Зокрема, право нейтралітету зобов’язує нейтральні держави запобігати використанню державами, що воюють, своєї території, включно з повітряним та водним простором, що підпадають під їх територіальний суверенітет. Якщо комбатанти, які належать до однієї зі сторін, перетинають нейтральну територію, вони повинні бути інтернованими нейтральною державою; Третя Женевська конвенція також вимагає, щоб вони розглядались як військовополонені.</w:t>
      </w:r>
    </w:p>
    <w:p w14:paraId="28281D3A" w14:textId="1ACEC5F7"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Сторони, що воюють, також повинні поважати недоторканність нейтральної території і не можуть перевозити війська чи конвої з боєприпасами або снарядами територією нейтральної держави.</w:t>
      </w:r>
    </w:p>
    <w:p w14:paraId="06D70A9C" w14:textId="2CC6C970"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Власне, право нейтралітету застосовується лише в міжнародних збройних</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конфліктах. Згодом, однак, його логіка поступово почала розглядатися і в контексті практики неміжнародних збройних конфліктів.</w:t>
      </w:r>
      <w:r w:rsidR="006C173C" w:rsidRPr="005803A9">
        <w:rPr>
          <w:rFonts w:ascii="Times New Roman" w:eastAsia="Times New Roman" w:hAnsi="Times New Roman" w:cs="Times New Roman"/>
          <w:color w:val="141413"/>
          <w:kern w:val="0"/>
          <w:sz w:val="28"/>
          <w:szCs w:val="28"/>
          <w:lang w:val="uk-UA"/>
          <w14:ligatures w14:val="none"/>
        </w:rPr>
        <w:t xml:space="preserve"> У </w:t>
      </w:r>
      <w:r w:rsidRPr="005803A9">
        <w:rPr>
          <w:rFonts w:ascii="Times New Roman" w:eastAsia="Times New Roman" w:hAnsi="Times New Roman" w:cs="Times New Roman"/>
          <w:color w:val="141413"/>
          <w:kern w:val="0"/>
          <w:sz w:val="28"/>
          <w:szCs w:val="28"/>
          <w:lang w:val="uk-UA"/>
          <w14:ligatures w14:val="none"/>
        </w:rPr>
        <w:t>політичній реальності наслідки використання недержавними збройними групами території нейтральної держави для здійснення</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нападів на державу, що воює, подібні до тих, що визнані традиційним</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правом нейтралітету, і передбачають, зокрема, втрату недоторканості</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нейтральної території. Наприклад, коли «Аль-Каїда» розпочала здійснення нападів проти </w:t>
      </w:r>
      <w:r w:rsidRPr="005803A9">
        <w:rPr>
          <w:rFonts w:ascii="Times New Roman" w:eastAsia="Times New Roman" w:hAnsi="Times New Roman" w:cs="Times New Roman"/>
          <w:color w:val="141413"/>
          <w:kern w:val="0"/>
          <w:sz w:val="28"/>
          <w:szCs w:val="28"/>
          <w:lang w:val="uk-UA"/>
          <w14:ligatures w14:val="none"/>
        </w:rPr>
        <w:lastRenderedPageBreak/>
        <w:t>Сполучених Штатів з території Афганістану (2001рік), угрупування «</w:t>
      </w:r>
      <w:proofErr w:type="spellStart"/>
      <w:r w:rsidRPr="005803A9">
        <w:rPr>
          <w:rFonts w:ascii="Times New Roman" w:eastAsia="Times New Roman" w:hAnsi="Times New Roman" w:cs="Times New Roman"/>
          <w:color w:val="141413"/>
          <w:kern w:val="0"/>
          <w:sz w:val="28"/>
          <w:szCs w:val="28"/>
          <w:lang w:val="uk-UA"/>
          <w14:ligatures w14:val="none"/>
        </w:rPr>
        <w:t>Хезболла</w:t>
      </w:r>
      <w:proofErr w:type="spellEnd"/>
      <w:r w:rsidRPr="005803A9">
        <w:rPr>
          <w:rFonts w:ascii="Times New Roman" w:eastAsia="Times New Roman" w:hAnsi="Times New Roman" w:cs="Times New Roman"/>
          <w:color w:val="141413"/>
          <w:kern w:val="0"/>
          <w:sz w:val="28"/>
          <w:szCs w:val="28"/>
          <w:lang w:val="uk-UA"/>
          <w14:ligatures w14:val="none"/>
        </w:rPr>
        <w:t>» – проти Ізраїлю (2006 рік) з Лівану та</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ФАРК – проти Колумбії з території Еквадору</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2008 рік), всі держави,</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які постраждали від таких нападів, здійснили транскордонні операції,</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спрямовані проти цих угрупувань, оскільки нейтральні держави, на</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яких були розміщені їх війська, не були в змозі або не бажали захищати</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інтереси держав, котрі стали жертвами нападів у межах вказаних збройних конфліктів на їх території. Міжнародна правомірність таких воєнних вторгнень залишається досить суперечливою, особливо з огляду на</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заборону Статутом ООН застосування сили між державами. Проте,</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основне зобов’язання держав щодо запобігання ведення недержавними збройними групами на їх території ворожої діяльності проти інших</w:t>
      </w:r>
      <w:r w:rsidR="006C173C"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держав є загальновизнаним.</w:t>
      </w:r>
    </w:p>
    <w:p w14:paraId="155542EC" w14:textId="77777777" w:rsidR="00413C64" w:rsidRPr="005803A9" w:rsidRDefault="00413C64"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p>
    <w:p w14:paraId="27773F1F" w14:textId="3CBD13F7" w:rsidR="00FA6AFE" w:rsidRPr="005803A9" w:rsidRDefault="006C173C" w:rsidP="008A207D">
      <w:pPr>
        <w:spacing w:after="0" w:line="240" w:lineRule="auto"/>
        <w:ind w:firstLine="709"/>
        <w:jc w:val="center"/>
        <w:rPr>
          <w:rFonts w:ascii="Times New Roman" w:hAnsi="Times New Roman" w:cs="Times New Roman"/>
          <w:b/>
          <w:bCs/>
          <w:sz w:val="28"/>
          <w:szCs w:val="28"/>
          <w:lang w:val="uk-UA"/>
        </w:rPr>
      </w:pPr>
      <w:r w:rsidRPr="005803A9">
        <w:rPr>
          <w:rFonts w:ascii="Times New Roman" w:hAnsi="Times New Roman" w:cs="Times New Roman"/>
          <w:b/>
          <w:bCs/>
          <w:sz w:val="28"/>
          <w:szCs w:val="28"/>
          <w:lang w:val="uk-UA"/>
        </w:rPr>
        <w:t>4. Історія розвитку міжнародного гуманітарного права</w:t>
      </w:r>
    </w:p>
    <w:p w14:paraId="40754488" w14:textId="77777777" w:rsidR="006C173C" w:rsidRPr="005803A9" w:rsidRDefault="006C173C" w:rsidP="009F15A9">
      <w:pPr>
        <w:spacing w:after="0" w:line="240" w:lineRule="auto"/>
        <w:ind w:firstLine="709"/>
        <w:jc w:val="both"/>
        <w:rPr>
          <w:rFonts w:ascii="Times New Roman" w:hAnsi="Times New Roman" w:cs="Times New Roman"/>
          <w:b/>
          <w:bCs/>
          <w:sz w:val="28"/>
          <w:szCs w:val="28"/>
          <w:lang w:val="uk-UA"/>
        </w:rPr>
      </w:pPr>
    </w:p>
    <w:p w14:paraId="1EF8BF17" w14:textId="4F59A4FD"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Війна така ж стара, як людство, і всі цивілізації та релігії намагалися обмежити її руйнівні наслідки, підпорядковуючи воїнів загальноприйнятій практиці, кодексам честі та місцевим або тимчасовим угодам із супротивниками. Ці традиційні форми регулювання ведення війни стали значною мірою неефективними через поширення великих армій, укомплектованих за призовом, та промислове виробництво потужної зброї впродовж дев’ятнадцятого століття – з трагічними наслідками на полі бою. Військові медичні служби не були належним чином оснащені для того, щоб впоратись із величезною кількістю потерпілих у результаті застосування сучасної зброї, внаслідок чого десятки тисяч поранених, хворих та помираючих солдатів були покинуті без будь-якого догляду після бою. Ця тенденція, що почалася з наполеонівських воєн у Європі (1803-1815 рр.) і завершилася американською громадянською війною (1861-1865 рр.), стала новим етапом впровадження низки впливових гуманітарних ініціатив як у Європі, так і в Північній Америці, спрямованих на полегшення страждань жертв війни та систематичну кодифікацію сучасного МГП.</w:t>
      </w:r>
    </w:p>
    <w:p w14:paraId="3F6C8E9F" w14:textId="77777777"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У Європі перехід до кодифікації МГП був започаткований підприємцем із Женеви Анрі </w:t>
      </w:r>
      <w:proofErr w:type="spellStart"/>
      <w:r w:rsidRPr="005803A9">
        <w:rPr>
          <w:rFonts w:ascii="Times New Roman" w:eastAsia="Times New Roman" w:hAnsi="Times New Roman" w:cs="Times New Roman"/>
          <w:color w:val="141413"/>
          <w:kern w:val="0"/>
          <w:sz w:val="28"/>
          <w:szCs w:val="28"/>
          <w:lang w:val="uk-UA"/>
          <w14:ligatures w14:val="none"/>
        </w:rPr>
        <w:t>Дюнаном</w:t>
      </w:r>
      <w:proofErr w:type="spellEnd"/>
      <w:r w:rsidRPr="005803A9">
        <w:rPr>
          <w:rFonts w:ascii="Times New Roman" w:eastAsia="Times New Roman" w:hAnsi="Times New Roman" w:cs="Times New Roman"/>
          <w:color w:val="141413"/>
          <w:kern w:val="0"/>
          <w:sz w:val="28"/>
          <w:szCs w:val="28"/>
          <w:lang w:val="uk-UA"/>
          <w14:ligatures w14:val="none"/>
        </w:rPr>
        <w:t xml:space="preserve">. Під час подорожі Північною Італією в 1859 році </w:t>
      </w:r>
      <w:proofErr w:type="spellStart"/>
      <w:r w:rsidRPr="005803A9">
        <w:rPr>
          <w:rFonts w:ascii="Times New Roman" w:eastAsia="Times New Roman" w:hAnsi="Times New Roman" w:cs="Times New Roman"/>
          <w:color w:val="141413"/>
          <w:kern w:val="0"/>
          <w:sz w:val="28"/>
          <w:szCs w:val="28"/>
          <w:lang w:val="uk-UA"/>
          <w14:ligatures w14:val="none"/>
        </w:rPr>
        <w:t>Дюнан</w:t>
      </w:r>
      <w:proofErr w:type="spellEnd"/>
      <w:r w:rsidRPr="005803A9">
        <w:rPr>
          <w:rFonts w:ascii="Times New Roman" w:eastAsia="Times New Roman" w:hAnsi="Times New Roman" w:cs="Times New Roman"/>
          <w:color w:val="141413"/>
          <w:kern w:val="0"/>
          <w:sz w:val="28"/>
          <w:szCs w:val="28"/>
          <w:lang w:val="uk-UA"/>
          <w14:ligatures w14:val="none"/>
        </w:rPr>
        <w:t xml:space="preserve"> став свідком жорстокої битви між французькими та австрійськими військами і, вражений відсутністю допомоги та підтримки для більш ніж 40 000 поранених солдатів, організував імпровізовану медичну допомогу, мобілізувавши місцеве населення. Після повернення в Женеву </w:t>
      </w:r>
      <w:proofErr w:type="spellStart"/>
      <w:r w:rsidRPr="005803A9">
        <w:rPr>
          <w:rFonts w:ascii="Times New Roman" w:eastAsia="Times New Roman" w:hAnsi="Times New Roman" w:cs="Times New Roman"/>
          <w:color w:val="141413"/>
          <w:kern w:val="0"/>
          <w:sz w:val="28"/>
          <w:szCs w:val="28"/>
          <w:lang w:val="uk-UA"/>
          <w14:ligatures w14:val="none"/>
        </w:rPr>
        <w:t>Дюнан</w:t>
      </w:r>
      <w:proofErr w:type="spellEnd"/>
      <w:r w:rsidRPr="005803A9">
        <w:rPr>
          <w:rFonts w:ascii="Times New Roman" w:eastAsia="Times New Roman" w:hAnsi="Times New Roman" w:cs="Times New Roman"/>
          <w:color w:val="141413"/>
          <w:kern w:val="0"/>
          <w:sz w:val="28"/>
          <w:szCs w:val="28"/>
          <w:lang w:val="uk-UA"/>
          <w14:ligatures w14:val="none"/>
        </w:rPr>
        <w:t xml:space="preserve"> написав свою книгу «Спогади про </w:t>
      </w:r>
      <w:proofErr w:type="spellStart"/>
      <w:r w:rsidRPr="005803A9">
        <w:rPr>
          <w:rFonts w:ascii="Times New Roman" w:eastAsia="Times New Roman" w:hAnsi="Times New Roman" w:cs="Times New Roman"/>
          <w:color w:val="141413"/>
          <w:kern w:val="0"/>
          <w:sz w:val="28"/>
          <w:szCs w:val="28"/>
          <w:lang w:val="uk-UA"/>
          <w14:ligatures w14:val="none"/>
        </w:rPr>
        <w:t>Сольферіно</w:t>
      </w:r>
      <w:proofErr w:type="spellEnd"/>
      <w:r w:rsidRPr="005803A9">
        <w:rPr>
          <w:rFonts w:ascii="Times New Roman" w:eastAsia="Times New Roman" w:hAnsi="Times New Roman" w:cs="Times New Roman"/>
          <w:color w:val="141413"/>
          <w:kern w:val="0"/>
          <w:sz w:val="28"/>
          <w:szCs w:val="28"/>
          <w:lang w:val="uk-UA"/>
          <w14:ligatures w14:val="none"/>
        </w:rPr>
        <w:t xml:space="preserve">», у якій висунув дві пропозиції. </w:t>
      </w:r>
    </w:p>
    <w:p w14:paraId="71B51C1A" w14:textId="43DC30A1"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По-перше, для підтримки поранених солдат на полі бою повинні бути створені незалежні організації з надання допомоги, і, по-друге, слід укласти міжнародну угоду про надання таким організаціям захист у вигляді нейтралітету. Його ідеї були позитивно сприйняті в столицях Європи і призвели до створення Міжнародного комітету Червоного Хреста (1863 рік), а також до прийняття 12-ма державами першої Женевської конвенції про поліпшення долі поранених і хворих у діючих арміях (1864 рік). Конвенцією була затверджена емблема Червоного Хреста на білому тлі – кольори швейцарського національного прапора, але навпаки – як нейтральний </w:t>
      </w:r>
      <w:r w:rsidRPr="005803A9">
        <w:rPr>
          <w:rFonts w:ascii="Times New Roman" w:eastAsia="Times New Roman" w:hAnsi="Times New Roman" w:cs="Times New Roman"/>
          <w:color w:val="141413"/>
          <w:kern w:val="0"/>
          <w:sz w:val="28"/>
          <w:szCs w:val="28"/>
          <w:lang w:val="uk-UA"/>
          <w14:ligatures w14:val="none"/>
        </w:rPr>
        <w:lastRenderedPageBreak/>
        <w:t xml:space="preserve">захисний знак для лікарень і тих, хто допомагає пораненим та хворим на полі бою. Тим часом звірства американської громадянської війни призвели до прийняття урядом Сполучених Штатів так званого Кодексу </w:t>
      </w:r>
      <w:proofErr w:type="spellStart"/>
      <w:r w:rsidRPr="005803A9">
        <w:rPr>
          <w:rFonts w:ascii="Times New Roman" w:eastAsia="Times New Roman" w:hAnsi="Times New Roman" w:cs="Times New Roman"/>
          <w:color w:val="141413"/>
          <w:kern w:val="0"/>
          <w:sz w:val="28"/>
          <w:szCs w:val="28"/>
          <w:lang w:val="uk-UA"/>
          <w14:ligatures w14:val="none"/>
        </w:rPr>
        <w:t>Лібера</w:t>
      </w:r>
      <w:proofErr w:type="spellEnd"/>
      <w:r w:rsidRPr="005803A9">
        <w:rPr>
          <w:rFonts w:ascii="Times New Roman" w:eastAsia="Times New Roman" w:hAnsi="Times New Roman" w:cs="Times New Roman"/>
          <w:color w:val="141413"/>
          <w:kern w:val="0"/>
          <w:sz w:val="28"/>
          <w:szCs w:val="28"/>
          <w:lang w:val="uk-UA"/>
          <w14:ligatures w14:val="none"/>
        </w:rPr>
        <w:t xml:space="preserve"> або, точніше, Інструкцій для урядових армій Сполучених Штатів на полі бою (1863 рік). Хоча Кодекс </w:t>
      </w:r>
      <w:proofErr w:type="spellStart"/>
      <w:r w:rsidRPr="005803A9">
        <w:rPr>
          <w:rFonts w:ascii="Times New Roman" w:eastAsia="Times New Roman" w:hAnsi="Times New Roman" w:cs="Times New Roman"/>
          <w:color w:val="141413"/>
          <w:kern w:val="0"/>
          <w:sz w:val="28"/>
          <w:szCs w:val="28"/>
          <w:lang w:val="uk-UA"/>
          <w14:ligatures w14:val="none"/>
        </w:rPr>
        <w:t>Лібера</w:t>
      </w:r>
      <w:proofErr w:type="spellEnd"/>
      <w:r w:rsidRPr="005803A9">
        <w:rPr>
          <w:rFonts w:ascii="Times New Roman" w:eastAsia="Times New Roman" w:hAnsi="Times New Roman" w:cs="Times New Roman"/>
          <w:color w:val="141413"/>
          <w:kern w:val="0"/>
          <w:sz w:val="28"/>
          <w:szCs w:val="28"/>
          <w:lang w:val="uk-UA"/>
          <w14:ligatures w14:val="none"/>
        </w:rPr>
        <w:t xml:space="preserve"> був внутрішньодержавним правовим актом, а не міжнародним договором, він вплинув на розроблення та кодифікацію сучасного МГП і за межами США.</w:t>
      </w:r>
    </w:p>
    <w:p w14:paraId="16B26BCC" w14:textId="4FCFD4B6"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Після прийняття вказаних перших документів звід договірного МГП почав дедалі більше розширюватися у поєднанні з розвитком військової справи і став однією з найбільш кодифікованих галузей сучасного міжнародного права.</w:t>
      </w:r>
    </w:p>
    <w:p w14:paraId="2E49AF1F" w14:textId="2E2B5797"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У 1906 році перша Женевська конвенція була доповнена з метою подальшого поліпшення становища хворих і поранених солдатів, а в 1907 році в Гаазькому положенні, що стосується законів та звичаїв ведення війни на суходолі, було сформульовано основні норми, що регулюють надання статусів комбатанта та військовополоненого, використання засобів та методів ведення бойових дій та захисту жителів окупованих територій від негуманного поводження. Після жахів хімічної війни та трагічного досвіду мільйонів захоплених солдатів під час Першої світової війни ці документи були доповнені Протоколом про заборону застосування на війні задушливих, отруйних та інших подібних газів та бактеріологічних засобів (1925 р.), а через кілька років і окремою Женевською конвенцією про поводження з військовополоненими (1929 р.).</w:t>
      </w:r>
    </w:p>
    <w:p w14:paraId="58B5E36E" w14:textId="77777777"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Після катастрофи Другої світової війни з її масовими звірствами, вчиненими не лише щодо поранених, захоплених комбатантів та комбатантів, які здались у полон, але також і проти мільйонів цивільних осіб на окупованих територіях, під час Дипломатичної конференції 1949 року був прийнятий уже переглянутий і повний комплект із чотирьох Женевських конвенцій: </w:t>
      </w:r>
    </w:p>
    <w:p w14:paraId="2F48CCEF" w14:textId="7D540E69"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Конвенція про поліпшення долі поранених і хворих у діючих арміях (Перша Женевська конвенція);</w:t>
      </w:r>
    </w:p>
    <w:p w14:paraId="67FA8961" w14:textId="58D40E65"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Конвенція про поліпшення долі поранених, хворих та осіб, які зазнали корабельної</w:t>
      </w:r>
    </w:p>
    <w:p w14:paraId="060F4FB0" w14:textId="1F7135F6"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аварії, зі складу збройних сил на морі (Друга Женевська конвенція);</w:t>
      </w:r>
    </w:p>
    <w:p w14:paraId="0515A137" w14:textId="77777777"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 Конвенція про поводження з військовополоненими (Третя Женевська конвенція); </w:t>
      </w:r>
    </w:p>
    <w:p w14:paraId="21459D09" w14:textId="77777777"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 Конвенція про захист цивільного населення під час війни (Четверта Женевська конвенція). </w:t>
      </w:r>
    </w:p>
    <w:p w14:paraId="4903E82B" w14:textId="306110FF"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Чотири Женевські конвенції 1949 року діють і сьогодні, а 196 держав-учасниць зробили їх найбільш широко ратифікованими міжнародними договорами у світі.</w:t>
      </w:r>
    </w:p>
    <w:p w14:paraId="4C5E3DC9" w14:textId="77777777" w:rsidR="00A13A7F"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Зі створенням Організації Об’єднаних Націй та закріпленням біполярного </w:t>
      </w:r>
      <w:proofErr w:type="spellStart"/>
      <w:r w:rsidRPr="005803A9">
        <w:rPr>
          <w:rFonts w:ascii="Times New Roman" w:eastAsia="Times New Roman" w:hAnsi="Times New Roman" w:cs="Times New Roman"/>
          <w:color w:val="141413"/>
          <w:kern w:val="0"/>
          <w:sz w:val="28"/>
          <w:szCs w:val="28"/>
          <w:lang w:val="uk-UA"/>
          <w14:ligatures w14:val="none"/>
        </w:rPr>
        <w:t>світопорядку</w:t>
      </w:r>
      <w:proofErr w:type="spellEnd"/>
      <w:r w:rsidRPr="005803A9">
        <w:rPr>
          <w:rFonts w:ascii="Times New Roman" w:eastAsia="Times New Roman" w:hAnsi="Times New Roman" w:cs="Times New Roman"/>
          <w:color w:val="141413"/>
          <w:kern w:val="0"/>
          <w:sz w:val="28"/>
          <w:szCs w:val="28"/>
          <w:lang w:val="uk-UA"/>
          <w14:ligatures w14:val="none"/>
        </w:rPr>
        <w:t xml:space="preserve"> холодної війни воєнні дії більше не велися переважно між суверенними державами (міжнародні збройні конфлікти), а велись загалом між урядами та організованими збройними групами (неміжнародні збройні конфлікти). З одного боку, колишні колоніальні</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держави дедалі частіше стикалися з вимогами народів щодо незалежності та самовизначення, що призводило до національно-визвольних</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війн – від Малайського пів острова через Близький Схід до Магрибу</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та Африки на південь від Сахари. </w:t>
      </w:r>
    </w:p>
    <w:p w14:paraId="3A826CB3" w14:textId="35B2A9CC"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lastRenderedPageBreak/>
        <w:t>З іншого боку, політика взаємного</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ядерного стримування спричинила військове протистояння між Сполученими Штатами та Радянським Союзом, що так само призвело до</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поширення неміжнародних опосередкованих воєн між урядами та організованими збройними групами, у яких кожна сторона отримувала</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підтримку однієї з наддержав.</w:t>
      </w:r>
    </w:p>
    <w:p w14:paraId="30589437" w14:textId="7FA48ED3"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На той момент єдиним положенням договірного права, що застосовувалось до неміжнародних збройних конфліктів, була спільна стаття 3,</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яка фактично вимагає захисту та гуманного поводження з усіма особами, які не беруть або більше не беруть активну участь у бойових діях.</w:t>
      </w:r>
    </w:p>
    <w:p w14:paraId="62F93288" w14:textId="77777777" w:rsidR="00A13A7F"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Тільки в 1977 році було прийнято два додаткові протоколи до Женевських конвенцій для подальшого розвитку договірного МГП. Додатковий протокол I, «що стосується захисту жертв міжнародних збройних</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конфліктів» не тільки удосконалює й уточнює положення щодо захисту,</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передбаченого Женевськими конвенціями, але й містить першу систематичну кодифікацію МГП, що регулює ведення бойових дій. Він також прирівняв до міжнародних збройні конфлікти в межах національно-визвольної боротьби проти колоніального панування, іноземної</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окупації та расистських режимів, у такий спосіб забезпечуючи учасникам повстанських сил ті самі права та привілеї, якими користуються</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комбатанти, що представляють суверенні держави. </w:t>
      </w:r>
    </w:p>
    <w:p w14:paraId="4240DCAB" w14:textId="63C27774"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Додатковий про</w:t>
      </w:r>
      <w:r w:rsidR="005803A9">
        <w:rPr>
          <w:rFonts w:ascii="Times New Roman" w:eastAsia="Times New Roman" w:hAnsi="Times New Roman" w:cs="Times New Roman"/>
          <w:color w:val="141413"/>
          <w:kern w:val="0"/>
          <w:sz w:val="28"/>
          <w:szCs w:val="28"/>
          <w:lang w:val="uk-UA"/>
          <w14:ligatures w14:val="none"/>
        </w:rPr>
        <w:t>т</w:t>
      </w:r>
      <w:r w:rsidRPr="005803A9">
        <w:rPr>
          <w:rFonts w:ascii="Times New Roman" w:eastAsia="Times New Roman" w:hAnsi="Times New Roman" w:cs="Times New Roman"/>
          <w:color w:val="141413"/>
          <w:kern w:val="0"/>
          <w:sz w:val="28"/>
          <w:szCs w:val="28"/>
          <w:lang w:val="uk-UA"/>
          <w14:ligatures w14:val="none"/>
        </w:rPr>
        <w:t>окол II, «що стосується захисту жертв збройних конфліктів неміжнародного характеру» зміцнює та доповнює основні гарантії, встановлені</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спільною статтею 3, у ситуаціях громадянської війни.</w:t>
      </w:r>
    </w:p>
    <w:p w14:paraId="4B792662" w14:textId="7C3A4DAA" w:rsidR="006C173C" w:rsidRPr="005803A9" w:rsidRDefault="006C173C"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Водночас зусилля, спрямовані на уникнення зайвих страждань серед комбатантів та мінімізацію випадкової шкоди цивільним особам,</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призвели до прийняття низки міжнародних конвенцій та протоколів,</w:t>
      </w:r>
      <w:r w:rsid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що забороняють або обмежують розроблення, накопичення або використання різних видів зброї, включно з хімічною та біологічною</w:t>
      </w:r>
      <w:r w:rsidR="008A207D"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зброєю, запалювальною зброєю</w:t>
      </w:r>
      <w:r w:rsidR="00A13A7F" w:rsidRPr="005803A9">
        <w:rPr>
          <w:rFonts w:ascii="Times New Roman" w:eastAsia="Times New Roman" w:hAnsi="Times New Roman" w:cs="Times New Roman"/>
          <w:color w:val="141413"/>
          <w:kern w:val="0"/>
          <w:sz w:val="28"/>
          <w:szCs w:val="28"/>
          <w:lang w:val="uk-UA"/>
          <w14:ligatures w14:val="none"/>
        </w:rPr>
        <w:t>,</w:t>
      </w:r>
      <w:r w:rsidRPr="005803A9">
        <w:rPr>
          <w:rFonts w:ascii="Times New Roman" w:eastAsia="Times New Roman" w:hAnsi="Times New Roman" w:cs="Times New Roman"/>
          <w:color w:val="141413"/>
          <w:kern w:val="0"/>
          <w:sz w:val="28"/>
          <w:szCs w:val="28"/>
          <w:lang w:val="uk-UA"/>
          <w14:ligatures w14:val="none"/>
        </w:rPr>
        <w:t xml:space="preserve"> осліплюючою лазерною зброєю,</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наземними мінами та касетними боєприпасами.</w:t>
      </w:r>
    </w:p>
    <w:p w14:paraId="657A4DD8" w14:textId="56386874"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Крім того, держави</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тепер зобов’язані проводити оцінку відповідності будь-якої нової зброї</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правилам та принципам МГП.</w:t>
      </w:r>
    </w:p>
    <w:p w14:paraId="70A1CA14" w14:textId="1063A840"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Водночас, практика держав призвела до появи значного за обсягом зводу звичаєвого МГП, що застосовується у всіх збройних конфліктах</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а практика Нюрнберзького й Токійського трибуналів, Міжнародного</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суду ООН, трибуналів </w:t>
      </w:r>
      <w:proofErr w:type="spellStart"/>
      <w:r w:rsidRPr="005803A9">
        <w:rPr>
          <w:rFonts w:ascii="Times New Roman" w:eastAsia="Times New Roman" w:hAnsi="Times New Roman" w:cs="Times New Roman"/>
          <w:color w:val="141413"/>
          <w:kern w:val="0"/>
          <w:sz w:val="28"/>
          <w:szCs w:val="28"/>
          <w:lang w:val="uk-UA"/>
          <w14:ligatures w14:val="none"/>
        </w:rPr>
        <w:t>ad</w:t>
      </w:r>
      <w:proofErr w:type="spellEnd"/>
      <w:r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hoc</w:t>
      </w:r>
      <w:proofErr w:type="spellEnd"/>
      <w:r w:rsidRPr="005803A9">
        <w:rPr>
          <w:rFonts w:ascii="Times New Roman" w:eastAsia="Times New Roman" w:hAnsi="Times New Roman" w:cs="Times New Roman"/>
          <w:color w:val="141413"/>
          <w:kern w:val="0"/>
          <w:sz w:val="28"/>
          <w:szCs w:val="28"/>
          <w:lang w:val="uk-UA"/>
          <w14:ligatures w14:val="none"/>
        </w:rPr>
        <w:t xml:space="preserve"> для колишньої Югославії, Руанди й </w:t>
      </w:r>
      <w:proofErr w:type="spellStart"/>
      <w:r w:rsidRPr="005803A9">
        <w:rPr>
          <w:rFonts w:ascii="Times New Roman" w:eastAsia="Times New Roman" w:hAnsi="Times New Roman" w:cs="Times New Roman"/>
          <w:color w:val="141413"/>
          <w:kern w:val="0"/>
          <w:sz w:val="28"/>
          <w:szCs w:val="28"/>
          <w:lang w:val="uk-UA"/>
          <w14:ligatures w14:val="none"/>
        </w:rPr>
        <w:t>Сьєр</w:t>
      </w:r>
      <w:proofErr w:type="spellEnd"/>
      <w:r w:rsidRPr="005803A9">
        <w:rPr>
          <w:rFonts w:ascii="Times New Roman" w:eastAsia="Times New Roman" w:hAnsi="Times New Roman" w:cs="Times New Roman"/>
          <w:color w:val="141413"/>
          <w:kern w:val="0"/>
          <w:sz w:val="28"/>
          <w:szCs w:val="28"/>
          <w:lang w:val="uk-UA"/>
          <w14:ligatures w14:val="none"/>
        </w:rPr>
        <w:t>-ра-Леоне, а останнім часом і Міжнародного кримінального суду значною мірою сприяла роз’ясненню та одноманітній інтерпретації як звичаєвого, так і договірного МГП.</w:t>
      </w:r>
    </w:p>
    <w:p w14:paraId="45264D6D" w14:textId="246E1F56" w:rsidR="006C173C" w:rsidRPr="005803A9" w:rsidRDefault="006C173C"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Сьогодні, після 150 років розвитку, вдосконалення та кодифікації, колись фрагментарні та аморфні кодекси, а також практика минулого</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перетворились на консолідоване, загальнообов’язкове міжнародне</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право, яке регулює ведення бойових дій та надання гуманітарного захисту жертвам усіх збройних конфліктів. Саме на цьому етапі відносної</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зрілості, після переходу в нове тисячоліття перед </w:t>
      </w:r>
      <w:r w:rsidR="005803A9" w:rsidRPr="005803A9">
        <w:rPr>
          <w:rFonts w:ascii="Times New Roman" w:eastAsia="Times New Roman" w:hAnsi="Times New Roman" w:cs="Times New Roman"/>
          <w:color w:val="141413"/>
          <w:kern w:val="0"/>
          <w:sz w:val="28"/>
          <w:szCs w:val="28"/>
          <w:lang w:val="uk-UA"/>
          <w14:ligatures w14:val="none"/>
        </w:rPr>
        <w:t>фундаментальними</w:t>
      </w:r>
      <w:r w:rsidR="00A13A7F"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досягненнями МГП постали </w:t>
      </w:r>
      <w:r w:rsidRPr="005803A9">
        <w:rPr>
          <w:rFonts w:ascii="Times New Roman" w:eastAsia="Times New Roman" w:hAnsi="Times New Roman" w:cs="Times New Roman"/>
          <w:color w:val="141413"/>
          <w:kern w:val="0"/>
          <w:sz w:val="28"/>
          <w:szCs w:val="28"/>
          <w:u w:val="single"/>
          <w:lang w:val="uk-UA"/>
          <w14:ligatures w14:val="none"/>
        </w:rPr>
        <w:t>нові випробування</w:t>
      </w:r>
      <w:r w:rsidRPr="005803A9">
        <w:rPr>
          <w:rFonts w:ascii="Times New Roman" w:eastAsia="Times New Roman" w:hAnsi="Times New Roman" w:cs="Times New Roman"/>
          <w:color w:val="141413"/>
          <w:kern w:val="0"/>
          <w:sz w:val="28"/>
          <w:szCs w:val="28"/>
          <w:lang w:val="uk-UA"/>
          <w14:ligatures w14:val="none"/>
        </w:rPr>
        <w:t>.</w:t>
      </w:r>
    </w:p>
    <w:p w14:paraId="134A8171" w14:textId="77777777"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i/>
          <w:iCs/>
          <w:color w:val="141413"/>
          <w:kern w:val="0"/>
          <w:sz w:val="28"/>
          <w:szCs w:val="28"/>
          <w:lang w:val="uk-UA"/>
          <w14:ligatures w14:val="none"/>
        </w:rPr>
        <w:t>Війна із тероризмом та зростання організованої злочинності</w:t>
      </w:r>
      <w:r w:rsidRPr="005803A9">
        <w:rPr>
          <w:rFonts w:ascii="Times New Roman" w:eastAsia="Times New Roman" w:hAnsi="Times New Roman" w:cs="Times New Roman"/>
          <w:color w:val="141413"/>
          <w:kern w:val="0"/>
          <w:sz w:val="28"/>
          <w:szCs w:val="28"/>
          <w:lang w:val="uk-UA"/>
          <w14:ligatures w14:val="none"/>
        </w:rPr>
        <w:t xml:space="preserve">. Жодна подія не відображає так чітко виклики глобальної безпеки у XXI столітті, як терористичні напади 11 вересня 2001 року в Нью-Йорку та Вашингтоні, округ Колумбія. Хоча, на </w:t>
      </w:r>
      <w:r w:rsidRPr="005803A9">
        <w:rPr>
          <w:rFonts w:ascii="Times New Roman" w:eastAsia="Times New Roman" w:hAnsi="Times New Roman" w:cs="Times New Roman"/>
          <w:color w:val="141413"/>
          <w:kern w:val="0"/>
          <w:sz w:val="28"/>
          <w:szCs w:val="28"/>
          <w:lang w:val="uk-UA"/>
          <w14:ligatures w14:val="none"/>
        </w:rPr>
        <w:lastRenderedPageBreak/>
        <w:t xml:space="preserve">щастя, ці напади залишалися винятковими з погляду масштабів та впливу, вони спричинили справжній зсув парадигми в національній та міжнародній політиці щодо політики безпеки. Через кілька днів після вказаних нападів Сполучені Штати оголосили про глобальну «війну із тероризмом». Рада Безпеки ООН підтвердила право на самооборону проти того, що здавалось нападом транснаціональної терористичної групи, а НАТО, вперше за історію свого існування, оголосила про ситуацію колективної самооборони на основі Статті 5 Північноатлантичного договору. Ядерний глухий кут між наддержавами, який існував десятиліттями, більше не сприймався як найважливіше у світі питання безпеки, оскільки фокус перемістився на уразливість сучасного глобалізованого суспільства перед добре організованими терористичними угрупуваннями та іншими формами транснаціональної організованої злочинності. Поява риторики «війни з тероризмом», після якої проводились військові дії проти терористичних угруповань та окремих осіб, підозрюваних у тероризмі, в Афганістані, Ємені, Сомалі та інших країнах, а також захоплення та переведення сотень підозрюваних у центри утримання під вартою, такі як в’язниця США на воєнно-морській базі </w:t>
      </w:r>
      <w:proofErr w:type="spellStart"/>
      <w:r w:rsidRPr="005803A9">
        <w:rPr>
          <w:rFonts w:ascii="Times New Roman" w:eastAsia="Times New Roman" w:hAnsi="Times New Roman" w:cs="Times New Roman"/>
          <w:color w:val="141413"/>
          <w:kern w:val="0"/>
          <w:sz w:val="28"/>
          <w:szCs w:val="28"/>
          <w:lang w:val="uk-UA"/>
          <w14:ligatures w14:val="none"/>
        </w:rPr>
        <w:t>Гуанатанамо</w:t>
      </w:r>
      <w:proofErr w:type="spellEnd"/>
      <w:r w:rsidRPr="005803A9">
        <w:rPr>
          <w:rFonts w:ascii="Times New Roman" w:eastAsia="Times New Roman" w:hAnsi="Times New Roman" w:cs="Times New Roman"/>
          <w:color w:val="141413"/>
          <w:kern w:val="0"/>
          <w:sz w:val="28"/>
          <w:szCs w:val="28"/>
          <w:lang w:val="uk-UA"/>
          <w14:ligatures w14:val="none"/>
        </w:rPr>
        <w:t xml:space="preserve"> на Кубі, порушили низку питань щодо характеру та наслідків цих операцій у контексті міжнародного права. </w:t>
      </w:r>
    </w:p>
    <w:p w14:paraId="2742E1C6" w14:textId="77777777"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Чи може частина або вся глобальна «війна із тероризмом» розглядатися як збройний конфлікт, що регулюється МГП? </w:t>
      </w:r>
    </w:p>
    <w:p w14:paraId="58F23428" w14:textId="77777777"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Якщо так, то які географічні межі цього конфлікту, і як МГП взаємодіє з правом прав людини? </w:t>
      </w:r>
    </w:p>
    <w:p w14:paraId="2F86DAB4" w14:textId="77777777"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Яким є правовий статус підозрюваних терористів, включно з тими, що позбавлені волі? </w:t>
      </w:r>
    </w:p>
    <w:p w14:paraId="6459E0A5" w14:textId="77777777"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Чи є вони «непривілейованими» комбатантами, проти яких можна здійснювати прямі атаки? </w:t>
      </w:r>
    </w:p>
    <w:p w14:paraId="50941154" w14:textId="77777777"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Чи є вони злочинцями з числа цивільних осіб, які підлягають арешту та притягненню до кримінальної відповідальності за нормами національного законодавства? </w:t>
      </w:r>
    </w:p>
    <w:p w14:paraId="7DB53E81" w14:textId="77777777"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Чи мають вони після захоплення в полон право на статус комбатанта і військовополоненого, чи з ними слід поводитися як з цивільними інтернованими особами? </w:t>
      </w:r>
    </w:p>
    <w:p w14:paraId="0463853D" w14:textId="77777777"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Які судові гарантії та процесуальні права осіб, які інтерновані або переслідуються в судовому порядку за звинуваченнями щодо участі в міжнародному тероризмі? </w:t>
      </w:r>
    </w:p>
    <w:p w14:paraId="586C4EB4" w14:textId="77777777"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Які обмеження накладає заборона катування та нелюдського поводження на методи ведення допиту, що використовуються для запобігання неминучої терористичної загрози? </w:t>
      </w:r>
    </w:p>
    <w:p w14:paraId="2884397B" w14:textId="54AB78AD"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Як буде показано нижче, деякі з цих питань були в значній мірі вирішені, а інші залишаються суперечливими до сьогодні. Однак, важливо зазначити, що юридичні питання, пов’язані</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 міжнародним тероризмом, є не окремим явищем, а невід’ємною частиною ширшої тенденції, за якою боротьба з міжнародною організованою злочинністю стає першочерговим питанням міжнародної безпеки.</w:t>
      </w:r>
    </w:p>
    <w:p w14:paraId="30319F97" w14:textId="1C999081"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Отже, такі питання щодо застосовності та інтерпретації МГП можуть</w:t>
      </w:r>
      <w:r w:rsid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також виникати в інших ситуаціях, коли держави вдаються до воєнних</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засобів і методів, </w:t>
      </w:r>
      <w:r w:rsidRPr="005803A9">
        <w:rPr>
          <w:rFonts w:ascii="Times New Roman" w:eastAsia="Times New Roman" w:hAnsi="Times New Roman" w:cs="Times New Roman"/>
          <w:color w:val="141413"/>
          <w:kern w:val="0"/>
          <w:sz w:val="28"/>
          <w:szCs w:val="28"/>
          <w:lang w:val="uk-UA"/>
          <w14:ligatures w14:val="none"/>
        </w:rPr>
        <w:lastRenderedPageBreak/>
        <w:t>щоб захистити свою внутрішню та зовнішню безпеку, наприклад, у масштабних кампаніях проти торгівлі наркотиками, у</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мультинаціональних морських операціях проти піратства або навіть у</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особливо жорстких випадках орудування міських банд, або масових захоплень заручників. Внаслідок цієї тенденції межа між миром і збройним</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конфліктом, а також між поліцейськими операціями та бойовими</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діями стає дедалі </w:t>
      </w:r>
      <w:proofErr w:type="spellStart"/>
      <w:r w:rsidRPr="005803A9">
        <w:rPr>
          <w:rFonts w:ascii="Times New Roman" w:eastAsia="Times New Roman" w:hAnsi="Times New Roman" w:cs="Times New Roman"/>
          <w:color w:val="141413"/>
          <w:kern w:val="0"/>
          <w:sz w:val="28"/>
          <w:szCs w:val="28"/>
          <w:lang w:val="uk-UA"/>
          <w14:ligatures w14:val="none"/>
        </w:rPr>
        <w:t>розмитішою</w:t>
      </w:r>
      <w:proofErr w:type="spellEnd"/>
      <w:r w:rsidRPr="005803A9">
        <w:rPr>
          <w:rFonts w:ascii="Times New Roman" w:eastAsia="Times New Roman" w:hAnsi="Times New Roman" w:cs="Times New Roman"/>
          <w:color w:val="141413"/>
          <w:kern w:val="0"/>
          <w:sz w:val="28"/>
          <w:szCs w:val="28"/>
          <w:lang w:val="uk-UA"/>
          <w14:ligatures w14:val="none"/>
        </w:rPr>
        <w:t>, і все частіше спостерігається плутанина</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щодо правових норм, які регулюють такі ситуації.</w:t>
      </w:r>
    </w:p>
    <w:p w14:paraId="41AA213A" w14:textId="180A3C8F" w:rsidR="00A13A7F" w:rsidRPr="005803A9" w:rsidRDefault="00A13A7F" w:rsidP="009F15A9">
      <w:pPr>
        <w:spacing w:after="0" w:line="240" w:lineRule="auto"/>
        <w:ind w:firstLine="709"/>
        <w:jc w:val="both"/>
        <w:rPr>
          <w:rFonts w:ascii="Times New Roman" w:eastAsia="Times New Roman" w:hAnsi="Times New Roman" w:cs="Times New Roman"/>
          <w:i/>
          <w:iCs/>
          <w:color w:val="141413"/>
          <w:kern w:val="0"/>
          <w:sz w:val="28"/>
          <w:szCs w:val="28"/>
          <w:lang w:val="uk-UA"/>
          <w14:ligatures w14:val="none"/>
        </w:rPr>
      </w:pPr>
      <w:r w:rsidRPr="005803A9">
        <w:rPr>
          <w:rFonts w:ascii="Times New Roman" w:eastAsia="Times New Roman" w:hAnsi="Times New Roman" w:cs="Times New Roman"/>
          <w:i/>
          <w:iCs/>
          <w:color w:val="141413"/>
          <w:kern w:val="0"/>
          <w:sz w:val="28"/>
          <w:szCs w:val="28"/>
          <w:lang w:val="uk-UA"/>
          <w14:ligatures w14:val="none"/>
        </w:rPr>
        <w:t>Асиметричні конфлікти та виклик принципу відсутності</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i/>
          <w:iCs/>
          <w:color w:val="141413"/>
          <w:kern w:val="0"/>
          <w:sz w:val="28"/>
          <w:szCs w:val="28"/>
          <w:lang w:val="uk-UA"/>
          <w14:ligatures w14:val="none"/>
        </w:rPr>
        <w:t>взаємності</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 часу закінчення «холодної війни» збройні конфлікти стали дедалі</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більш асиметричними: зазвичай, значно потужніші держави </w:t>
      </w:r>
      <w:proofErr w:type="spellStart"/>
      <w:r w:rsidRPr="005803A9">
        <w:rPr>
          <w:rFonts w:ascii="Times New Roman" w:eastAsia="Times New Roman" w:hAnsi="Times New Roman" w:cs="Times New Roman"/>
          <w:color w:val="141413"/>
          <w:kern w:val="0"/>
          <w:sz w:val="28"/>
          <w:szCs w:val="28"/>
          <w:lang w:val="uk-UA"/>
          <w14:ligatures w14:val="none"/>
        </w:rPr>
        <w:t>протистоять</w:t>
      </w:r>
      <w:proofErr w:type="spellEnd"/>
      <w:r w:rsidRPr="005803A9">
        <w:rPr>
          <w:rFonts w:ascii="Times New Roman" w:eastAsia="Times New Roman" w:hAnsi="Times New Roman" w:cs="Times New Roman"/>
          <w:color w:val="141413"/>
          <w:kern w:val="0"/>
          <w:sz w:val="28"/>
          <w:szCs w:val="28"/>
          <w:lang w:val="uk-UA"/>
          <w14:ligatures w14:val="none"/>
        </w:rPr>
        <w:t xml:space="preserve"> погано організованим </w:t>
      </w:r>
      <w:r w:rsidR="00AD57BB" w:rsidRPr="005803A9">
        <w:rPr>
          <w:rFonts w:ascii="Times New Roman" w:eastAsia="Times New Roman" w:hAnsi="Times New Roman" w:cs="Times New Roman"/>
          <w:color w:val="141413"/>
          <w:kern w:val="0"/>
          <w:sz w:val="28"/>
          <w:szCs w:val="28"/>
          <w:lang w:val="uk-UA"/>
          <w14:ligatures w14:val="none"/>
        </w:rPr>
        <w:t xml:space="preserve">і </w:t>
      </w:r>
      <w:r w:rsidRPr="005803A9">
        <w:rPr>
          <w:rFonts w:ascii="Times New Roman" w:eastAsia="Times New Roman" w:hAnsi="Times New Roman" w:cs="Times New Roman"/>
          <w:color w:val="141413"/>
          <w:kern w:val="0"/>
          <w:sz w:val="28"/>
          <w:szCs w:val="28"/>
          <w:lang w:val="uk-UA"/>
          <w14:ligatures w14:val="none"/>
        </w:rPr>
        <w:t>недостатньо оснащеним збройним групам.</w:t>
      </w:r>
    </w:p>
    <w:p w14:paraId="689301B0" w14:textId="0D28AEC4" w:rsidR="00AD57BB" w:rsidRPr="005803A9" w:rsidRDefault="00A13A7F"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Головними прикладами таких конфліктів є мультинаціональна кампанія</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проти Талібану в Афганістані та періодичні ізраїльські операції проти</w:t>
      </w:r>
      <w:r w:rsidR="00AD57BB"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ХАМАСу</w:t>
      </w:r>
      <w:proofErr w:type="spellEnd"/>
      <w:r w:rsidRPr="005803A9">
        <w:rPr>
          <w:rFonts w:ascii="Times New Roman" w:eastAsia="Times New Roman" w:hAnsi="Times New Roman" w:cs="Times New Roman"/>
          <w:color w:val="141413"/>
          <w:kern w:val="0"/>
          <w:sz w:val="28"/>
          <w:szCs w:val="28"/>
          <w:lang w:val="uk-UA"/>
          <w14:ligatures w14:val="none"/>
        </w:rPr>
        <w:t xml:space="preserve"> в секторі Гази. Величезна технологічна та військова перевага</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залучених держав призвела до того, що опозиційні групи були змушені</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уникати ідентифікації та завдавати ударів переховуючись, змішуючись</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із цивільним населенням та вдаючись до різних форм партизанської</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війни. Як наслідок, військові зіткнення часто відбуваються на території</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густонаселених районів, що не тільки наражає цивільне населення на</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підвищений ризик випадкової шкоди, але також сприяє безпосередній</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участі цивільних осіб у бойових діях. Крім того, будучи нездатними перемогти в прямому зіткненні з супротивником, збройні групи дедалі</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частіше вдаються до засобів і методів, заборонених МГП, наприклад</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неправомірного використання цивільного одягу для віроломного вбивства, поранення або захоплення супротивника, до здійснення невибіркових нападів або навіть безпосередніх атак проти цивільного населення, гуманітарного або медичного персоналу та їхньої інфраструктури</w:t>
      </w:r>
      <w:r w:rsidR="008A207D"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(так звані «слабо захищені цілі»). </w:t>
      </w:r>
    </w:p>
    <w:p w14:paraId="528717C5" w14:textId="4A496E71" w:rsidR="00A13A7F" w:rsidRPr="005803A9" w:rsidRDefault="00A13A7F"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Так само, збройні сили держави часто</w:t>
      </w:r>
      <w:r w:rsid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не можуть належним чином ідентифікувати супротивника і в такий</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спосіб підвищують ризик нападу на осіб, яких вони не можуть відрізнити від цивільного населення. Загалом, ця тенденція чинить сильний</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негативний вплив на концепцію відсутності взаємності та рівноправності сторін, що воюють, і, на жаль, на бажання як державних збройних</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сил, так і недержавних збройних груп дотримуватись своїх зобов’язань</w:t>
      </w:r>
      <w:r w:rsidR="008A207D"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за МГП.</w:t>
      </w:r>
    </w:p>
    <w:p w14:paraId="3D805759" w14:textId="3D72526B" w:rsidR="00A13A7F" w:rsidRPr="005803A9" w:rsidRDefault="00A13A7F" w:rsidP="009F15A9">
      <w:pPr>
        <w:spacing w:after="0" w:line="240" w:lineRule="auto"/>
        <w:ind w:firstLine="709"/>
        <w:jc w:val="both"/>
        <w:rPr>
          <w:rFonts w:ascii="Times New Roman" w:eastAsia="Times New Roman" w:hAnsi="Times New Roman" w:cs="Times New Roman"/>
          <w:i/>
          <w:iCs/>
          <w:color w:val="141413"/>
          <w:kern w:val="0"/>
          <w:sz w:val="28"/>
          <w:szCs w:val="28"/>
          <w:lang w:val="uk-UA"/>
          <w14:ligatures w14:val="none"/>
        </w:rPr>
      </w:pPr>
      <w:r w:rsidRPr="005803A9">
        <w:rPr>
          <w:rFonts w:ascii="Times New Roman" w:eastAsia="Times New Roman" w:hAnsi="Times New Roman" w:cs="Times New Roman"/>
          <w:i/>
          <w:iCs/>
          <w:color w:val="141413"/>
          <w:kern w:val="0"/>
          <w:sz w:val="28"/>
          <w:szCs w:val="28"/>
          <w:lang w:val="uk-UA"/>
          <w14:ligatures w14:val="none"/>
        </w:rPr>
        <w:t>Приватизація та залучення цивільних осіб до військової</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i/>
          <w:iCs/>
          <w:color w:val="141413"/>
          <w:kern w:val="0"/>
          <w:sz w:val="28"/>
          <w:szCs w:val="28"/>
          <w:lang w:val="uk-UA"/>
          <w14:ligatures w14:val="none"/>
        </w:rPr>
        <w:t>та охоронної діяльності</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Збройні сили завжди користувались послугами цивільних осіб, </w:t>
      </w:r>
      <w:proofErr w:type="spellStart"/>
      <w:r w:rsidRPr="005803A9">
        <w:rPr>
          <w:rFonts w:ascii="Times New Roman" w:eastAsia="Times New Roman" w:hAnsi="Times New Roman" w:cs="Times New Roman"/>
          <w:color w:val="141413"/>
          <w:kern w:val="0"/>
          <w:sz w:val="28"/>
          <w:szCs w:val="28"/>
          <w:lang w:val="uk-UA"/>
          <w14:ligatures w14:val="none"/>
        </w:rPr>
        <w:t>напри</w:t>
      </w:r>
      <w:r w:rsidR="00AD57BB" w:rsidRPr="005803A9">
        <w:rPr>
          <w:rFonts w:ascii="Times New Roman" w:eastAsia="Times New Roman" w:hAnsi="Times New Roman" w:cs="Times New Roman"/>
          <w:color w:val="141413"/>
          <w:kern w:val="0"/>
          <w:sz w:val="28"/>
          <w:szCs w:val="28"/>
          <w:lang w:val="uk-UA"/>
          <w14:ligatures w14:val="none"/>
        </w:rPr>
        <w:t>ь</w:t>
      </w:r>
      <w:r w:rsidRPr="005803A9">
        <w:rPr>
          <w:rFonts w:ascii="Times New Roman" w:eastAsia="Times New Roman" w:hAnsi="Times New Roman" w:cs="Times New Roman"/>
          <w:color w:val="141413"/>
          <w:kern w:val="0"/>
          <w:sz w:val="28"/>
          <w:szCs w:val="28"/>
          <w:lang w:val="uk-UA"/>
          <w14:ligatures w14:val="none"/>
        </w:rPr>
        <w:t>клад</w:t>
      </w:r>
      <w:proofErr w:type="spellEnd"/>
      <w:r w:rsidRPr="005803A9">
        <w:rPr>
          <w:rFonts w:ascii="Times New Roman" w:eastAsia="Times New Roman" w:hAnsi="Times New Roman" w:cs="Times New Roman"/>
          <w:color w:val="141413"/>
          <w:kern w:val="0"/>
          <w:sz w:val="28"/>
          <w:szCs w:val="28"/>
          <w:lang w:val="uk-UA"/>
          <w14:ligatures w14:val="none"/>
        </w:rPr>
        <w:t xml:space="preserve"> підрядників та службовців цивільних урядових служб. Дійсно, крім</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декількох конкретних випадків, МГП не забороняє залучення зовнішніх</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спеціалістів для здійснення військових та безпекових функцій, а й навіть</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передбачає, що цивільні особи, які офіційно уповноважені супроводжувати збройні сили в міжнародному збройному конфлікті, мають право на</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статус військовополонених у разі захоплення в полон.</w:t>
      </w:r>
    </w:p>
    <w:p w14:paraId="6FF3368E" w14:textId="3AC4E66F"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Однак, останні десять років спостерігається безпрецедентна тенденція до того, що функції,</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які традиційно передбачені до виконання державними збройними силами,</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доручаються приватним військовим та охоронним компаніям. Наприклад,</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у недавніх війнах в Іраку та Афганістані брали участь десятки тисяч приватних підрядників, і </w:t>
      </w:r>
      <w:r w:rsidRPr="005803A9">
        <w:rPr>
          <w:rFonts w:ascii="Times New Roman" w:eastAsia="Times New Roman" w:hAnsi="Times New Roman" w:cs="Times New Roman"/>
          <w:color w:val="141413"/>
          <w:kern w:val="0"/>
          <w:sz w:val="28"/>
          <w:szCs w:val="28"/>
          <w:lang w:val="uk-UA"/>
          <w14:ligatures w14:val="none"/>
        </w:rPr>
        <w:lastRenderedPageBreak/>
        <w:t>навіть були періоди, коли вони за своєю чисельністю</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очевидно перевищували мультинаціональні сили на місцях. Залежно від</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контексту, такі компанії можуть брати на себе широке коло функцій, починаючи з відновлювальних робіт, матеріально-технічного забезпечення,</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навчання та надання адміністративних послуг, до встановлення безпеки</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цивільного та військового персоналу та інфраструктури, а також від обслуговування та використання складних систем зброї до охорони і допиту</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затриманих. Деяка їх діяльність так тісно пов’язана з бойовими операціями, що їх персонал піддається ризику розглядатися як безпосередні учасники бойових дій і, залежно від обставин, навіть як військові найманці.</w:t>
      </w:r>
    </w:p>
    <w:p w14:paraId="508E7276" w14:textId="1EE52274"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Приватизація військових функцій також породжує низку серйозних гуманітарних проблем. По-перше, варто наголосити, що держави не можуть,</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передаючи деякі свої функції, звільнити себе від юридичної відповідальності за МГП. Отже, вони залишаються відповідальними за забезпечення</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того, щоб приватні </w:t>
      </w:r>
      <w:r w:rsidR="005803A9" w:rsidRPr="005803A9">
        <w:rPr>
          <w:rFonts w:ascii="Times New Roman" w:eastAsia="Times New Roman" w:hAnsi="Times New Roman" w:cs="Times New Roman"/>
          <w:color w:val="141413"/>
          <w:kern w:val="0"/>
          <w:sz w:val="28"/>
          <w:szCs w:val="28"/>
          <w:lang w:val="uk-UA"/>
          <w14:ligatures w14:val="none"/>
        </w:rPr>
        <w:t>військово</w:t>
      </w:r>
      <w:r w:rsidR="005803A9">
        <w:rPr>
          <w:rFonts w:ascii="Times New Roman" w:eastAsia="Times New Roman" w:hAnsi="Times New Roman" w:cs="Times New Roman"/>
          <w:color w:val="141413"/>
          <w:kern w:val="0"/>
          <w:sz w:val="28"/>
          <w:szCs w:val="28"/>
          <w:lang w:val="uk-UA"/>
          <w14:ligatures w14:val="none"/>
        </w:rPr>
        <w:t>охоронні</w:t>
      </w:r>
      <w:r w:rsidRPr="005803A9">
        <w:rPr>
          <w:rFonts w:ascii="Times New Roman" w:eastAsia="Times New Roman" w:hAnsi="Times New Roman" w:cs="Times New Roman"/>
          <w:color w:val="141413"/>
          <w:kern w:val="0"/>
          <w:sz w:val="28"/>
          <w:szCs w:val="28"/>
          <w:lang w:val="uk-UA"/>
          <w14:ligatures w14:val="none"/>
        </w:rPr>
        <w:t xml:space="preserve"> компанії, з якими були підписані</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відповідні угоди, або які працюють чи зареєстровані на їх території, дотримувалися всіх застосовних законів та положень, включно з МГП. Крім того,</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незалежно від їх функцій та діяльності, приватні підрядні організації також</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підпадають під захист за МГП. Загалом, всупереч поширеним уявленням,</w:t>
      </w:r>
      <w:r w:rsidR="00AD57BB" w:rsidRPr="005803A9">
        <w:rPr>
          <w:rFonts w:ascii="Times New Roman" w:eastAsia="Times New Roman" w:hAnsi="Times New Roman" w:cs="Times New Roman"/>
          <w:color w:val="141413"/>
          <w:kern w:val="0"/>
          <w:sz w:val="28"/>
          <w:szCs w:val="28"/>
          <w:lang w:val="uk-UA"/>
          <w14:ligatures w14:val="none"/>
        </w:rPr>
        <w:t xml:space="preserve"> п</w:t>
      </w:r>
      <w:r w:rsidRPr="005803A9">
        <w:rPr>
          <w:rFonts w:ascii="Times New Roman" w:eastAsia="Times New Roman" w:hAnsi="Times New Roman" w:cs="Times New Roman"/>
          <w:color w:val="141413"/>
          <w:kern w:val="0"/>
          <w:sz w:val="28"/>
          <w:szCs w:val="28"/>
          <w:lang w:val="uk-UA"/>
          <w14:ligatures w14:val="none"/>
        </w:rPr>
        <w:t>риватні військово-охоронні компанії не діють у правовому вакуумі.</w:t>
      </w:r>
    </w:p>
    <w:p w14:paraId="30535071" w14:textId="6AE76A36" w:rsidR="00A13A7F" w:rsidRPr="005803A9" w:rsidRDefault="00A13A7F" w:rsidP="008A207D">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Зокрема, Женевські конвенції 1949 року вимагають, щоб «кожен табір військовополонених безпосередньо підпорядковувався відповідальному офіцеру, який входить</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до складу регулярних збройних сил держави, що утримує в полоні», і</w:t>
      </w:r>
      <w:r w:rsidR="008A207D"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щоб «кожне місце інтернування було підпорядковане відповідальному офіцеру з регулярних збройних сил чи регулярних цивільної адміністрації держави, під владою</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якої перебувають інтерновані»</w:t>
      </w:r>
      <w:r w:rsidR="00AD57BB" w:rsidRPr="005803A9">
        <w:rPr>
          <w:rFonts w:ascii="Times New Roman" w:eastAsia="Times New Roman" w:hAnsi="Times New Roman" w:cs="Times New Roman"/>
          <w:color w:val="141413"/>
          <w:kern w:val="0"/>
          <w:sz w:val="28"/>
          <w:szCs w:val="28"/>
          <w:lang w:val="uk-UA"/>
          <w14:ligatures w14:val="none"/>
        </w:rPr>
        <w:t>.</w:t>
      </w:r>
    </w:p>
    <w:p w14:paraId="4955D939" w14:textId="79B32E1D" w:rsidR="00A13A7F" w:rsidRPr="005803A9" w:rsidRDefault="00A13A7F" w:rsidP="009F15A9">
      <w:pPr>
        <w:spacing w:after="0" w:line="240" w:lineRule="auto"/>
        <w:ind w:firstLine="709"/>
        <w:jc w:val="both"/>
        <w:rPr>
          <w:rFonts w:ascii="Times New Roman" w:eastAsia="Times New Roman" w:hAnsi="Times New Roman" w:cs="Times New Roman"/>
          <w:i/>
          <w:iCs/>
          <w:color w:val="141413"/>
          <w:kern w:val="0"/>
          <w:sz w:val="28"/>
          <w:szCs w:val="28"/>
          <w:lang w:val="uk-UA"/>
          <w14:ligatures w14:val="none"/>
        </w:rPr>
      </w:pPr>
      <w:r w:rsidRPr="005803A9">
        <w:rPr>
          <w:rFonts w:ascii="Times New Roman" w:eastAsia="Times New Roman" w:hAnsi="Times New Roman" w:cs="Times New Roman"/>
          <w:i/>
          <w:iCs/>
          <w:color w:val="141413"/>
          <w:kern w:val="0"/>
          <w:sz w:val="28"/>
          <w:szCs w:val="28"/>
          <w:lang w:val="uk-UA"/>
          <w14:ligatures w14:val="none"/>
        </w:rPr>
        <w:t>Нові технології озброєнь</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У багатьох сучасних збройних конфліктах військові операції та системи</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озброєнь досягли безпрецедентного рівня складності, включно з координацією великого різноманіття взаємозалежних людських та технологічних ресурсів у різних місцях по всьому світу. У поєднанні з появою</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нових технологій, таких як дистанційно керована зброя, засоби ведення </w:t>
      </w:r>
      <w:proofErr w:type="spellStart"/>
      <w:r w:rsidRPr="005803A9">
        <w:rPr>
          <w:rFonts w:ascii="Times New Roman" w:eastAsia="Times New Roman" w:hAnsi="Times New Roman" w:cs="Times New Roman"/>
          <w:color w:val="141413"/>
          <w:kern w:val="0"/>
          <w:sz w:val="28"/>
          <w:szCs w:val="28"/>
          <w:lang w:val="uk-UA"/>
          <w14:ligatures w14:val="none"/>
        </w:rPr>
        <w:t>кібервійни</w:t>
      </w:r>
      <w:proofErr w:type="spellEnd"/>
      <w:r w:rsidRPr="005803A9">
        <w:rPr>
          <w:rFonts w:ascii="Times New Roman" w:eastAsia="Times New Roman" w:hAnsi="Times New Roman" w:cs="Times New Roman"/>
          <w:color w:val="141413"/>
          <w:kern w:val="0"/>
          <w:sz w:val="28"/>
          <w:szCs w:val="28"/>
          <w:lang w:val="uk-UA"/>
          <w14:ligatures w14:val="none"/>
        </w:rPr>
        <w:t>, нанотехнології та все більш автономна зброя, – це кидає</w:t>
      </w:r>
      <w:r w:rsidR="00AD57BB" w:rsidRPr="005803A9">
        <w:rPr>
          <w:rFonts w:ascii="Times New Roman" w:eastAsia="Times New Roman" w:hAnsi="Times New Roman" w:cs="Times New Roman"/>
          <w:i/>
          <w:iCs/>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серйозний виклик для тлумачення та застосування МГП.</w:t>
      </w:r>
    </w:p>
    <w:p w14:paraId="1F304192" w14:textId="68994E0E"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Наприклад, систематичне використання дистанційно керованих безпілотників для боротьби з тероризмом у таких країнах, як Афганістан,</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Пакистан та Ємен, порушує питання застосування МГП в контексті</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проведення цих операцій і, як наслідок, щодо правил застосування</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вогню на ураження проти осіб, стосовно яких застосовується вказана</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зброя. У разі застосування МГП, систематичне використання безпілотних літальних апаратів породжує занепокоєння щодо достовірності</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використовуваної інформації про встановлення цілі нападу, небезпеки завдання випадкової шкоди цивільному населенню та нездатності</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військових сил, що здійснюють напад, надати підтримку пораненими, а</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також можливості захоплення полонених замість вбивств.</w:t>
      </w:r>
    </w:p>
    <w:p w14:paraId="7B97BAF6" w14:textId="77777777" w:rsidR="009F15A9"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Іншим порівняно недавнім явищем є поширення військових операцій на</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кіберпростір, так зване «п’яте поле бойових дій», поруч із сушею, морем,</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повітряним </w:t>
      </w:r>
      <w:r w:rsidRPr="005803A9">
        <w:rPr>
          <w:rFonts w:ascii="Times New Roman" w:eastAsia="Times New Roman" w:hAnsi="Times New Roman" w:cs="Times New Roman"/>
          <w:color w:val="141413"/>
          <w:kern w:val="0"/>
          <w:sz w:val="28"/>
          <w:szCs w:val="28"/>
          <w:lang w:val="uk-UA"/>
          <w14:ligatures w14:val="none"/>
        </w:rPr>
        <w:lastRenderedPageBreak/>
        <w:t>та космічним простором. Хоча не ставиться під сумнів те,</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що МГП також буде застосовуватися до </w:t>
      </w:r>
      <w:proofErr w:type="spellStart"/>
      <w:r w:rsidRPr="005803A9">
        <w:rPr>
          <w:rFonts w:ascii="Times New Roman" w:eastAsia="Times New Roman" w:hAnsi="Times New Roman" w:cs="Times New Roman"/>
          <w:color w:val="141413"/>
          <w:kern w:val="0"/>
          <w:sz w:val="28"/>
          <w:szCs w:val="28"/>
          <w:lang w:val="uk-UA"/>
          <w14:ligatures w14:val="none"/>
        </w:rPr>
        <w:t>кібероперацій</w:t>
      </w:r>
      <w:proofErr w:type="spellEnd"/>
      <w:r w:rsidRPr="005803A9">
        <w:rPr>
          <w:rFonts w:ascii="Times New Roman" w:eastAsia="Times New Roman" w:hAnsi="Times New Roman" w:cs="Times New Roman"/>
          <w:color w:val="141413"/>
          <w:kern w:val="0"/>
          <w:sz w:val="28"/>
          <w:szCs w:val="28"/>
          <w:lang w:val="uk-UA"/>
          <w14:ligatures w14:val="none"/>
        </w:rPr>
        <w:t>, які проводяться</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у зв’язку з існуючим збройним конфліктом, неясно, чи можуть </w:t>
      </w:r>
      <w:proofErr w:type="spellStart"/>
      <w:r w:rsidRPr="005803A9">
        <w:rPr>
          <w:rFonts w:ascii="Times New Roman" w:eastAsia="Times New Roman" w:hAnsi="Times New Roman" w:cs="Times New Roman"/>
          <w:color w:val="141413"/>
          <w:kern w:val="0"/>
          <w:sz w:val="28"/>
          <w:szCs w:val="28"/>
          <w:lang w:val="uk-UA"/>
          <w14:ligatures w14:val="none"/>
        </w:rPr>
        <w:t>кібероперації</w:t>
      </w:r>
      <w:proofErr w:type="spellEnd"/>
      <w:r w:rsidRPr="005803A9">
        <w:rPr>
          <w:rFonts w:ascii="Times New Roman" w:eastAsia="Times New Roman" w:hAnsi="Times New Roman" w:cs="Times New Roman"/>
          <w:color w:val="141413"/>
          <w:kern w:val="0"/>
          <w:sz w:val="28"/>
          <w:szCs w:val="28"/>
          <w:lang w:val="uk-UA"/>
          <w14:ligatures w14:val="none"/>
        </w:rPr>
        <w:t xml:space="preserve"> самі собою призвести до констатації існування збройного конфлікту і, в такому разі, стати причиною застосування МГП. Крім того, коли</w:t>
      </w:r>
      <w:r w:rsidR="00AD57BB"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кібероперації</w:t>
      </w:r>
      <w:proofErr w:type="spellEnd"/>
      <w:r w:rsidRPr="005803A9">
        <w:rPr>
          <w:rFonts w:ascii="Times New Roman" w:eastAsia="Times New Roman" w:hAnsi="Times New Roman" w:cs="Times New Roman"/>
          <w:color w:val="141413"/>
          <w:kern w:val="0"/>
          <w:sz w:val="28"/>
          <w:szCs w:val="28"/>
          <w:lang w:val="uk-UA"/>
          <w14:ligatures w14:val="none"/>
        </w:rPr>
        <w:t xml:space="preserve"> регулюються МГП, виникають запитання щодо того, що</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саме називати «нападами» – визначеними в МГП як «акти насильства»– в кіберпросторі, і як слід оцінювати пропорційність «супутньої шкоди»</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для цивільної інфраструктури, особливо з огляду на те, що військові та</w:t>
      </w:r>
      <w:r w:rsidR="00AD57BB"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цивільні комп’ютерні мережі є взаємозалежними. </w:t>
      </w:r>
    </w:p>
    <w:p w14:paraId="3488B7E2" w14:textId="77777777" w:rsidR="009F15A9"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Крім того, які запобіжні заходи можна й потрібно вжити, щоб уникнути ризику завдання</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надмірної шкоди цивільним об’єктам, функціонування яких залежить</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від комп’ютерних систем (гідроелектростанцій, атомних електростанцій,</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лікарень тощо)? </w:t>
      </w:r>
    </w:p>
    <w:p w14:paraId="04D3286D" w14:textId="77777777" w:rsidR="009F15A9"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Як можна забезпечити, щоб така шкода не призвела до</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помилкових чи надлишкових збитків для осіб та об’єктів, захищених від</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прямого нападу? </w:t>
      </w:r>
    </w:p>
    <w:p w14:paraId="0FA3DCD4" w14:textId="77777777" w:rsidR="009F15A9"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Що означає обов’язок комбатантів відрізняти себе від</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 xml:space="preserve">цивільного населення в кіберпросторі? </w:t>
      </w:r>
    </w:p>
    <w:p w14:paraId="18B5F57D" w14:textId="12B27BCC"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proofErr w:type="spellStart"/>
      <w:r w:rsidRPr="005803A9">
        <w:rPr>
          <w:rFonts w:ascii="Times New Roman" w:eastAsia="Times New Roman" w:hAnsi="Times New Roman" w:cs="Times New Roman"/>
          <w:color w:val="141413"/>
          <w:kern w:val="0"/>
          <w:sz w:val="28"/>
          <w:szCs w:val="28"/>
          <w:lang w:val="uk-UA"/>
          <w14:ligatures w14:val="none"/>
        </w:rPr>
        <w:t>Кібервійна</w:t>
      </w:r>
      <w:proofErr w:type="spellEnd"/>
      <w:r w:rsidRPr="005803A9">
        <w:rPr>
          <w:rFonts w:ascii="Times New Roman" w:eastAsia="Times New Roman" w:hAnsi="Times New Roman" w:cs="Times New Roman"/>
          <w:color w:val="141413"/>
          <w:kern w:val="0"/>
          <w:sz w:val="28"/>
          <w:szCs w:val="28"/>
          <w:lang w:val="uk-UA"/>
          <w14:ligatures w14:val="none"/>
        </w:rPr>
        <w:t xml:space="preserve"> також порушує правові питання, що мають принципове значення в інших сферах міжнародного права, таких як </w:t>
      </w:r>
      <w:proofErr w:type="spellStart"/>
      <w:r w:rsidRPr="005803A9">
        <w:rPr>
          <w:rFonts w:ascii="Times New Roman" w:eastAsia="Times New Roman" w:hAnsi="Times New Roman" w:cs="Times New Roman"/>
          <w:color w:val="141413"/>
          <w:kern w:val="0"/>
          <w:sz w:val="28"/>
          <w:szCs w:val="28"/>
          <w:lang w:val="uk-UA"/>
          <w14:ligatures w14:val="none"/>
        </w:rPr>
        <w:t>jus</w:t>
      </w:r>
      <w:proofErr w:type="spellEnd"/>
      <w:r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ad</w:t>
      </w:r>
      <w:proofErr w:type="spellEnd"/>
      <w:r w:rsidRPr="005803A9">
        <w:rPr>
          <w:rFonts w:ascii="Times New Roman" w:eastAsia="Times New Roman" w:hAnsi="Times New Roman" w:cs="Times New Roman"/>
          <w:color w:val="141413"/>
          <w:kern w:val="0"/>
          <w:sz w:val="28"/>
          <w:szCs w:val="28"/>
          <w:lang w:val="uk-UA"/>
          <w14:ligatures w14:val="none"/>
        </w:rPr>
        <w:t xml:space="preserve"> </w:t>
      </w:r>
      <w:proofErr w:type="spellStart"/>
      <w:r w:rsidRPr="005803A9">
        <w:rPr>
          <w:rFonts w:ascii="Times New Roman" w:eastAsia="Times New Roman" w:hAnsi="Times New Roman" w:cs="Times New Roman"/>
          <w:color w:val="141413"/>
          <w:kern w:val="0"/>
          <w:sz w:val="28"/>
          <w:szCs w:val="28"/>
          <w:lang w:val="uk-UA"/>
          <w14:ligatures w14:val="none"/>
        </w:rPr>
        <w:t>bellum</w:t>
      </w:r>
      <w:proofErr w:type="spellEnd"/>
      <w:r w:rsidRPr="005803A9">
        <w:rPr>
          <w:rFonts w:ascii="Times New Roman" w:eastAsia="Times New Roman" w:hAnsi="Times New Roman" w:cs="Times New Roman"/>
          <w:color w:val="141413"/>
          <w:kern w:val="0"/>
          <w:sz w:val="28"/>
          <w:szCs w:val="28"/>
          <w:lang w:val="uk-UA"/>
          <w14:ligatures w14:val="none"/>
        </w:rPr>
        <w:t xml:space="preserve"> та право нейтралітету. Ці питання</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повинні бути вирішені за допомогою детального тлумачення існуючих</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договорів МГП та положень звичаєвого права. Зараз дискусія щодо тлумачення та застосування міжнародного права в кіберпросторі ведеться</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на все більшій кількості академічних, національних та міжнародних форумів, і, безумовно, досягнення консенсусу щодо цього займе багато часу.</w:t>
      </w:r>
    </w:p>
    <w:p w14:paraId="3C05ABFF" w14:textId="1BEAE2D5" w:rsidR="00A13A7F" w:rsidRPr="005803A9" w:rsidRDefault="00A13A7F"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Однак цей процес не повинен призвести до хибного сприйняття нібито</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щодо регулювання цього «п’ятого поля бою» існує правовий вакуум, але</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потрібно виходити з припущення, що існуюче міжнародне право повністю застосовується в кіберпросторі. У ситуаціях збройного конфлікту це</w:t>
      </w:r>
      <w:r w:rsidR="009F15A9" w:rsidRPr="005803A9">
        <w:rPr>
          <w:rFonts w:ascii="Times New Roman" w:eastAsia="Times New Roman" w:hAnsi="Times New Roman" w:cs="Times New Roman"/>
          <w:color w:val="141413"/>
          <w:kern w:val="0"/>
          <w:sz w:val="28"/>
          <w:szCs w:val="28"/>
          <w:lang w:val="uk-UA"/>
          <w14:ligatures w14:val="none"/>
        </w:rPr>
        <w:t xml:space="preserve"> </w:t>
      </w:r>
      <w:r w:rsidRPr="005803A9">
        <w:rPr>
          <w:rFonts w:ascii="Times New Roman" w:eastAsia="Times New Roman" w:hAnsi="Times New Roman" w:cs="Times New Roman"/>
          <w:color w:val="141413"/>
          <w:kern w:val="0"/>
          <w:sz w:val="28"/>
          <w:szCs w:val="28"/>
          <w:lang w:val="uk-UA"/>
          <w14:ligatures w14:val="none"/>
        </w:rPr>
        <w:t>означає застосування всіх відповідних норм та принципів МГП.</w:t>
      </w:r>
    </w:p>
    <w:p w14:paraId="6591A55B" w14:textId="77777777" w:rsidR="009F15A9" w:rsidRPr="005803A9" w:rsidRDefault="009F15A9"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Іншими технологічними розробленнями, що можуть спричиняти занепокоєння щодо відповідності МГП, є нанотехнології і все більш автономні види озброєння, що застосовуються на сучасному полі бою. Тоді як нанотехнології вже використовуються в поточних військових операціях, переважно для підвищення ефективності певних боєприпасів та броньового захисту, для розроблення цілком автономних роботів, здатних приймати рішення щодо встановлення цілі без участі людини, потрібно ще кілька десятиліть. Проте, ця перспектива чітко висуває питання щодо оперативного контролю над такими системами зброї та юридичною, а також кримінальною відповідальністю за шкоду, заподіяну ними у разі дій, котрі порушують МГП. </w:t>
      </w:r>
    </w:p>
    <w:p w14:paraId="11AAEFBE" w14:textId="0F40B0BF" w:rsidR="009F15A9" w:rsidRPr="005803A9" w:rsidRDefault="009F15A9" w:rsidP="009F15A9">
      <w:pPr>
        <w:spacing w:after="0" w:line="240" w:lineRule="auto"/>
        <w:ind w:firstLine="709"/>
        <w:jc w:val="both"/>
        <w:rPr>
          <w:rFonts w:ascii="Times New Roman" w:eastAsia="Times New Roman" w:hAnsi="Times New Roman" w:cs="Times New Roman"/>
          <w:color w:val="141413"/>
          <w:kern w:val="0"/>
          <w:sz w:val="28"/>
          <w:szCs w:val="28"/>
          <w:lang w:val="uk-UA"/>
          <w14:ligatures w14:val="none"/>
        </w:rPr>
      </w:pPr>
      <w:r w:rsidRPr="005803A9">
        <w:rPr>
          <w:rFonts w:ascii="Times New Roman" w:eastAsia="Times New Roman" w:hAnsi="Times New Roman" w:cs="Times New Roman"/>
          <w:color w:val="141413"/>
          <w:kern w:val="0"/>
          <w:sz w:val="28"/>
          <w:szCs w:val="28"/>
          <w:lang w:val="uk-UA"/>
          <w14:ligatures w14:val="none"/>
        </w:rPr>
        <w:t xml:space="preserve">Найважливіше тут зазначити, що відповідальність за те, щоб всі засоби та методи, які використовуються в збройному конфлікті, відповідали МГП завжди буде покладатись на сторін конфлікту. Крім того, будь-яка індивідуальна дія чи бездіяльність, що становить порушення МГП, залишатиметься предметом судового переслідування та покарання, навіть якщо остаточне «рішення» щодо вчинення зазначеного злочину було прийнято за допомогою машини на основі програм та </w:t>
      </w:r>
      <w:r w:rsidRPr="005803A9">
        <w:rPr>
          <w:rFonts w:ascii="Times New Roman" w:eastAsia="Times New Roman" w:hAnsi="Times New Roman" w:cs="Times New Roman"/>
          <w:color w:val="141413"/>
          <w:kern w:val="0"/>
          <w:sz w:val="28"/>
          <w:szCs w:val="28"/>
          <w:lang w:val="uk-UA"/>
          <w14:ligatures w14:val="none"/>
        </w:rPr>
        <w:lastRenderedPageBreak/>
        <w:t>алгоритмів, а не в режимі віддання команд у реальному часі за участю людини-оператора.</w:t>
      </w:r>
    </w:p>
    <w:p w14:paraId="0D10D03E" w14:textId="38C5FFF4" w:rsidR="009F15A9" w:rsidRPr="005803A9" w:rsidRDefault="009F15A9" w:rsidP="009F15A9">
      <w:pPr>
        <w:pStyle w:val="p1"/>
        <w:ind w:firstLine="709"/>
        <w:jc w:val="both"/>
        <w:rPr>
          <w:rFonts w:ascii="Times New Roman" w:hAnsi="Times New Roman"/>
          <w:sz w:val="28"/>
          <w:szCs w:val="28"/>
          <w:lang w:val="uk-UA"/>
        </w:rPr>
      </w:pPr>
      <w:r w:rsidRPr="005803A9">
        <w:rPr>
          <w:rFonts w:ascii="Times New Roman" w:hAnsi="Times New Roman"/>
          <w:i/>
          <w:iCs/>
          <w:sz w:val="28"/>
          <w:szCs w:val="28"/>
          <w:lang w:val="uk-UA"/>
        </w:rPr>
        <w:t xml:space="preserve">Повага до МГП. </w:t>
      </w:r>
      <w:r w:rsidRPr="005803A9">
        <w:rPr>
          <w:rFonts w:ascii="Times New Roman" w:hAnsi="Times New Roman"/>
          <w:sz w:val="28"/>
          <w:szCs w:val="28"/>
          <w:lang w:val="uk-UA"/>
        </w:rPr>
        <w:t>Юридичні та практичні труднощі, що виникають внаслідок змін у сучасному середовищі безпеки, спричинили плутанину та невизначеність не</w:t>
      </w:r>
      <w:r w:rsidRPr="005803A9">
        <w:rPr>
          <w:rFonts w:ascii="Times New Roman" w:hAnsi="Times New Roman"/>
          <w:i/>
          <w:iCs/>
          <w:sz w:val="28"/>
          <w:szCs w:val="28"/>
          <w:lang w:val="uk-UA"/>
        </w:rPr>
        <w:t xml:space="preserve"> </w:t>
      </w:r>
      <w:r w:rsidRPr="005803A9">
        <w:rPr>
          <w:rFonts w:ascii="Times New Roman" w:hAnsi="Times New Roman"/>
          <w:sz w:val="28"/>
          <w:szCs w:val="28"/>
          <w:lang w:val="uk-UA"/>
        </w:rPr>
        <w:t>тільки щодо відмінності між збройними конфліктами та правозастосуванням, а й щодо традиційної класифікації осіб як цивільних громадян</w:t>
      </w:r>
      <w:r w:rsidRPr="005803A9">
        <w:rPr>
          <w:rFonts w:ascii="Times New Roman" w:hAnsi="Times New Roman"/>
          <w:i/>
          <w:iCs/>
          <w:sz w:val="28"/>
          <w:szCs w:val="28"/>
          <w:lang w:val="uk-UA"/>
        </w:rPr>
        <w:t xml:space="preserve"> </w:t>
      </w:r>
      <w:r w:rsidRPr="005803A9">
        <w:rPr>
          <w:rFonts w:ascii="Times New Roman" w:hAnsi="Times New Roman"/>
          <w:sz w:val="28"/>
          <w:szCs w:val="28"/>
          <w:lang w:val="uk-UA"/>
        </w:rPr>
        <w:t>та комбатантів, а також щодо встановлення часових та географічних меж</w:t>
      </w:r>
      <w:r w:rsidRPr="005803A9">
        <w:rPr>
          <w:rFonts w:ascii="Times New Roman" w:hAnsi="Times New Roman"/>
          <w:i/>
          <w:iCs/>
          <w:sz w:val="28"/>
          <w:szCs w:val="28"/>
          <w:lang w:val="uk-UA"/>
        </w:rPr>
        <w:t xml:space="preserve"> </w:t>
      </w:r>
      <w:r w:rsidRPr="005803A9">
        <w:rPr>
          <w:rFonts w:ascii="Times New Roman" w:hAnsi="Times New Roman"/>
          <w:sz w:val="28"/>
          <w:szCs w:val="28"/>
          <w:lang w:val="uk-UA"/>
        </w:rPr>
        <w:t>«поля бою». Як свідчать спори щодо правових норм, які регулюють різні</w:t>
      </w:r>
      <w:r w:rsidRPr="005803A9">
        <w:rPr>
          <w:rFonts w:ascii="Times New Roman" w:hAnsi="Times New Roman"/>
          <w:i/>
          <w:iCs/>
          <w:sz w:val="28"/>
          <w:szCs w:val="28"/>
          <w:lang w:val="uk-UA"/>
        </w:rPr>
        <w:t xml:space="preserve"> </w:t>
      </w:r>
      <w:r w:rsidRPr="005803A9">
        <w:rPr>
          <w:rFonts w:ascii="Times New Roman" w:hAnsi="Times New Roman"/>
          <w:sz w:val="28"/>
          <w:szCs w:val="28"/>
          <w:lang w:val="uk-UA"/>
        </w:rPr>
        <w:t>аспекти «війни із тероризмом», що ведеться Сполученими Штатами, така</w:t>
      </w:r>
      <w:r w:rsidRPr="005803A9">
        <w:rPr>
          <w:rFonts w:ascii="Times New Roman" w:hAnsi="Times New Roman"/>
          <w:i/>
          <w:iCs/>
          <w:sz w:val="28"/>
          <w:szCs w:val="28"/>
          <w:lang w:val="uk-UA"/>
        </w:rPr>
        <w:t xml:space="preserve"> </w:t>
      </w:r>
      <w:r w:rsidRPr="005803A9">
        <w:rPr>
          <w:rFonts w:ascii="Times New Roman" w:hAnsi="Times New Roman"/>
          <w:sz w:val="28"/>
          <w:szCs w:val="28"/>
          <w:lang w:val="uk-UA"/>
        </w:rPr>
        <w:t>плутанина й невизначеність також породили сумніви щодо достатності</w:t>
      </w:r>
      <w:r w:rsidRPr="005803A9">
        <w:rPr>
          <w:rFonts w:ascii="Times New Roman" w:hAnsi="Times New Roman"/>
          <w:i/>
          <w:iCs/>
          <w:sz w:val="28"/>
          <w:szCs w:val="28"/>
          <w:lang w:val="uk-UA"/>
        </w:rPr>
        <w:t xml:space="preserve"> </w:t>
      </w:r>
      <w:r w:rsidRPr="005803A9">
        <w:rPr>
          <w:rFonts w:ascii="Times New Roman" w:hAnsi="Times New Roman"/>
          <w:sz w:val="28"/>
          <w:szCs w:val="28"/>
          <w:lang w:val="uk-UA"/>
        </w:rPr>
        <w:t>правового регулювання сучасного МГП для подолання нових проблем у</w:t>
      </w:r>
      <w:r w:rsidRPr="005803A9">
        <w:rPr>
          <w:rFonts w:ascii="Times New Roman" w:hAnsi="Times New Roman"/>
          <w:i/>
          <w:iCs/>
          <w:sz w:val="28"/>
          <w:szCs w:val="28"/>
          <w:lang w:val="uk-UA"/>
        </w:rPr>
        <w:t xml:space="preserve"> г</w:t>
      </w:r>
      <w:r w:rsidRPr="005803A9">
        <w:rPr>
          <w:rFonts w:ascii="Times New Roman" w:hAnsi="Times New Roman"/>
          <w:sz w:val="28"/>
          <w:szCs w:val="28"/>
          <w:lang w:val="uk-UA"/>
        </w:rPr>
        <w:t>алузі безпеки XXI століття. У відповідь на це різні зацікавлені сторони</w:t>
      </w:r>
      <w:r w:rsidRPr="005803A9">
        <w:rPr>
          <w:rFonts w:ascii="Times New Roman" w:hAnsi="Times New Roman"/>
          <w:i/>
          <w:iCs/>
          <w:sz w:val="28"/>
          <w:szCs w:val="28"/>
          <w:lang w:val="uk-UA"/>
        </w:rPr>
        <w:t xml:space="preserve"> </w:t>
      </w:r>
      <w:r w:rsidRPr="005803A9">
        <w:rPr>
          <w:rFonts w:ascii="Times New Roman" w:hAnsi="Times New Roman"/>
          <w:sz w:val="28"/>
          <w:szCs w:val="28"/>
          <w:lang w:val="uk-UA"/>
        </w:rPr>
        <w:t>започаткували важливі процеси, спрямовані на аналіз, підтвердження</w:t>
      </w:r>
      <w:r w:rsidRPr="005803A9">
        <w:rPr>
          <w:rFonts w:ascii="Times New Roman" w:hAnsi="Times New Roman"/>
          <w:i/>
          <w:iCs/>
          <w:sz w:val="28"/>
          <w:szCs w:val="28"/>
          <w:lang w:val="uk-UA"/>
        </w:rPr>
        <w:t xml:space="preserve"> </w:t>
      </w:r>
      <w:r w:rsidRPr="005803A9">
        <w:rPr>
          <w:rFonts w:ascii="Times New Roman" w:hAnsi="Times New Roman"/>
          <w:sz w:val="28"/>
          <w:szCs w:val="28"/>
          <w:lang w:val="uk-UA"/>
        </w:rPr>
        <w:t xml:space="preserve">та уточнення змісту МГП у сферах, що спричиняють особливе занепокоєння в гуманітарному праві. </w:t>
      </w:r>
    </w:p>
    <w:p w14:paraId="4EAB4F48" w14:textId="77777777" w:rsidR="00866B93" w:rsidRPr="005803A9" w:rsidRDefault="00866B93" w:rsidP="009F15A9">
      <w:pPr>
        <w:pStyle w:val="p1"/>
        <w:ind w:firstLine="709"/>
        <w:jc w:val="both"/>
        <w:rPr>
          <w:rFonts w:ascii="Times New Roman" w:hAnsi="Times New Roman"/>
          <w:sz w:val="28"/>
          <w:szCs w:val="28"/>
          <w:lang w:val="uk-UA"/>
        </w:rPr>
      </w:pPr>
    </w:p>
    <w:p w14:paraId="63EE3C5D" w14:textId="77777777" w:rsidR="00866B93" w:rsidRDefault="00866B93" w:rsidP="00866B93">
      <w:pPr>
        <w:spacing w:after="0" w:line="240" w:lineRule="auto"/>
        <w:ind w:firstLine="709"/>
        <w:jc w:val="both"/>
        <w:rPr>
          <w:rFonts w:ascii="Times New Roman" w:eastAsia="Times New Roman" w:hAnsi="Times New Roman" w:cs="Times New Roman"/>
          <w:b/>
          <w:bCs/>
          <w:color w:val="141413"/>
          <w:kern w:val="0"/>
          <w:sz w:val="28"/>
          <w:szCs w:val="28"/>
          <w:lang w:val="uk-UA"/>
          <w14:ligatures w14:val="none"/>
        </w:rPr>
      </w:pPr>
      <w:r w:rsidRPr="0011457F">
        <w:rPr>
          <w:rFonts w:ascii="Times New Roman" w:eastAsia="Times New Roman" w:hAnsi="Times New Roman" w:cs="Times New Roman"/>
          <w:b/>
          <w:bCs/>
          <w:color w:val="141413"/>
          <w:kern w:val="0"/>
          <w:sz w:val="28"/>
          <w:szCs w:val="28"/>
          <w:lang w:val="uk-UA"/>
          <w14:ligatures w14:val="none"/>
        </w:rPr>
        <w:t>Рекомендовані джерела:</w:t>
      </w:r>
    </w:p>
    <w:p w14:paraId="458EB385" w14:textId="77777777" w:rsidR="00866B93" w:rsidRPr="0011457F" w:rsidRDefault="00866B93" w:rsidP="00866B93">
      <w:pPr>
        <w:pStyle w:val="p1"/>
        <w:ind w:firstLine="709"/>
        <w:jc w:val="both"/>
        <w:rPr>
          <w:rFonts w:ascii="Times New Roman" w:hAnsi="Times New Roman"/>
          <w:color w:val="000000"/>
          <w:sz w:val="28"/>
          <w:szCs w:val="28"/>
        </w:rPr>
      </w:pPr>
      <w:r w:rsidRPr="0011457F">
        <w:rPr>
          <w:rFonts w:ascii="Times New Roman" w:hAnsi="Times New Roman"/>
          <w:color w:val="343A40"/>
          <w:sz w:val="28"/>
          <w:szCs w:val="28"/>
          <w:shd w:val="clear" w:color="auto" w:fill="FFFFFF"/>
          <w:lang w:val="uk-UA"/>
        </w:rPr>
        <w:t>1.</w:t>
      </w:r>
      <w:r w:rsidRPr="0011457F">
        <w:rPr>
          <w:rFonts w:ascii="Times New Roman" w:hAnsi="Times New Roman"/>
          <w:color w:val="000000"/>
          <w:sz w:val="28"/>
          <w:szCs w:val="28"/>
        </w:rPr>
        <w:t xml:space="preserve"> Вивчаючи міжнародне гуманітарне право : навчально-методичний посібник. Друге видання / О. войтенко, М. Єлігулашвілі, О. Козорог,</w:t>
      </w:r>
      <w:r w:rsidRPr="0011457F">
        <w:rPr>
          <w:rFonts w:ascii="Times New Roman" w:hAnsi="Times New Roman"/>
          <w:color w:val="000000"/>
          <w:sz w:val="28"/>
          <w:szCs w:val="28"/>
          <w:lang w:val="uk-UA"/>
        </w:rPr>
        <w:t xml:space="preserve"> </w:t>
      </w:r>
      <w:r w:rsidRPr="0011457F">
        <w:rPr>
          <w:rFonts w:ascii="Times New Roman" w:hAnsi="Times New Roman"/>
          <w:color w:val="000000"/>
          <w:sz w:val="28"/>
          <w:szCs w:val="28"/>
        </w:rPr>
        <w:t>Т . Короткий, В. Потапова, О. Стокоз, Н. Хендель ; за заг. ред. рад</w:t>
      </w:r>
    </w:p>
    <w:p w14:paraId="0E89D933" w14:textId="77777777" w:rsidR="00866B93" w:rsidRPr="0011457F" w:rsidRDefault="00866B93" w:rsidP="00866B93">
      <w:pPr>
        <w:spacing w:after="0" w:line="240" w:lineRule="auto"/>
        <w:ind w:firstLine="709"/>
        <w:jc w:val="both"/>
        <w:rPr>
          <w:rFonts w:ascii="Times New Roman" w:hAnsi="Times New Roman" w:cs="Times New Roman"/>
          <w:color w:val="333333"/>
          <w:sz w:val="28"/>
          <w:szCs w:val="28"/>
          <w:shd w:val="clear" w:color="auto" w:fill="FFFFFF"/>
          <w:lang w:val="uk-UA"/>
        </w:rPr>
      </w:pPr>
      <w:r w:rsidRPr="0011457F">
        <w:rPr>
          <w:rFonts w:ascii="Times New Roman" w:eastAsia="Times New Roman" w:hAnsi="Times New Roman" w:cs="Times New Roman"/>
          <w:color w:val="141413"/>
          <w:kern w:val="0"/>
          <w:sz w:val="28"/>
          <w:szCs w:val="28"/>
          <w:lang w:val="uk-UA"/>
          <w14:ligatures w14:val="none"/>
        </w:rPr>
        <w:t xml:space="preserve">2. </w:t>
      </w:r>
      <w:r w:rsidRPr="0011457F">
        <w:rPr>
          <w:rFonts w:ascii="Times New Roman" w:hAnsi="Times New Roman" w:cs="Times New Roman"/>
          <w:color w:val="333333"/>
          <w:sz w:val="28"/>
          <w:szCs w:val="28"/>
          <w:shd w:val="clear" w:color="auto" w:fill="FFFFFF"/>
        </w:rPr>
        <w:t>Мельцер Н. Міжнародне гуманітарне право. Загальний курс : навчю посіб. / Н. Мельцер. – Киї</w:t>
      </w:r>
      <w:r w:rsidRPr="0011457F">
        <w:rPr>
          <w:rFonts w:ascii="Times New Roman" w:hAnsi="Times New Roman" w:cs="Times New Roman"/>
          <w:color w:val="333333"/>
          <w:sz w:val="28"/>
          <w:szCs w:val="28"/>
          <w:shd w:val="clear" w:color="auto" w:fill="FFFFFF"/>
          <w:lang w:val="uk-UA"/>
        </w:rPr>
        <w:t>в, 2020.</w:t>
      </w:r>
    </w:p>
    <w:p w14:paraId="595E31DF" w14:textId="77777777" w:rsidR="00866B93" w:rsidRPr="0011457F" w:rsidRDefault="00866B93" w:rsidP="00866B93">
      <w:pPr>
        <w:pStyle w:val="p1"/>
        <w:ind w:firstLine="709"/>
        <w:jc w:val="both"/>
        <w:rPr>
          <w:rFonts w:ascii="Times New Roman" w:hAnsi="Times New Roman"/>
          <w:color w:val="000000"/>
          <w:sz w:val="28"/>
          <w:szCs w:val="28"/>
          <w:lang w:val="uk-UA"/>
        </w:rPr>
      </w:pPr>
      <w:r w:rsidRPr="0011457F">
        <w:rPr>
          <w:rFonts w:ascii="Times New Roman" w:hAnsi="Times New Roman"/>
          <w:color w:val="333333"/>
          <w:sz w:val="28"/>
          <w:szCs w:val="28"/>
          <w:shd w:val="clear" w:color="auto" w:fill="FFFFFF"/>
          <w:lang w:val="uk-UA"/>
        </w:rPr>
        <w:t xml:space="preserve">3. </w:t>
      </w:r>
      <w:r w:rsidRPr="0011457F">
        <w:rPr>
          <w:rFonts w:ascii="Times New Roman" w:hAnsi="Times New Roman"/>
          <w:color w:val="000000"/>
          <w:sz w:val="28"/>
          <w:szCs w:val="28"/>
        </w:rPr>
        <w:t>Міжнародне гуманітарне право. Посібник для юриста /[М.М. Гнатовський, Т.Р. Короткий, А.О. Кориневич, В.М. Лисик,</w:t>
      </w:r>
      <w:r w:rsidRPr="0011457F">
        <w:rPr>
          <w:rFonts w:ascii="Times New Roman" w:hAnsi="Times New Roman"/>
          <w:color w:val="000000"/>
          <w:sz w:val="28"/>
          <w:szCs w:val="28"/>
          <w:lang w:val="uk-UA"/>
        </w:rPr>
        <w:t xml:space="preserve"> </w:t>
      </w:r>
      <w:r w:rsidRPr="0011457F">
        <w:rPr>
          <w:rFonts w:ascii="Times New Roman" w:hAnsi="Times New Roman"/>
          <w:color w:val="000000"/>
          <w:sz w:val="28"/>
          <w:szCs w:val="28"/>
        </w:rPr>
        <w:t>О.Р. Поєдинок, Н.В. Хендель]; за ред. Т.Р. Короткого – Київ-Одеса : Українська гельсінська спілка з прав людини, Фенікс, 2016.– 2017. - 145с.</w:t>
      </w:r>
    </w:p>
    <w:p w14:paraId="0DAC28A2" w14:textId="77777777" w:rsidR="00866B93" w:rsidRPr="0011457F" w:rsidRDefault="00866B93" w:rsidP="00866B93">
      <w:pPr>
        <w:spacing w:after="0" w:line="240" w:lineRule="auto"/>
        <w:ind w:firstLine="709"/>
        <w:jc w:val="both"/>
        <w:rPr>
          <w:rFonts w:ascii="Times New Roman" w:hAnsi="Times New Roman" w:cs="Times New Roman"/>
          <w:color w:val="343A40"/>
          <w:sz w:val="28"/>
          <w:szCs w:val="28"/>
          <w:shd w:val="clear" w:color="auto" w:fill="FFFFFF"/>
          <w:lang w:val="uk-UA"/>
        </w:rPr>
      </w:pPr>
      <w:r w:rsidRPr="0011457F">
        <w:rPr>
          <w:rFonts w:ascii="Times New Roman" w:eastAsia="Times New Roman" w:hAnsi="Times New Roman" w:cs="Times New Roman"/>
          <w:color w:val="141413"/>
          <w:kern w:val="0"/>
          <w:sz w:val="28"/>
          <w:szCs w:val="28"/>
          <w:lang w:val="uk-UA"/>
          <w14:ligatures w14:val="none"/>
        </w:rPr>
        <w:t xml:space="preserve">4. </w:t>
      </w:r>
      <w:r w:rsidRPr="0011457F">
        <w:rPr>
          <w:rFonts w:ascii="Times New Roman" w:hAnsi="Times New Roman" w:cs="Times New Roman"/>
          <w:color w:val="343A40"/>
          <w:sz w:val="28"/>
          <w:szCs w:val="28"/>
          <w:shd w:val="clear" w:color="auto" w:fill="FFFFFF"/>
        </w:rPr>
        <w:t>Міжнародне гуманітарне право : навчально-методичний посібник / М. В. Грушко, В. В. Музика, Т. С. Федорова, В. В. Владишевська / за ред. О. В. Бігняка.- Одеса : Видавничий дім «Гельветика», 2022. - 136 с</w:t>
      </w:r>
    </w:p>
    <w:p w14:paraId="209F828E" w14:textId="77777777" w:rsidR="00866B93" w:rsidRPr="0011457F" w:rsidRDefault="00866B93" w:rsidP="00866B93">
      <w:pPr>
        <w:spacing w:after="0" w:line="240" w:lineRule="auto"/>
        <w:ind w:firstLine="709"/>
        <w:jc w:val="both"/>
        <w:rPr>
          <w:rFonts w:ascii="Times New Roman" w:eastAsia="Times New Roman" w:hAnsi="Times New Roman" w:cs="Times New Roman"/>
          <w:color w:val="000000"/>
          <w:kern w:val="0"/>
          <w:sz w:val="28"/>
          <w:szCs w:val="28"/>
          <w14:ligatures w14:val="none"/>
        </w:rPr>
      </w:pPr>
      <w:r w:rsidRPr="0011457F">
        <w:rPr>
          <w:rFonts w:ascii="Times New Roman" w:eastAsia="Times New Roman" w:hAnsi="Times New Roman" w:cs="Times New Roman"/>
          <w:color w:val="000000"/>
          <w:kern w:val="0"/>
          <w:sz w:val="28"/>
          <w:szCs w:val="28"/>
          <w:lang w:val="uk-UA"/>
          <w14:ligatures w14:val="none"/>
        </w:rPr>
        <w:t xml:space="preserve">5. </w:t>
      </w:r>
      <w:r w:rsidRPr="0011457F">
        <w:rPr>
          <w:rFonts w:ascii="Times New Roman" w:eastAsia="Times New Roman" w:hAnsi="Times New Roman" w:cs="Times New Roman"/>
          <w:color w:val="000000"/>
          <w:kern w:val="0"/>
          <w:sz w:val="28"/>
          <w:szCs w:val="28"/>
          <w14:ligatures w14:val="none"/>
        </w:rPr>
        <w:t>Міжнародне гуманітарне право : посібник для працівників Держ.</w:t>
      </w:r>
      <w:r w:rsidRPr="0011457F">
        <w:rPr>
          <w:rFonts w:ascii="Times New Roman" w:eastAsia="Times New Roman" w:hAnsi="Times New Roman" w:cs="Times New Roman"/>
          <w:color w:val="000000"/>
          <w:kern w:val="0"/>
          <w:sz w:val="28"/>
          <w:szCs w:val="28"/>
          <w:lang w:val="uk-UA"/>
          <w14:ligatures w14:val="none"/>
        </w:rPr>
        <w:t xml:space="preserve"> к</w:t>
      </w:r>
      <w:r w:rsidRPr="0011457F">
        <w:rPr>
          <w:rFonts w:ascii="Times New Roman" w:eastAsia="Times New Roman" w:hAnsi="Times New Roman" w:cs="Times New Roman"/>
          <w:color w:val="000000"/>
          <w:kern w:val="0"/>
          <w:sz w:val="28"/>
          <w:szCs w:val="28"/>
          <w14:ligatures w14:val="none"/>
        </w:rPr>
        <w:t>римінал.-викон. служби України / Т. Короткий, А. Галай, М. Єлігулашвілі, І. Заворотько, М. Пашковський, В. Пузирний, Н. Хендель ; за заг. ред.</w:t>
      </w:r>
      <w:r w:rsidRPr="0011457F">
        <w:rPr>
          <w:rFonts w:ascii="Times New Roman" w:eastAsia="Times New Roman" w:hAnsi="Times New Roman" w:cs="Times New Roman"/>
          <w:color w:val="000000"/>
          <w:kern w:val="0"/>
          <w:sz w:val="28"/>
          <w:szCs w:val="28"/>
          <w:lang w:val="uk-UA"/>
          <w14:ligatures w14:val="none"/>
        </w:rPr>
        <w:t xml:space="preserve"> ь</w:t>
      </w:r>
      <w:r w:rsidRPr="0011457F">
        <w:rPr>
          <w:rFonts w:ascii="Times New Roman" w:eastAsia="Times New Roman" w:hAnsi="Times New Roman" w:cs="Times New Roman"/>
          <w:color w:val="000000"/>
          <w:kern w:val="0"/>
          <w:sz w:val="28"/>
          <w:szCs w:val="28"/>
          <w14:ligatures w14:val="none"/>
        </w:rPr>
        <w:t>віцепрезидента УАМП Т. Короткого ; Пенітенціарна академія України;</w:t>
      </w:r>
      <w:r w:rsidRPr="0011457F">
        <w:rPr>
          <w:rFonts w:ascii="Times New Roman" w:eastAsia="Times New Roman" w:hAnsi="Times New Roman" w:cs="Times New Roman"/>
          <w:color w:val="000000"/>
          <w:kern w:val="0"/>
          <w:sz w:val="28"/>
          <w:szCs w:val="28"/>
          <w:lang w:val="uk-UA"/>
          <w14:ligatures w14:val="none"/>
        </w:rPr>
        <w:t xml:space="preserve"> </w:t>
      </w:r>
      <w:r w:rsidRPr="0011457F">
        <w:rPr>
          <w:rFonts w:ascii="Times New Roman" w:eastAsia="Times New Roman" w:hAnsi="Times New Roman" w:cs="Times New Roman"/>
          <w:color w:val="000000"/>
          <w:kern w:val="0"/>
          <w:sz w:val="28"/>
          <w:szCs w:val="28"/>
          <w14:ligatures w14:val="none"/>
        </w:rPr>
        <w:t>УГСПЛ. – Київ; Одеса : Фенікс, 2023.</w:t>
      </w:r>
    </w:p>
    <w:p w14:paraId="22C11278" w14:textId="77777777" w:rsidR="00866B93" w:rsidRPr="00866B93" w:rsidRDefault="00866B93" w:rsidP="009F15A9">
      <w:pPr>
        <w:pStyle w:val="p1"/>
        <w:ind w:firstLine="709"/>
        <w:jc w:val="both"/>
        <w:rPr>
          <w:rFonts w:ascii="Times New Roman" w:hAnsi="Times New Roman"/>
          <w:sz w:val="28"/>
          <w:szCs w:val="28"/>
        </w:rPr>
      </w:pPr>
    </w:p>
    <w:p w14:paraId="3757E25C" w14:textId="77777777" w:rsidR="00A13A7F" w:rsidRPr="006C173C" w:rsidRDefault="00A13A7F" w:rsidP="009F15A9">
      <w:pPr>
        <w:spacing w:after="0" w:line="240" w:lineRule="auto"/>
        <w:ind w:firstLine="709"/>
        <w:jc w:val="both"/>
        <w:rPr>
          <w:rFonts w:ascii="Times New Roman" w:eastAsia="Times New Roman" w:hAnsi="Times New Roman" w:cs="Times New Roman"/>
          <w:color w:val="141413"/>
          <w:kern w:val="0"/>
          <w:sz w:val="28"/>
          <w:szCs w:val="28"/>
          <w14:ligatures w14:val="none"/>
        </w:rPr>
      </w:pPr>
    </w:p>
    <w:p w14:paraId="6A174972" w14:textId="77777777" w:rsidR="006C173C" w:rsidRPr="009F15A9" w:rsidRDefault="006C173C" w:rsidP="009F15A9">
      <w:pPr>
        <w:spacing w:after="0" w:line="240" w:lineRule="auto"/>
        <w:ind w:firstLine="709"/>
        <w:jc w:val="both"/>
        <w:rPr>
          <w:rFonts w:ascii="Times New Roman" w:hAnsi="Times New Roman" w:cs="Times New Roman"/>
          <w:sz w:val="28"/>
          <w:szCs w:val="28"/>
        </w:rPr>
      </w:pPr>
    </w:p>
    <w:sectPr w:rsidR="006C173C" w:rsidRPr="009F15A9" w:rsidSect="00084D1E">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Zapf Dingbats">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63F9"/>
    <w:multiLevelType w:val="hybridMultilevel"/>
    <w:tmpl w:val="27DC9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17A71"/>
    <w:multiLevelType w:val="hybridMultilevel"/>
    <w:tmpl w:val="357EB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2C172C"/>
    <w:multiLevelType w:val="hybridMultilevel"/>
    <w:tmpl w:val="49440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865142"/>
    <w:multiLevelType w:val="hybridMultilevel"/>
    <w:tmpl w:val="3ECC9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056D95"/>
    <w:multiLevelType w:val="hybridMultilevel"/>
    <w:tmpl w:val="93CED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077D9C"/>
    <w:multiLevelType w:val="hybridMultilevel"/>
    <w:tmpl w:val="4C804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FD7FEE"/>
    <w:multiLevelType w:val="hybridMultilevel"/>
    <w:tmpl w:val="4AF29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15716D"/>
    <w:multiLevelType w:val="hybridMultilevel"/>
    <w:tmpl w:val="51102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0231319">
    <w:abstractNumId w:val="7"/>
  </w:num>
  <w:num w:numId="2" w16cid:durableId="1111129290">
    <w:abstractNumId w:val="0"/>
  </w:num>
  <w:num w:numId="3" w16cid:durableId="733548901">
    <w:abstractNumId w:val="1"/>
  </w:num>
  <w:num w:numId="4" w16cid:durableId="1039741749">
    <w:abstractNumId w:val="2"/>
  </w:num>
  <w:num w:numId="5" w16cid:durableId="1183280669">
    <w:abstractNumId w:val="4"/>
  </w:num>
  <w:num w:numId="6" w16cid:durableId="1866283216">
    <w:abstractNumId w:val="5"/>
  </w:num>
  <w:num w:numId="7" w16cid:durableId="368722825">
    <w:abstractNumId w:val="3"/>
  </w:num>
  <w:num w:numId="8" w16cid:durableId="20977467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1E"/>
    <w:rsid w:val="00025D83"/>
    <w:rsid w:val="00084D1E"/>
    <w:rsid w:val="001E0DB5"/>
    <w:rsid w:val="003F3418"/>
    <w:rsid w:val="00413C64"/>
    <w:rsid w:val="005803A9"/>
    <w:rsid w:val="005D4F7A"/>
    <w:rsid w:val="00615B26"/>
    <w:rsid w:val="006C173C"/>
    <w:rsid w:val="007C40C0"/>
    <w:rsid w:val="00866B93"/>
    <w:rsid w:val="008A207D"/>
    <w:rsid w:val="009F15A9"/>
    <w:rsid w:val="00A13A7F"/>
    <w:rsid w:val="00A74C21"/>
    <w:rsid w:val="00AD57BB"/>
    <w:rsid w:val="00CD3455"/>
    <w:rsid w:val="00D21D14"/>
    <w:rsid w:val="00D4113F"/>
    <w:rsid w:val="00FA6AFE"/>
  </w:rsids>
  <m:mathPr>
    <m:mathFont m:val="Cambria Math"/>
    <m:brkBin m:val="before"/>
    <m:brkBinSub m:val="--"/>
    <m:smallFrac m:val="0"/>
    <m:dispDef/>
    <m:lMargin m:val="0"/>
    <m:rMargin m:val="0"/>
    <m:defJc m:val="centerGroup"/>
    <m:wrapIndent m:val="1440"/>
    <m:intLim m:val="subSup"/>
    <m:naryLim m:val="undOvr"/>
  </m:mathPr>
  <w:themeFontLang w:val="ru-U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9F4C"/>
  <w15:chartTrackingRefBased/>
  <w15:docId w15:val="{3A046621-4B1C-9043-B643-0955D8F3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84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84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84D1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84D1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84D1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84D1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4D1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4D1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4D1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4D1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84D1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84D1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84D1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84D1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84D1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84D1E"/>
    <w:rPr>
      <w:rFonts w:eastAsiaTheme="majorEastAsia" w:cstheme="majorBidi"/>
      <w:color w:val="595959" w:themeColor="text1" w:themeTint="A6"/>
    </w:rPr>
  </w:style>
  <w:style w:type="character" w:customStyle="1" w:styleId="80">
    <w:name w:val="Заголовок 8 Знак"/>
    <w:basedOn w:val="a0"/>
    <w:link w:val="8"/>
    <w:uiPriority w:val="9"/>
    <w:semiHidden/>
    <w:rsid w:val="00084D1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84D1E"/>
    <w:rPr>
      <w:rFonts w:eastAsiaTheme="majorEastAsia" w:cstheme="majorBidi"/>
      <w:color w:val="272727" w:themeColor="text1" w:themeTint="D8"/>
    </w:rPr>
  </w:style>
  <w:style w:type="paragraph" w:styleId="a3">
    <w:name w:val="Title"/>
    <w:basedOn w:val="a"/>
    <w:next w:val="a"/>
    <w:link w:val="a4"/>
    <w:uiPriority w:val="10"/>
    <w:qFormat/>
    <w:rsid w:val="00084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84D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4D1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84D1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84D1E"/>
    <w:pPr>
      <w:spacing w:before="160"/>
      <w:jc w:val="center"/>
    </w:pPr>
    <w:rPr>
      <w:i/>
      <w:iCs/>
      <w:color w:val="404040" w:themeColor="text1" w:themeTint="BF"/>
    </w:rPr>
  </w:style>
  <w:style w:type="character" w:customStyle="1" w:styleId="22">
    <w:name w:val="Цитата 2 Знак"/>
    <w:basedOn w:val="a0"/>
    <w:link w:val="21"/>
    <w:uiPriority w:val="29"/>
    <w:rsid w:val="00084D1E"/>
    <w:rPr>
      <w:i/>
      <w:iCs/>
      <w:color w:val="404040" w:themeColor="text1" w:themeTint="BF"/>
    </w:rPr>
  </w:style>
  <w:style w:type="paragraph" w:styleId="a7">
    <w:name w:val="List Paragraph"/>
    <w:basedOn w:val="a"/>
    <w:uiPriority w:val="34"/>
    <w:qFormat/>
    <w:rsid w:val="00084D1E"/>
    <w:pPr>
      <w:ind w:left="720"/>
      <w:contextualSpacing/>
    </w:pPr>
  </w:style>
  <w:style w:type="character" w:styleId="a8">
    <w:name w:val="Intense Emphasis"/>
    <w:basedOn w:val="a0"/>
    <w:uiPriority w:val="21"/>
    <w:qFormat/>
    <w:rsid w:val="00084D1E"/>
    <w:rPr>
      <w:i/>
      <w:iCs/>
      <w:color w:val="0F4761" w:themeColor="accent1" w:themeShade="BF"/>
    </w:rPr>
  </w:style>
  <w:style w:type="paragraph" w:styleId="a9">
    <w:name w:val="Intense Quote"/>
    <w:basedOn w:val="a"/>
    <w:next w:val="a"/>
    <w:link w:val="aa"/>
    <w:uiPriority w:val="30"/>
    <w:qFormat/>
    <w:rsid w:val="00084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84D1E"/>
    <w:rPr>
      <w:i/>
      <w:iCs/>
      <w:color w:val="0F4761" w:themeColor="accent1" w:themeShade="BF"/>
    </w:rPr>
  </w:style>
  <w:style w:type="character" w:styleId="ab">
    <w:name w:val="Intense Reference"/>
    <w:basedOn w:val="a0"/>
    <w:uiPriority w:val="32"/>
    <w:qFormat/>
    <w:rsid w:val="00084D1E"/>
    <w:rPr>
      <w:b/>
      <w:bCs/>
      <w:smallCaps/>
      <w:color w:val="0F4761" w:themeColor="accent1" w:themeShade="BF"/>
      <w:spacing w:val="5"/>
    </w:rPr>
  </w:style>
  <w:style w:type="paragraph" w:customStyle="1" w:styleId="p1">
    <w:name w:val="p1"/>
    <w:basedOn w:val="a"/>
    <w:rsid w:val="00084D1E"/>
    <w:pPr>
      <w:spacing w:after="0" w:line="240" w:lineRule="auto"/>
    </w:pPr>
    <w:rPr>
      <w:rFonts w:ascii="Helvetica" w:eastAsia="Times New Roman" w:hAnsi="Helvetica" w:cs="Times New Roman"/>
      <w:color w:val="141413"/>
      <w:kern w:val="0"/>
      <w:sz w:val="15"/>
      <w:szCs w:val="15"/>
      <w14:ligatures w14:val="none"/>
    </w:rPr>
  </w:style>
  <w:style w:type="paragraph" w:customStyle="1" w:styleId="p2">
    <w:name w:val="p2"/>
    <w:basedOn w:val="a"/>
    <w:rsid w:val="00084D1E"/>
    <w:pPr>
      <w:spacing w:after="0" w:line="240" w:lineRule="auto"/>
    </w:pPr>
    <w:rPr>
      <w:rFonts w:ascii="Zapf Dingbats" w:eastAsia="Times New Roman" w:hAnsi="Zapf Dingbats" w:cs="Times New Roman"/>
      <w:color w:val="141413"/>
      <w:kern w:val="0"/>
      <w:sz w:val="15"/>
      <w:szCs w:val="15"/>
      <w14:ligatures w14:val="none"/>
    </w:rPr>
  </w:style>
  <w:style w:type="paragraph" w:customStyle="1" w:styleId="p3">
    <w:name w:val="p3"/>
    <w:basedOn w:val="a"/>
    <w:rsid w:val="00084D1E"/>
    <w:pPr>
      <w:spacing w:after="0" w:line="240" w:lineRule="auto"/>
    </w:pPr>
    <w:rPr>
      <w:rFonts w:ascii="Helvetica" w:eastAsia="Times New Roman" w:hAnsi="Helvetica" w:cs="Times New Roman"/>
      <w:color w:val="141413"/>
      <w:kern w:val="0"/>
      <w:sz w:val="16"/>
      <w:szCs w:val="16"/>
      <w14:ligatures w14:val="none"/>
    </w:rPr>
  </w:style>
  <w:style w:type="paragraph" w:customStyle="1" w:styleId="p4">
    <w:name w:val="p4"/>
    <w:basedOn w:val="a"/>
    <w:rsid w:val="00084D1E"/>
    <w:pPr>
      <w:spacing w:after="0" w:line="240" w:lineRule="auto"/>
    </w:pPr>
    <w:rPr>
      <w:rFonts w:ascii="Helvetica" w:eastAsia="Times New Roman" w:hAnsi="Helvetica" w:cs="Times New Roman"/>
      <w:color w:val="141413"/>
      <w:kern w:val="0"/>
      <w:sz w:val="17"/>
      <w:szCs w:val="17"/>
      <w14:ligatures w14:val="none"/>
    </w:rPr>
  </w:style>
  <w:style w:type="paragraph" w:customStyle="1" w:styleId="p5">
    <w:name w:val="p5"/>
    <w:basedOn w:val="a"/>
    <w:rsid w:val="00084D1E"/>
    <w:pPr>
      <w:spacing w:after="0" w:line="240" w:lineRule="auto"/>
    </w:pPr>
    <w:rPr>
      <w:rFonts w:ascii="Helvetica" w:eastAsia="Times New Roman" w:hAnsi="Helvetica" w:cs="Times New Roman"/>
      <w:color w:val="141413"/>
      <w:kern w:val="0"/>
      <w:sz w:val="12"/>
      <w:szCs w:val="12"/>
      <w14:ligatures w14:val="none"/>
    </w:rPr>
  </w:style>
  <w:style w:type="paragraph" w:customStyle="1" w:styleId="p6">
    <w:name w:val="p6"/>
    <w:basedOn w:val="a"/>
    <w:rsid w:val="00084D1E"/>
    <w:pPr>
      <w:spacing w:after="0" w:line="240" w:lineRule="auto"/>
    </w:pPr>
    <w:rPr>
      <w:rFonts w:ascii="Helvetica" w:eastAsia="Times New Roman" w:hAnsi="Helvetica" w:cs="Times New Roman"/>
      <w:color w:val="141413"/>
      <w:kern w:val="0"/>
      <w:sz w:val="9"/>
      <w:szCs w:val="9"/>
      <w14:ligatures w14:val="none"/>
    </w:rPr>
  </w:style>
  <w:style w:type="paragraph" w:customStyle="1" w:styleId="p7">
    <w:name w:val="p7"/>
    <w:basedOn w:val="a"/>
    <w:rsid w:val="00084D1E"/>
    <w:pPr>
      <w:spacing w:after="0" w:line="240" w:lineRule="auto"/>
    </w:pPr>
    <w:rPr>
      <w:rFonts w:ascii="Zapf Dingbats" w:eastAsia="Times New Roman" w:hAnsi="Zapf Dingbats" w:cs="Times New Roman"/>
      <w:color w:val="141413"/>
      <w:kern w:val="0"/>
      <w:sz w:val="16"/>
      <w:szCs w:val="16"/>
      <w14:ligatures w14:val="none"/>
    </w:rPr>
  </w:style>
  <w:style w:type="character" w:customStyle="1" w:styleId="s1">
    <w:name w:val="s1"/>
    <w:basedOn w:val="a0"/>
    <w:rsid w:val="00084D1E"/>
    <w:rPr>
      <w:rFonts w:ascii="Helvetica" w:hAnsi="Helvetica" w:hint="default"/>
      <w:sz w:val="9"/>
      <w:szCs w:val="9"/>
    </w:rPr>
  </w:style>
  <w:style w:type="character" w:customStyle="1" w:styleId="s2">
    <w:name w:val="s2"/>
    <w:basedOn w:val="a0"/>
    <w:rsid w:val="00084D1E"/>
    <w:rPr>
      <w:rFonts w:ascii="Helvetica" w:hAnsi="Helvetica" w:hint="default"/>
      <w:sz w:val="9"/>
      <w:szCs w:val="9"/>
    </w:rPr>
  </w:style>
  <w:style w:type="character" w:customStyle="1" w:styleId="s3">
    <w:name w:val="s3"/>
    <w:basedOn w:val="a0"/>
    <w:rsid w:val="005D4F7A"/>
    <w:rPr>
      <w:rFonts w:ascii="Zapf Dingbats" w:hAnsi="Zapf Dingbats" w:hint="default"/>
      <w:sz w:val="15"/>
      <w:szCs w:val="15"/>
    </w:rPr>
  </w:style>
  <w:style w:type="paragraph" w:customStyle="1" w:styleId="p8">
    <w:name w:val="p8"/>
    <w:basedOn w:val="a"/>
    <w:rsid w:val="00A13A7F"/>
    <w:pPr>
      <w:spacing w:after="0" w:line="240" w:lineRule="auto"/>
    </w:pPr>
    <w:rPr>
      <w:rFonts w:ascii="Helvetica" w:eastAsia="Times New Roman" w:hAnsi="Helvetica" w:cs="Times New Roman"/>
      <w:color w:val="141413"/>
      <w:kern w:val="0"/>
      <w:sz w:val="18"/>
      <w:szCs w:val="18"/>
      <w14:ligatures w14:val="none"/>
    </w:rPr>
  </w:style>
  <w:style w:type="paragraph" w:customStyle="1" w:styleId="p9">
    <w:name w:val="p9"/>
    <w:basedOn w:val="a"/>
    <w:rsid w:val="00A13A7F"/>
    <w:pPr>
      <w:spacing w:after="0" w:line="240" w:lineRule="auto"/>
    </w:pPr>
    <w:rPr>
      <w:rFonts w:ascii="Helvetica" w:eastAsia="Times New Roman" w:hAnsi="Helvetica" w:cs="Times New Roman"/>
      <w:color w:val="141413"/>
      <w:kern w:val="0"/>
      <w:sz w:val="10"/>
      <w:szCs w:val="10"/>
      <w14:ligatures w14:val="none"/>
    </w:rPr>
  </w:style>
  <w:style w:type="character" w:customStyle="1" w:styleId="s4">
    <w:name w:val="s4"/>
    <w:basedOn w:val="a0"/>
    <w:rsid w:val="00A13A7F"/>
    <w:rPr>
      <w:rFonts w:ascii="Helvetica" w:hAnsi="Helvetica" w:hint="default"/>
      <w:sz w:val="12"/>
      <w:szCs w:val="12"/>
    </w:rPr>
  </w:style>
  <w:style w:type="character" w:customStyle="1" w:styleId="s5">
    <w:name w:val="s5"/>
    <w:basedOn w:val="a0"/>
    <w:rsid w:val="00A13A7F"/>
    <w:rPr>
      <w:rFonts w:ascii="Helvetica" w:hAnsi="Helvetica" w:hint="default"/>
      <w:sz w:val="15"/>
      <w:szCs w:val="15"/>
    </w:rPr>
  </w:style>
  <w:style w:type="character" w:customStyle="1" w:styleId="s6">
    <w:name w:val="s6"/>
    <w:basedOn w:val="a0"/>
    <w:rsid w:val="00A13A7F"/>
    <w:rPr>
      <w:rFonts w:ascii="Helvetica" w:hAnsi="Helvetica" w:hint="default"/>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7369">
      <w:bodyDiv w:val="1"/>
      <w:marLeft w:val="0"/>
      <w:marRight w:val="0"/>
      <w:marTop w:val="0"/>
      <w:marBottom w:val="0"/>
      <w:divBdr>
        <w:top w:val="none" w:sz="0" w:space="0" w:color="auto"/>
        <w:left w:val="none" w:sz="0" w:space="0" w:color="auto"/>
        <w:bottom w:val="none" w:sz="0" w:space="0" w:color="auto"/>
        <w:right w:val="none" w:sz="0" w:space="0" w:color="auto"/>
      </w:divBdr>
    </w:div>
    <w:div w:id="150372270">
      <w:bodyDiv w:val="1"/>
      <w:marLeft w:val="0"/>
      <w:marRight w:val="0"/>
      <w:marTop w:val="0"/>
      <w:marBottom w:val="0"/>
      <w:divBdr>
        <w:top w:val="none" w:sz="0" w:space="0" w:color="auto"/>
        <w:left w:val="none" w:sz="0" w:space="0" w:color="auto"/>
        <w:bottom w:val="none" w:sz="0" w:space="0" w:color="auto"/>
        <w:right w:val="none" w:sz="0" w:space="0" w:color="auto"/>
      </w:divBdr>
    </w:div>
    <w:div w:id="261768952">
      <w:bodyDiv w:val="1"/>
      <w:marLeft w:val="0"/>
      <w:marRight w:val="0"/>
      <w:marTop w:val="0"/>
      <w:marBottom w:val="0"/>
      <w:divBdr>
        <w:top w:val="none" w:sz="0" w:space="0" w:color="auto"/>
        <w:left w:val="none" w:sz="0" w:space="0" w:color="auto"/>
        <w:bottom w:val="none" w:sz="0" w:space="0" w:color="auto"/>
        <w:right w:val="none" w:sz="0" w:space="0" w:color="auto"/>
      </w:divBdr>
    </w:div>
    <w:div w:id="750934813">
      <w:bodyDiv w:val="1"/>
      <w:marLeft w:val="0"/>
      <w:marRight w:val="0"/>
      <w:marTop w:val="0"/>
      <w:marBottom w:val="0"/>
      <w:divBdr>
        <w:top w:val="none" w:sz="0" w:space="0" w:color="auto"/>
        <w:left w:val="none" w:sz="0" w:space="0" w:color="auto"/>
        <w:bottom w:val="none" w:sz="0" w:space="0" w:color="auto"/>
        <w:right w:val="none" w:sz="0" w:space="0" w:color="auto"/>
      </w:divBdr>
    </w:div>
    <w:div w:id="979264434">
      <w:bodyDiv w:val="1"/>
      <w:marLeft w:val="0"/>
      <w:marRight w:val="0"/>
      <w:marTop w:val="0"/>
      <w:marBottom w:val="0"/>
      <w:divBdr>
        <w:top w:val="none" w:sz="0" w:space="0" w:color="auto"/>
        <w:left w:val="none" w:sz="0" w:space="0" w:color="auto"/>
        <w:bottom w:val="none" w:sz="0" w:space="0" w:color="auto"/>
        <w:right w:val="none" w:sz="0" w:space="0" w:color="auto"/>
      </w:divBdr>
    </w:div>
    <w:div w:id="1019085004">
      <w:bodyDiv w:val="1"/>
      <w:marLeft w:val="0"/>
      <w:marRight w:val="0"/>
      <w:marTop w:val="0"/>
      <w:marBottom w:val="0"/>
      <w:divBdr>
        <w:top w:val="none" w:sz="0" w:space="0" w:color="auto"/>
        <w:left w:val="none" w:sz="0" w:space="0" w:color="auto"/>
        <w:bottom w:val="none" w:sz="0" w:space="0" w:color="auto"/>
        <w:right w:val="none" w:sz="0" w:space="0" w:color="auto"/>
      </w:divBdr>
    </w:div>
    <w:div w:id="1048646324">
      <w:bodyDiv w:val="1"/>
      <w:marLeft w:val="0"/>
      <w:marRight w:val="0"/>
      <w:marTop w:val="0"/>
      <w:marBottom w:val="0"/>
      <w:divBdr>
        <w:top w:val="none" w:sz="0" w:space="0" w:color="auto"/>
        <w:left w:val="none" w:sz="0" w:space="0" w:color="auto"/>
        <w:bottom w:val="none" w:sz="0" w:space="0" w:color="auto"/>
        <w:right w:val="none" w:sz="0" w:space="0" w:color="auto"/>
      </w:divBdr>
    </w:div>
    <w:div w:id="1112674942">
      <w:bodyDiv w:val="1"/>
      <w:marLeft w:val="0"/>
      <w:marRight w:val="0"/>
      <w:marTop w:val="0"/>
      <w:marBottom w:val="0"/>
      <w:divBdr>
        <w:top w:val="none" w:sz="0" w:space="0" w:color="auto"/>
        <w:left w:val="none" w:sz="0" w:space="0" w:color="auto"/>
        <w:bottom w:val="none" w:sz="0" w:space="0" w:color="auto"/>
        <w:right w:val="none" w:sz="0" w:space="0" w:color="auto"/>
      </w:divBdr>
    </w:div>
    <w:div w:id="1261910336">
      <w:bodyDiv w:val="1"/>
      <w:marLeft w:val="0"/>
      <w:marRight w:val="0"/>
      <w:marTop w:val="0"/>
      <w:marBottom w:val="0"/>
      <w:divBdr>
        <w:top w:val="none" w:sz="0" w:space="0" w:color="auto"/>
        <w:left w:val="none" w:sz="0" w:space="0" w:color="auto"/>
        <w:bottom w:val="none" w:sz="0" w:space="0" w:color="auto"/>
        <w:right w:val="none" w:sz="0" w:space="0" w:color="auto"/>
      </w:divBdr>
    </w:div>
    <w:div w:id="1516571585">
      <w:bodyDiv w:val="1"/>
      <w:marLeft w:val="0"/>
      <w:marRight w:val="0"/>
      <w:marTop w:val="0"/>
      <w:marBottom w:val="0"/>
      <w:divBdr>
        <w:top w:val="none" w:sz="0" w:space="0" w:color="auto"/>
        <w:left w:val="none" w:sz="0" w:space="0" w:color="auto"/>
        <w:bottom w:val="none" w:sz="0" w:space="0" w:color="auto"/>
        <w:right w:val="none" w:sz="0" w:space="0" w:color="auto"/>
      </w:divBdr>
    </w:div>
    <w:div w:id="1568803881">
      <w:bodyDiv w:val="1"/>
      <w:marLeft w:val="0"/>
      <w:marRight w:val="0"/>
      <w:marTop w:val="0"/>
      <w:marBottom w:val="0"/>
      <w:divBdr>
        <w:top w:val="none" w:sz="0" w:space="0" w:color="auto"/>
        <w:left w:val="none" w:sz="0" w:space="0" w:color="auto"/>
        <w:bottom w:val="none" w:sz="0" w:space="0" w:color="auto"/>
        <w:right w:val="none" w:sz="0" w:space="0" w:color="auto"/>
      </w:divBdr>
    </w:div>
    <w:div w:id="194244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18</Pages>
  <Words>7992</Words>
  <Characters>45558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Panchenko</dc:creator>
  <cp:keywords/>
  <dc:description/>
  <cp:lastModifiedBy>Olena Panchenko</cp:lastModifiedBy>
  <cp:revision>3</cp:revision>
  <dcterms:created xsi:type="dcterms:W3CDTF">2025-10-10T12:51:00Z</dcterms:created>
  <dcterms:modified xsi:type="dcterms:W3CDTF">2025-10-13T08:31:00Z</dcterms:modified>
</cp:coreProperties>
</file>