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D51D" w14:textId="3FC90AC1" w:rsidR="00F1786E" w:rsidRDefault="00F1786E" w:rsidP="00F1786E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Семінарське 3</w:t>
      </w:r>
    </w:p>
    <w:p w14:paraId="5C9B4140" w14:textId="6B9ED276" w:rsidR="00F1786E" w:rsidRDefault="00F1786E" w:rsidP="00F1786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C3B54">
        <w:rPr>
          <w:b/>
          <w:sz w:val="28"/>
          <w:szCs w:val="28"/>
        </w:rPr>
        <w:t xml:space="preserve">Тема 4. Філософія Нового та Просвітництва. Німецька класична філософія </w:t>
      </w:r>
    </w:p>
    <w:p w14:paraId="46FCEFC7" w14:textId="77777777" w:rsidR="00F1786E" w:rsidRPr="006C3B54" w:rsidRDefault="00F1786E" w:rsidP="00F1786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B231548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Розвиток онтологічних, гносеологічних та методологічних проблем XVI-XVIII ст.</w:t>
      </w:r>
    </w:p>
    <w:p w14:paraId="1BF44D9D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Формування класичного типу раціональності: механіцизм, раціоналізм, емпіризм.</w:t>
      </w:r>
    </w:p>
    <w:p w14:paraId="06524D71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Тлумачення матерії та субстанції. Пізнавальний оптимізм та скептицизм.</w:t>
      </w:r>
    </w:p>
    <w:p w14:paraId="1E718D84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Основні риси та особливості філософії Просвітництва. Особливості антропоцентризму Відродження у порівнянні з механістичним підходом до людини в XVII ст. і антропоцентризмом Просвітництва.</w:t>
      </w:r>
    </w:p>
    <w:p w14:paraId="054ED3E7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Раціоналізм (Декарт, Спіноза) та емпіризм (</w:t>
      </w:r>
      <w:proofErr w:type="spellStart"/>
      <w:r w:rsidRPr="006C3B54">
        <w:rPr>
          <w:sz w:val="28"/>
          <w:szCs w:val="28"/>
        </w:rPr>
        <w:t>Дж</w:t>
      </w:r>
      <w:proofErr w:type="spellEnd"/>
      <w:r w:rsidRPr="006C3B54">
        <w:rPr>
          <w:sz w:val="28"/>
          <w:szCs w:val="28"/>
        </w:rPr>
        <w:t>. Локк, Д. Юм) у формуванні теорій соціального договору та природних прав.</w:t>
      </w:r>
    </w:p>
    <w:p w14:paraId="358A46E9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Просвітницькі концепції конституційного права та рівності (Руссо, Вольтер, Монтеск'є).</w:t>
      </w:r>
    </w:p>
    <w:p w14:paraId="14CF357C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"</w:t>
      </w:r>
      <w:proofErr w:type="spellStart"/>
      <w:r w:rsidRPr="006C3B54">
        <w:rPr>
          <w:sz w:val="28"/>
          <w:szCs w:val="28"/>
        </w:rPr>
        <w:t>Коперніканський</w:t>
      </w:r>
      <w:proofErr w:type="spellEnd"/>
      <w:r w:rsidRPr="006C3B54">
        <w:rPr>
          <w:sz w:val="28"/>
          <w:szCs w:val="28"/>
        </w:rPr>
        <w:t xml:space="preserve"> переворот" І. Канта. Деонтологічна теорія права Канта: автономія волі та категоричний імператив.</w:t>
      </w:r>
    </w:p>
    <w:p w14:paraId="6C438B8B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Філософська система та метод Г. Гегеля. Діалектика. Діалектика Гегеля і концепція права як історичного втілення абсолютного духу.</w:t>
      </w:r>
    </w:p>
    <w:p w14:paraId="764D47DB" w14:textId="77777777" w:rsidR="00F1786E" w:rsidRPr="006C3B54" w:rsidRDefault="00F1786E" w:rsidP="00F1786E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Антропологічний матеріалізм Л. Фейєрбаха. Критика ідеалістичних основ права у Фейєрбаха.</w:t>
      </w:r>
    </w:p>
    <w:p w14:paraId="023BE492" w14:textId="77777777" w:rsidR="00B83561" w:rsidRDefault="00B83561"/>
    <w:sectPr w:rsidR="00B8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991"/>
    <w:multiLevelType w:val="multilevel"/>
    <w:tmpl w:val="569C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6E"/>
    <w:rsid w:val="00064B0C"/>
    <w:rsid w:val="00854D53"/>
    <w:rsid w:val="00B83561"/>
    <w:rsid w:val="00F1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1918"/>
  <w15:chartTrackingRefBased/>
  <w15:docId w15:val="{DEF3BF69-AA3D-4A8F-ABF8-B41A30B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2025-10-07T19:18:00Z</dcterms:created>
  <dcterms:modified xsi:type="dcterms:W3CDTF">2025-10-07T19:21:00Z</dcterms:modified>
</cp:coreProperties>
</file>