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9F228" w14:textId="0242A9EA" w:rsidR="001125D0" w:rsidRDefault="001125D0" w:rsidP="001125D0">
      <w:pPr>
        <w:spacing w:after="0" w:line="240" w:lineRule="auto"/>
        <w:ind w:firstLine="709"/>
        <w:jc w:val="center"/>
        <w:rPr>
          <w:rFonts w:ascii="Times New Roman" w:eastAsia="Times New Roman" w:hAnsi="Times New Roman"/>
          <w:b/>
          <w:color w:val="000000"/>
          <w:spacing w:val="-1"/>
          <w:sz w:val="26"/>
          <w:szCs w:val="26"/>
          <w:lang w:val="uk-UA" w:eastAsia="ru-RU"/>
        </w:rPr>
      </w:pPr>
      <w:r>
        <w:rPr>
          <w:rFonts w:ascii="Times New Roman" w:eastAsia="Times New Roman" w:hAnsi="Times New Roman"/>
          <w:b/>
          <w:color w:val="000000"/>
          <w:spacing w:val="-1"/>
          <w:sz w:val="26"/>
          <w:szCs w:val="26"/>
          <w:lang w:val="uk-UA" w:eastAsia="ru-RU"/>
        </w:rPr>
        <w:t>ТЕМА. ТЕОРЕТИЧНІ ТА ІСТОРИЧНІ ВІДОМОСТІ СТІЙКОГО РОЗВИТКУ</w:t>
      </w:r>
    </w:p>
    <w:p w14:paraId="0AF4D4F6" w14:textId="371FC79F" w:rsidR="001125D0" w:rsidRDefault="001125D0" w:rsidP="001125D0">
      <w:pPr>
        <w:spacing w:after="0" w:line="240" w:lineRule="auto"/>
        <w:ind w:firstLine="709"/>
        <w:jc w:val="both"/>
        <w:rPr>
          <w:rFonts w:ascii="Times New Roman" w:eastAsia="Times New Roman" w:hAnsi="Times New Roman"/>
          <w:b/>
          <w:color w:val="000000"/>
          <w:spacing w:val="-1"/>
          <w:sz w:val="26"/>
          <w:szCs w:val="26"/>
          <w:lang w:val="uk-UA" w:eastAsia="ru-RU"/>
        </w:rPr>
      </w:pPr>
      <w:r>
        <w:rPr>
          <w:rFonts w:ascii="Times New Roman" w:eastAsia="Times New Roman" w:hAnsi="Times New Roman"/>
          <w:b/>
          <w:color w:val="000000"/>
          <w:spacing w:val="-1"/>
          <w:sz w:val="26"/>
          <w:szCs w:val="26"/>
          <w:lang w:val="uk-UA" w:eastAsia="ru-RU"/>
        </w:rPr>
        <w:t>1.1. Концепція та стратегія сталого розвитку</w:t>
      </w:r>
    </w:p>
    <w:p w14:paraId="6D9AA3FA" w14:textId="1363EB93" w:rsidR="001125D0" w:rsidRDefault="001125D0" w:rsidP="001125D0">
      <w:pPr>
        <w:autoSpaceDE w:val="0"/>
        <w:autoSpaceDN w:val="0"/>
        <w:adjustRightInd w:val="0"/>
        <w:spacing w:after="0" w:line="240" w:lineRule="auto"/>
        <w:jc w:val="both"/>
        <w:rPr>
          <w:rFonts w:ascii="Times New Roman" w:hAnsi="Times New Roman"/>
          <w:spacing w:val="-2"/>
          <w:sz w:val="26"/>
          <w:szCs w:val="26"/>
          <w:lang w:val="uk-UA"/>
        </w:rPr>
      </w:pPr>
      <w:r>
        <w:rPr>
          <w:rFonts w:ascii="Times New Roman" w:hAnsi="Times New Roman"/>
          <w:sz w:val="26"/>
          <w:szCs w:val="26"/>
          <w:lang w:val="uk-UA"/>
        </w:rPr>
        <w:t xml:space="preserve"> </w:t>
      </w:r>
      <w:r>
        <w:rPr>
          <w:rFonts w:ascii="Times New Roman" w:hAnsi="Times New Roman"/>
          <w:noProof/>
          <w:sz w:val="26"/>
          <w:szCs w:val="26"/>
        </w:rPr>
        <mc:AlternateContent>
          <mc:Choice Requires="wpc">
            <w:drawing>
              <wp:inline distT="0" distB="0" distL="0" distR="0" wp14:anchorId="15662E28" wp14:editId="50DEEE2C">
                <wp:extent cx="5500370" cy="1815465"/>
                <wp:effectExtent l="0" t="0" r="0" b="3810"/>
                <wp:docPr id="1424607876" name="Полотно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89279246" name="AutoShape 51"/>
                        <wps:cNvSpPr>
                          <a:spLocks noChangeArrowheads="1"/>
                        </wps:cNvSpPr>
                        <wps:spPr bwMode="auto">
                          <a:xfrm>
                            <a:off x="184110" y="113945"/>
                            <a:ext cx="5162708" cy="604900"/>
                          </a:xfrm>
                          <a:prstGeom prst="roundRect">
                            <a:avLst>
                              <a:gd name="adj" fmla="val 16667"/>
                            </a:avLst>
                          </a:prstGeom>
                          <a:solidFill>
                            <a:srgbClr val="FFFFFF"/>
                          </a:solidFill>
                          <a:ln w="9525">
                            <a:solidFill>
                              <a:srgbClr val="000000"/>
                            </a:solidFill>
                            <a:round/>
                            <a:headEnd/>
                            <a:tailEnd/>
                          </a:ln>
                        </wps:spPr>
                        <wps:txbx>
                          <w:txbxContent>
                            <w:p w14:paraId="23AD1BA9" w14:textId="77777777" w:rsidR="001125D0" w:rsidRDefault="001125D0" w:rsidP="001125D0">
                              <w:pPr>
                                <w:spacing w:after="0" w:line="240" w:lineRule="auto"/>
                                <w:rPr>
                                  <w:rFonts w:ascii="Times New Roman" w:hAnsi="Times New Roman"/>
                                  <w:sz w:val="24"/>
                                  <w:szCs w:val="24"/>
                                </w:rPr>
                              </w:pPr>
                              <w:r>
                                <w:rPr>
                                  <w:rFonts w:ascii="Times New Roman" w:hAnsi="Times New Roman"/>
                                  <w:b/>
                                  <w:bCs/>
                                  <w:sz w:val="24"/>
                                  <w:szCs w:val="24"/>
                                  <w:shd w:val="clear" w:color="auto" w:fill="FFFFFF"/>
                                </w:rPr>
                                <w:t>Конце́пція</w:t>
                              </w:r>
                              <w:r>
                                <w:rPr>
                                  <w:rFonts w:ascii="Times New Roman" w:hAnsi="Times New Roman"/>
                                  <w:sz w:val="24"/>
                                  <w:szCs w:val="24"/>
                                  <w:shd w:val="clear" w:color="auto" w:fill="FFFFFF"/>
                                </w:rPr>
                                <w:t> (</w:t>
                              </w:r>
                              <w:hyperlink r:id="rId7" w:tooltip="Латинська мова" w:history="1">
                                <w:r>
                                  <w:rPr>
                                    <w:rStyle w:val="a3"/>
                                    <w:rFonts w:ascii="Times New Roman" w:hAnsi="Times New Roman"/>
                                    <w:sz w:val="24"/>
                                    <w:szCs w:val="24"/>
                                    <w:shd w:val="clear" w:color="auto" w:fill="FFFFFF"/>
                                  </w:rPr>
                                  <w:t>лат.</w:t>
                                </w:r>
                              </w:hyperlink>
                              <w:r>
                                <w:rPr>
                                  <w:rFonts w:ascii="Times New Roman" w:hAnsi="Times New Roman"/>
                                  <w:sz w:val="24"/>
                                  <w:szCs w:val="24"/>
                                  <w:shd w:val="clear" w:color="auto" w:fill="FFFFFF"/>
                                </w:rPr>
                                <w:t> </w:t>
                              </w:r>
                              <w:r>
                                <w:rPr>
                                  <w:rFonts w:ascii="Times New Roman" w:hAnsi="Times New Roman"/>
                                  <w:i/>
                                  <w:iCs/>
                                  <w:sz w:val="24"/>
                                  <w:szCs w:val="24"/>
                                  <w:shd w:val="clear" w:color="auto" w:fill="FFFFFF"/>
                                  <w:lang w:val="la-Latn"/>
                                </w:rPr>
                                <w:t>conceptio</w:t>
                              </w:r>
                              <w:r>
                                <w:rPr>
                                  <w:rFonts w:ascii="Times New Roman" w:hAnsi="Times New Roman"/>
                                  <w:sz w:val="24"/>
                                  <w:szCs w:val="24"/>
                                  <w:shd w:val="clear" w:color="auto" w:fill="FFFFFF"/>
                                </w:rPr>
                                <w:t> — </w:t>
                              </w:r>
                              <w:hyperlink r:id="rId8" w:tooltip="Розуміння" w:history="1">
                                <w:r>
                                  <w:rPr>
                                    <w:rStyle w:val="a3"/>
                                    <w:rFonts w:ascii="Times New Roman" w:hAnsi="Times New Roman"/>
                                    <w:sz w:val="24"/>
                                    <w:szCs w:val="24"/>
                                    <w:shd w:val="clear" w:color="auto" w:fill="FFFFFF"/>
                                  </w:rPr>
                                  <w:t>розуміння</w:t>
                                </w:r>
                              </w:hyperlink>
                              <w:r>
                                <w:rPr>
                                  <w:rFonts w:ascii="Times New Roman" w:hAnsi="Times New Roman"/>
                                  <w:sz w:val="24"/>
                                  <w:szCs w:val="24"/>
                                  <w:shd w:val="clear" w:color="auto" w:fill="FFFFFF"/>
                                </w:rPr>
                                <w:t>) —</w:t>
                              </w:r>
                              <w:r>
                                <w:rPr>
                                  <w:rFonts w:ascii="Times New Roman" w:hAnsi="Times New Roman"/>
                                  <w:color w:val="222222"/>
                                  <w:sz w:val="24"/>
                                  <w:szCs w:val="24"/>
                                  <w:shd w:val="clear" w:color="auto" w:fill="FFFFFF"/>
                                </w:rPr>
                                <w:t xml:space="preserve"> система поглядів, те або інше розуміння явищ і процесів; єдиний, визначальний задум. </w:t>
                              </w:r>
                            </w:p>
                            <w:p w14:paraId="430ADC2A" w14:textId="77777777" w:rsidR="001125D0" w:rsidRDefault="001125D0" w:rsidP="001125D0">
                              <w:pPr>
                                <w:rPr>
                                  <w:rFonts w:ascii="Times New Roman" w:hAnsi="Times New Roman"/>
                                  <w:sz w:val="24"/>
                                  <w:szCs w:val="24"/>
                                </w:rPr>
                              </w:pPr>
                            </w:p>
                          </w:txbxContent>
                        </wps:txbx>
                        <wps:bodyPr rot="0" vert="horz" wrap="square" lIns="91440" tIns="45720" rIns="91440" bIns="45720" anchor="t" anchorCtr="0" upright="1">
                          <a:noAutofit/>
                        </wps:bodyPr>
                      </wps:wsp>
                      <wps:wsp>
                        <wps:cNvPr id="2053921126" name="AutoShape 52"/>
                        <wps:cNvSpPr>
                          <a:spLocks noChangeArrowheads="1"/>
                        </wps:cNvSpPr>
                        <wps:spPr bwMode="auto">
                          <a:xfrm>
                            <a:off x="184110" y="812906"/>
                            <a:ext cx="5162708" cy="876379"/>
                          </a:xfrm>
                          <a:prstGeom prst="roundRect">
                            <a:avLst>
                              <a:gd name="adj" fmla="val 16667"/>
                            </a:avLst>
                          </a:prstGeom>
                          <a:solidFill>
                            <a:srgbClr val="FFFFFF"/>
                          </a:solidFill>
                          <a:ln w="9525">
                            <a:solidFill>
                              <a:srgbClr val="000000"/>
                            </a:solidFill>
                            <a:round/>
                            <a:headEnd/>
                            <a:tailEnd/>
                          </a:ln>
                        </wps:spPr>
                        <wps:txbx>
                          <w:txbxContent>
                            <w:p w14:paraId="14B7DAC8" w14:textId="77777777" w:rsidR="001125D0" w:rsidRDefault="001125D0" w:rsidP="001125D0">
                              <w:pPr>
                                <w:spacing w:after="0" w:line="240" w:lineRule="auto"/>
                                <w:rPr>
                                  <w:rFonts w:ascii="Times New Roman" w:hAnsi="Times New Roman"/>
                                </w:rPr>
                              </w:pPr>
                              <w:r>
                                <w:rPr>
                                  <w:rFonts w:ascii="Times New Roman" w:hAnsi="Times New Roman"/>
                                  <w:b/>
                                  <w:color w:val="222222"/>
                                  <w:shd w:val="clear" w:color="auto" w:fill="FFFFFF"/>
                                </w:rPr>
                                <w:t>Стратегі</w:t>
                              </w:r>
                              <w:r>
                                <w:rPr>
                                  <w:rFonts w:ascii="Times New Roman" w:hAnsi="Times New Roman"/>
                                  <w:b/>
                                  <w:color w:val="222222"/>
                                  <w:shd w:val="clear" w:color="auto" w:fill="FFFFFF"/>
                                  <w:lang w:val="uk-UA"/>
                                </w:rPr>
                                <w:t xml:space="preserve">я </w:t>
                              </w:r>
                              <w:r>
                                <w:rPr>
                                  <w:rFonts w:ascii="Times New Roman" w:hAnsi="Times New Roman"/>
                                  <w:color w:val="222222"/>
                                  <w:shd w:val="clear" w:color="auto" w:fill="FFFFFF"/>
                                  <w:lang w:val="uk-UA"/>
                                </w:rPr>
                                <w:t xml:space="preserve">(др.-греч. στρατηγία, «искусство полководца») - </w:t>
                              </w:r>
                              <w:r>
                                <w:rPr>
                                  <w:rFonts w:ascii="Times New Roman" w:hAnsi="Times New Roman"/>
                                  <w:color w:val="222222"/>
                                  <w:shd w:val="clear" w:color="auto" w:fill="FFFFFF"/>
                                </w:rPr>
                                <w:t>довгостроковий, послідовний, конструктивний, раціональний, підкріплений ідеологією</w:t>
                              </w:r>
                              <w:r>
                                <w:rPr>
                                  <w:rFonts w:ascii="Times New Roman" w:hAnsi="Times New Roman"/>
                                  <w:color w:val="222222"/>
                                  <w:shd w:val="clear" w:color="auto" w:fill="FFFFFF"/>
                                  <w:lang w:val="uk-UA"/>
                                </w:rPr>
                                <w:t xml:space="preserve"> </w:t>
                              </w:r>
                              <w:r>
                                <w:rPr>
                                  <w:rFonts w:ascii="Times New Roman" w:hAnsi="Times New Roman"/>
                                  <w:color w:val="222222"/>
                                  <w:shd w:val="clear" w:color="auto" w:fill="FFFFFF"/>
                                </w:rPr>
                                <w:t>план,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 </w:t>
                              </w:r>
                            </w:p>
                            <w:p w14:paraId="6C50F1FC" w14:textId="77777777" w:rsidR="001125D0" w:rsidRDefault="001125D0" w:rsidP="001125D0">
                              <w:pPr>
                                <w:rPr>
                                  <w:rFonts w:ascii="Times New Roman" w:hAnsi="Times New Roman"/>
                                </w:rPr>
                              </w:pPr>
                            </w:p>
                          </w:txbxContent>
                        </wps:txbx>
                        <wps:bodyPr rot="0" vert="horz" wrap="square" lIns="91440" tIns="45720" rIns="91440" bIns="45720" anchor="t" anchorCtr="0" upright="1">
                          <a:noAutofit/>
                        </wps:bodyPr>
                      </wps:wsp>
                    </wpc:wpc>
                  </a:graphicData>
                </a:graphic>
              </wp:inline>
            </w:drawing>
          </mc:Choice>
          <mc:Fallback>
            <w:pict>
              <v:group w14:anchorId="15662E28" id="Полотно 10" o:spid="_x0000_s1026" editas="canvas" style="width:433.1pt;height:142.95pt;mso-position-horizontal-relative:char;mso-position-vertical-relative:line" coordsize="55003,1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03;height:18154;visibility:visible;mso-wrap-style:square">
                  <v:fill o:detectmouseclick="t"/>
                  <v:path o:connecttype="none"/>
                </v:shape>
                <v:roundrect id="AutoShape 51" o:spid="_x0000_s1028" style="position:absolute;left:1841;top:1139;width:51627;height:60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">
                  <v:textbox>
                    <w:txbxContent>
                      <w:p w14:paraId="23AD1BA9" w14:textId="77777777" w:rsidR="001125D0" w:rsidRDefault="001125D0" w:rsidP="001125D0">
                        <w:pPr>
                          <w:spacing w:after="0" w:line="240" w:lineRule="auto"/>
                          <w:rPr>
                            <w:rFonts w:ascii="Times New Roman" w:hAnsi="Times New Roman"/>
                            <w:sz w:val="24"/>
                            <w:szCs w:val="24"/>
                          </w:rPr>
                        </w:pPr>
                        <w:proofErr w:type="spellStart"/>
                        <w:r>
                          <w:rPr>
                            <w:rFonts w:ascii="Times New Roman" w:hAnsi="Times New Roman"/>
                            <w:b/>
                            <w:bCs/>
                            <w:sz w:val="24"/>
                            <w:szCs w:val="24"/>
                            <w:shd w:val="clear" w:color="auto" w:fill="FFFFFF"/>
                          </w:rPr>
                          <w:t>Конце́пція</w:t>
                        </w:r>
                        <w:proofErr w:type="spellEnd"/>
                        <w:r>
                          <w:rPr>
                            <w:rFonts w:ascii="Times New Roman" w:hAnsi="Times New Roman"/>
                            <w:sz w:val="24"/>
                            <w:szCs w:val="24"/>
                            <w:shd w:val="clear" w:color="auto" w:fill="FFFFFF"/>
                          </w:rPr>
                          <w:t> (</w:t>
                        </w:r>
                        <w:hyperlink r:id="rId9" w:tooltip="Латинська мова" w:history="1">
                          <w:r>
                            <w:rPr>
                              <w:rStyle w:val="a3"/>
                              <w:rFonts w:ascii="Times New Roman" w:hAnsi="Times New Roman"/>
                              <w:sz w:val="24"/>
                              <w:szCs w:val="24"/>
                              <w:shd w:val="clear" w:color="auto" w:fill="FFFFFF"/>
                            </w:rPr>
                            <w:t>лат.</w:t>
                          </w:r>
                        </w:hyperlink>
                        <w:r>
                          <w:rPr>
                            <w:rFonts w:ascii="Times New Roman" w:hAnsi="Times New Roman"/>
                            <w:sz w:val="24"/>
                            <w:szCs w:val="24"/>
                            <w:shd w:val="clear" w:color="auto" w:fill="FFFFFF"/>
                          </w:rPr>
                          <w:t> </w:t>
                        </w:r>
                        <w:r>
                          <w:rPr>
                            <w:rFonts w:ascii="Times New Roman" w:hAnsi="Times New Roman"/>
                            <w:i/>
                            <w:iCs/>
                            <w:sz w:val="24"/>
                            <w:szCs w:val="24"/>
                            <w:shd w:val="clear" w:color="auto" w:fill="FFFFFF"/>
                            <w:lang w:val="la-Latn"/>
                          </w:rPr>
                          <w:t>conceptio</w:t>
                        </w:r>
                        <w:r>
                          <w:rPr>
                            <w:rFonts w:ascii="Times New Roman" w:hAnsi="Times New Roman"/>
                            <w:sz w:val="24"/>
                            <w:szCs w:val="24"/>
                            <w:shd w:val="clear" w:color="auto" w:fill="FFFFFF"/>
                          </w:rPr>
                          <w:t> — </w:t>
                        </w:r>
                        <w:proofErr w:type="spellStart"/>
                        <w:r>
                          <w:rPr>
                            <w:rFonts w:ascii="Times New Roman" w:hAnsi="Times New Roman"/>
                            <w:sz w:val="24"/>
                            <w:szCs w:val="24"/>
                          </w:rPr>
                          <w:fldChar w:fldCharType="begin"/>
                        </w:r>
                        <w:r>
                          <w:rPr>
                            <w:rFonts w:ascii="Times New Roman" w:hAnsi="Times New Roman"/>
                            <w:sz w:val="24"/>
                            <w:szCs w:val="24"/>
                          </w:rPr>
                          <w:instrText>HYPERLINK "https://uk.wikipedia.org/wiki/%D0%A0%D0%BE%D0%B7%D1%83%D0%BC%D1%96%D0%BD%D0%BD%D1%8F" \o "Розуміння"</w:instrText>
                        </w:r>
                        <w:r>
                          <w:rPr>
                            <w:rFonts w:ascii="Times New Roman" w:hAnsi="Times New Roman"/>
                            <w:sz w:val="24"/>
                            <w:szCs w:val="24"/>
                          </w:rPr>
                        </w:r>
                        <w:r>
                          <w:rPr>
                            <w:rFonts w:ascii="Times New Roman" w:hAnsi="Times New Roman"/>
                            <w:sz w:val="24"/>
                            <w:szCs w:val="24"/>
                          </w:rPr>
                          <w:fldChar w:fldCharType="separate"/>
                        </w:r>
                        <w:r>
                          <w:rPr>
                            <w:rStyle w:val="a3"/>
                            <w:rFonts w:ascii="Times New Roman" w:hAnsi="Times New Roman"/>
                            <w:sz w:val="24"/>
                            <w:szCs w:val="24"/>
                            <w:shd w:val="clear" w:color="auto" w:fill="FFFFFF"/>
                          </w:rPr>
                          <w:t>розуміння</w:t>
                        </w:r>
                        <w:proofErr w:type="spellEnd"/>
                        <w:r>
                          <w:rPr>
                            <w:rFonts w:ascii="Times New Roman" w:hAnsi="Times New Roman"/>
                            <w:sz w:val="24"/>
                            <w:szCs w:val="24"/>
                          </w:rPr>
                          <w:fldChar w:fldCharType="end"/>
                        </w:r>
                        <w:r>
                          <w:rPr>
                            <w:rFonts w:ascii="Times New Roman" w:hAnsi="Times New Roman"/>
                            <w:sz w:val="24"/>
                            <w:szCs w:val="24"/>
                            <w:shd w:val="clear" w:color="auto" w:fill="FFFFFF"/>
                          </w:rPr>
                          <w:t>) —</w:t>
                        </w:r>
                        <w:r>
                          <w:rPr>
                            <w:rFonts w:ascii="Times New Roman" w:hAnsi="Times New Roman"/>
                            <w:color w:val="222222"/>
                            <w:sz w:val="24"/>
                            <w:szCs w:val="24"/>
                            <w:shd w:val="clear" w:color="auto" w:fill="FFFFFF"/>
                          </w:rPr>
                          <w:t xml:space="preserve"> система </w:t>
                        </w:r>
                        <w:proofErr w:type="spellStart"/>
                        <w:r>
                          <w:rPr>
                            <w:rFonts w:ascii="Times New Roman" w:hAnsi="Times New Roman"/>
                            <w:color w:val="222222"/>
                            <w:sz w:val="24"/>
                            <w:szCs w:val="24"/>
                            <w:shd w:val="clear" w:color="auto" w:fill="FFFFFF"/>
                          </w:rPr>
                          <w:t>поглядів</w:t>
                        </w:r>
                        <w:proofErr w:type="spellEnd"/>
                        <w:r>
                          <w:rPr>
                            <w:rFonts w:ascii="Times New Roman" w:hAnsi="Times New Roman"/>
                            <w:color w:val="222222"/>
                            <w:sz w:val="24"/>
                            <w:szCs w:val="24"/>
                            <w:shd w:val="clear" w:color="auto" w:fill="FFFFFF"/>
                          </w:rPr>
                          <w:t xml:space="preserve">, те </w:t>
                        </w:r>
                        <w:proofErr w:type="spellStart"/>
                        <w:r>
                          <w:rPr>
                            <w:rFonts w:ascii="Times New Roman" w:hAnsi="Times New Roman"/>
                            <w:color w:val="222222"/>
                            <w:sz w:val="24"/>
                            <w:szCs w:val="24"/>
                            <w:shd w:val="clear" w:color="auto" w:fill="FFFFFF"/>
                          </w:rPr>
                          <w:t>або</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інше</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розуміння</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явищ</w:t>
                        </w:r>
                        <w:proofErr w:type="spellEnd"/>
                        <w:r>
                          <w:rPr>
                            <w:rFonts w:ascii="Times New Roman" w:hAnsi="Times New Roman"/>
                            <w:color w:val="222222"/>
                            <w:sz w:val="24"/>
                            <w:szCs w:val="24"/>
                            <w:shd w:val="clear" w:color="auto" w:fill="FFFFFF"/>
                          </w:rPr>
                          <w:t xml:space="preserve"> і </w:t>
                        </w:r>
                        <w:proofErr w:type="spellStart"/>
                        <w:r>
                          <w:rPr>
                            <w:rFonts w:ascii="Times New Roman" w:hAnsi="Times New Roman"/>
                            <w:color w:val="222222"/>
                            <w:sz w:val="24"/>
                            <w:szCs w:val="24"/>
                            <w:shd w:val="clear" w:color="auto" w:fill="FFFFFF"/>
                          </w:rPr>
                          <w:t>процесів</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єдиний</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визначальний</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задум</w:t>
                        </w:r>
                        <w:proofErr w:type="spellEnd"/>
                        <w:r>
                          <w:rPr>
                            <w:rFonts w:ascii="Times New Roman" w:hAnsi="Times New Roman"/>
                            <w:color w:val="222222"/>
                            <w:sz w:val="24"/>
                            <w:szCs w:val="24"/>
                            <w:shd w:val="clear" w:color="auto" w:fill="FFFFFF"/>
                          </w:rPr>
                          <w:t>. </w:t>
                        </w:r>
                      </w:p>
                      <w:p w14:paraId="430ADC2A" w14:textId="77777777" w:rsidR="001125D0" w:rsidRDefault="001125D0" w:rsidP="001125D0">
                        <w:pPr>
                          <w:rPr>
                            <w:rFonts w:ascii="Times New Roman" w:hAnsi="Times New Roman"/>
                            <w:sz w:val="24"/>
                            <w:szCs w:val="24"/>
                          </w:rPr>
                        </w:pPr>
                      </w:p>
                    </w:txbxContent>
                  </v:textbox>
                </v:roundrect>
                <v:roundrect id="AutoShape 52" o:spid="_x0000_s1029" style="position:absolute;left:1841;top:8129;width:51627;height:87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">
                  <v:textbox>
                    <w:txbxContent>
                      <w:p w14:paraId="14B7DAC8" w14:textId="77777777" w:rsidR="001125D0" w:rsidRDefault="001125D0" w:rsidP="001125D0">
                        <w:pPr>
                          <w:spacing w:after="0" w:line="240" w:lineRule="auto"/>
                          <w:rPr>
                            <w:rFonts w:ascii="Times New Roman" w:hAnsi="Times New Roman"/>
                          </w:rPr>
                        </w:pPr>
                        <w:proofErr w:type="spellStart"/>
                        <w:r>
                          <w:rPr>
                            <w:rFonts w:ascii="Times New Roman" w:hAnsi="Times New Roman"/>
                            <w:b/>
                            <w:color w:val="222222"/>
                            <w:shd w:val="clear" w:color="auto" w:fill="FFFFFF"/>
                          </w:rPr>
                          <w:t>Стратегі</w:t>
                        </w:r>
                        <w:proofErr w:type="spellEnd"/>
                        <w:r>
                          <w:rPr>
                            <w:rFonts w:ascii="Times New Roman" w:hAnsi="Times New Roman"/>
                            <w:b/>
                            <w:color w:val="222222"/>
                            <w:shd w:val="clear" w:color="auto" w:fill="FFFFFF"/>
                            <w:lang w:val="uk-UA"/>
                          </w:rPr>
                          <w:t xml:space="preserve">я </w:t>
                        </w:r>
                        <w:r>
                          <w:rPr>
                            <w:rFonts w:ascii="Times New Roman" w:hAnsi="Times New Roman"/>
                            <w:color w:val="222222"/>
                            <w:shd w:val="clear" w:color="auto" w:fill="FFFFFF"/>
                            <w:lang w:val="uk-UA"/>
                          </w:rPr>
                          <w:t>(</w:t>
                        </w:r>
                        <w:proofErr w:type="spellStart"/>
                        <w:r>
                          <w:rPr>
                            <w:rFonts w:ascii="Times New Roman" w:hAnsi="Times New Roman"/>
                            <w:color w:val="222222"/>
                            <w:shd w:val="clear" w:color="auto" w:fill="FFFFFF"/>
                            <w:lang w:val="uk-UA"/>
                          </w:rPr>
                          <w:t>др</w:t>
                        </w:r>
                        <w:proofErr w:type="spellEnd"/>
                        <w:r>
                          <w:rPr>
                            <w:rFonts w:ascii="Times New Roman" w:hAnsi="Times New Roman"/>
                            <w:color w:val="222222"/>
                            <w:shd w:val="clear" w:color="auto" w:fill="FFFFFF"/>
                            <w:lang w:val="uk-UA"/>
                          </w:rPr>
                          <w:t>.-</w:t>
                        </w:r>
                        <w:proofErr w:type="spellStart"/>
                        <w:r>
                          <w:rPr>
                            <w:rFonts w:ascii="Times New Roman" w:hAnsi="Times New Roman"/>
                            <w:color w:val="222222"/>
                            <w:shd w:val="clear" w:color="auto" w:fill="FFFFFF"/>
                            <w:lang w:val="uk-UA"/>
                          </w:rPr>
                          <w:t>греч</w:t>
                        </w:r>
                        <w:proofErr w:type="spellEnd"/>
                        <w:r>
                          <w:rPr>
                            <w:rFonts w:ascii="Times New Roman" w:hAnsi="Times New Roman"/>
                            <w:color w:val="222222"/>
                            <w:shd w:val="clear" w:color="auto" w:fill="FFFFFF"/>
                            <w:lang w:val="uk-UA"/>
                          </w:rPr>
                          <w:t xml:space="preserve">. </w:t>
                        </w:r>
                        <w:proofErr w:type="spellStart"/>
                        <w:r>
                          <w:rPr>
                            <w:rFonts w:ascii="Times New Roman" w:hAnsi="Times New Roman"/>
                            <w:color w:val="222222"/>
                            <w:shd w:val="clear" w:color="auto" w:fill="FFFFFF"/>
                            <w:lang w:val="uk-UA"/>
                          </w:rPr>
                          <w:t>στρ</w:t>
                        </w:r>
                        <w:proofErr w:type="spellEnd"/>
                        <w:r>
                          <w:rPr>
                            <w:rFonts w:ascii="Times New Roman" w:hAnsi="Times New Roman"/>
                            <w:color w:val="222222"/>
                            <w:shd w:val="clear" w:color="auto" w:fill="FFFFFF"/>
                            <w:lang w:val="uk-UA"/>
                          </w:rPr>
                          <w:t>ατηγία, «</w:t>
                        </w:r>
                        <w:proofErr w:type="spellStart"/>
                        <w:r>
                          <w:rPr>
                            <w:rFonts w:ascii="Times New Roman" w:hAnsi="Times New Roman"/>
                            <w:color w:val="222222"/>
                            <w:shd w:val="clear" w:color="auto" w:fill="FFFFFF"/>
                            <w:lang w:val="uk-UA"/>
                          </w:rPr>
                          <w:t>искусство</w:t>
                        </w:r>
                        <w:proofErr w:type="spellEnd"/>
                        <w:r>
                          <w:rPr>
                            <w:rFonts w:ascii="Times New Roman" w:hAnsi="Times New Roman"/>
                            <w:color w:val="222222"/>
                            <w:shd w:val="clear" w:color="auto" w:fill="FFFFFF"/>
                            <w:lang w:val="uk-UA"/>
                          </w:rPr>
                          <w:t xml:space="preserve"> </w:t>
                        </w:r>
                        <w:proofErr w:type="spellStart"/>
                        <w:r>
                          <w:rPr>
                            <w:rFonts w:ascii="Times New Roman" w:hAnsi="Times New Roman"/>
                            <w:color w:val="222222"/>
                            <w:shd w:val="clear" w:color="auto" w:fill="FFFFFF"/>
                            <w:lang w:val="uk-UA"/>
                          </w:rPr>
                          <w:t>полководца</w:t>
                        </w:r>
                        <w:proofErr w:type="spellEnd"/>
                        <w:r>
                          <w:rPr>
                            <w:rFonts w:ascii="Times New Roman" w:hAnsi="Times New Roman"/>
                            <w:color w:val="222222"/>
                            <w:shd w:val="clear" w:color="auto" w:fill="FFFFFF"/>
                            <w:lang w:val="uk-UA"/>
                          </w:rPr>
                          <w:t xml:space="preserve">») - </w:t>
                        </w:r>
                        <w:proofErr w:type="spellStart"/>
                        <w:r>
                          <w:rPr>
                            <w:rFonts w:ascii="Times New Roman" w:hAnsi="Times New Roman"/>
                            <w:color w:val="222222"/>
                            <w:shd w:val="clear" w:color="auto" w:fill="FFFFFF"/>
                          </w:rPr>
                          <w:t>довгостроковий</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послідовний</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конструктивний</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раціональний</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підкріплений</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ідеологією</w:t>
                        </w:r>
                        <w:proofErr w:type="spellEnd"/>
                        <w:r>
                          <w:rPr>
                            <w:rFonts w:ascii="Times New Roman" w:hAnsi="Times New Roman"/>
                            <w:color w:val="222222"/>
                            <w:shd w:val="clear" w:color="auto" w:fill="FFFFFF"/>
                            <w:lang w:val="uk-UA"/>
                          </w:rPr>
                          <w:t xml:space="preserve"> </w:t>
                        </w:r>
                        <w:r>
                          <w:rPr>
                            <w:rFonts w:ascii="Times New Roman" w:hAnsi="Times New Roman"/>
                            <w:color w:val="222222"/>
                            <w:shd w:val="clear" w:color="auto" w:fill="FFFFFF"/>
                          </w:rPr>
                          <w:t xml:space="preserve">план, </w:t>
                        </w:r>
                        <w:proofErr w:type="spellStart"/>
                        <w:r>
                          <w:rPr>
                            <w:rFonts w:ascii="Times New Roman" w:hAnsi="Times New Roman"/>
                            <w:color w:val="222222"/>
                            <w:shd w:val="clear" w:color="auto" w:fill="FFFFFF"/>
                          </w:rPr>
                          <w:t>який</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супроводжується</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постійним</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аналізом</w:t>
                        </w:r>
                        <w:proofErr w:type="spellEnd"/>
                        <w:r>
                          <w:rPr>
                            <w:rFonts w:ascii="Times New Roman" w:hAnsi="Times New Roman"/>
                            <w:color w:val="222222"/>
                            <w:shd w:val="clear" w:color="auto" w:fill="FFFFFF"/>
                          </w:rPr>
                          <w:t xml:space="preserve"> та </w:t>
                        </w:r>
                        <w:proofErr w:type="spellStart"/>
                        <w:r>
                          <w:rPr>
                            <w:rFonts w:ascii="Times New Roman" w:hAnsi="Times New Roman"/>
                            <w:color w:val="222222"/>
                            <w:shd w:val="clear" w:color="auto" w:fill="FFFFFF"/>
                          </w:rPr>
                          <w:t>моніторингом</w:t>
                        </w:r>
                        <w:proofErr w:type="spellEnd"/>
                        <w:r>
                          <w:rPr>
                            <w:rFonts w:ascii="Times New Roman" w:hAnsi="Times New Roman"/>
                            <w:color w:val="222222"/>
                            <w:shd w:val="clear" w:color="auto" w:fill="FFFFFF"/>
                          </w:rPr>
                          <w:t xml:space="preserve"> в </w:t>
                        </w:r>
                        <w:proofErr w:type="spellStart"/>
                        <w:r>
                          <w:rPr>
                            <w:rFonts w:ascii="Times New Roman" w:hAnsi="Times New Roman"/>
                            <w:color w:val="222222"/>
                            <w:shd w:val="clear" w:color="auto" w:fill="FFFFFF"/>
                          </w:rPr>
                          <w:t>процесі</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його</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реалізації</w:t>
                        </w:r>
                        <w:proofErr w:type="spellEnd"/>
                        <w:r>
                          <w:rPr>
                            <w:rFonts w:ascii="Times New Roman" w:hAnsi="Times New Roman"/>
                            <w:color w:val="222222"/>
                            <w:shd w:val="clear" w:color="auto" w:fill="FFFFFF"/>
                          </w:rPr>
                          <w:t xml:space="preserve"> та </w:t>
                        </w:r>
                        <w:proofErr w:type="spellStart"/>
                        <w:r>
                          <w:rPr>
                            <w:rFonts w:ascii="Times New Roman" w:hAnsi="Times New Roman"/>
                            <w:color w:val="222222"/>
                            <w:shd w:val="clear" w:color="auto" w:fill="FFFFFF"/>
                          </w:rPr>
                          <w:t>спрямований</w:t>
                        </w:r>
                        <w:proofErr w:type="spellEnd"/>
                        <w:r>
                          <w:rPr>
                            <w:rFonts w:ascii="Times New Roman" w:hAnsi="Times New Roman"/>
                            <w:color w:val="222222"/>
                            <w:shd w:val="clear" w:color="auto" w:fill="FFFFFF"/>
                          </w:rPr>
                          <w:t xml:space="preserve"> з </w:t>
                        </w:r>
                        <w:proofErr w:type="spellStart"/>
                        <w:r>
                          <w:rPr>
                            <w:rFonts w:ascii="Times New Roman" w:hAnsi="Times New Roman"/>
                            <w:color w:val="222222"/>
                            <w:shd w:val="clear" w:color="auto" w:fill="FFFFFF"/>
                          </w:rPr>
                          <w:t>певною</w:t>
                        </w:r>
                        <w:proofErr w:type="spellEnd"/>
                        <w:r>
                          <w:rPr>
                            <w:rFonts w:ascii="Times New Roman" w:hAnsi="Times New Roman"/>
                            <w:color w:val="222222"/>
                            <w:shd w:val="clear" w:color="auto" w:fill="FFFFFF"/>
                          </w:rPr>
                          <w:t xml:space="preserve"> метою на </w:t>
                        </w:r>
                        <w:proofErr w:type="spellStart"/>
                        <w:r>
                          <w:rPr>
                            <w:rFonts w:ascii="Times New Roman" w:hAnsi="Times New Roman"/>
                            <w:color w:val="222222"/>
                            <w:shd w:val="clear" w:color="auto" w:fill="FFFFFF"/>
                          </w:rPr>
                          <w:t>досягнення</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успіху</w:t>
                        </w:r>
                        <w:proofErr w:type="spellEnd"/>
                        <w:r>
                          <w:rPr>
                            <w:rFonts w:ascii="Times New Roman" w:hAnsi="Times New Roman"/>
                            <w:color w:val="222222"/>
                            <w:shd w:val="clear" w:color="auto" w:fill="FFFFFF"/>
                          </w:rPr>
                          <w:t xml:space="preserve"> в </w:t>
                        </w:r>
                        <w:proofErr w:type="spellStart"/>
                        <w:r>
                          <w:rPr>
                            <w:rFonts w:ascii="Times New Roman" w:hAnsi="Times New Roman"/>
                            <w:color w:val="222222"/>
                            <w:shd w:val="clear" w:color="auto" w:fill="FFFFFF"/>
                          </w:rPr>
                          <w:t>кінцевому</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результаті</w:t>
                        </w:r>
                        <w:proofErr w:type="spellEnd"/>
                        <w:r>
                          <w:rPr>
                            <w:rFonts w:ascii="Times New Roman" w:hAnsi="Times New Roman"/>
                            <w:color w:val="222222"/>
                            <w:shd w:val="clear" w:color="auto" w:fill="FFFFFF"/>
                          </w:rPr>
                          <w:t>. </w:t>
                        </w:r>
                      </w:p>
                      <w:p w14:paraId="6C50F1FC" w14:textId="77777777" w:rsidR="001125D0" w:rsidRDefault="001125D0" w:rsidP="001125D0">
                        <w:pPr>
                          <w:rPr>
                            <w:rFonts w:ascii="Times New Roman" w:hAnsi="Times New Roman"/>
                          </w:rPr>
                        </w:pPr>
                      </w:p>
                    </w:txbxContent>
                  </v:textbox>
                </v:roundrect>
                <w10:anchorlock/>
              </v:group>
            </w:pict>
          </mc:Fallback>
        </mc:AlternateContent>
      </w:r>
    </w:p>
    <w:p w14:paraId="60919A04" w14:textId="77777777" w:rsidR="001125D0" w:rsidRDefault="001125D0" w:rsidP="001125D0">
      <w:pPr>
        <w:autoSpaceDE w:val="0"/>
        <w:autoSpaceDN w:val="0"/>
        <w:adjustRightInd w:val="0"/>
        <w:spacing w:after="0" w:line="240" w:lineRule="auto"/>
        <w:ind w:firstLine="567"/>
        <w:jc w:val="both"/>
        <w:rPr>
          <w:rFonts w:ascii="Times New Roman" w:hAnsi="Times New Roman"/>
          <w:spacing w:val="-2"/>
          <w:sz w:val="26"/>
          <w:szCs w:val="26"/>
          <w:lang w:val="uk-UA"/>
        </w:rPr>
      </w:pPr>
      <w:r>
        <w:rPr>
          <w:rFonts w:ascii="Times New Roman" w:hAnsi="Times New Roman"/>
          <w:spacing w:val="-2"/>
          <w:sz w:val="26"/>
          <w:szCs w:val="26"/>
          <w:lang w:val="uk-UA"/>
        </w:rPr>
        <w:t xml:space="preserve">Стрімкий розвиток техніки і технології у XX ст., зростання обсягу споживання природних ресурсів, марнотратний спосіб життя, неконтрольоване зростання населення Землі, експлуатація та знищення природи безповоротно змінили навколишнє природне середовище, що загрожує життю нинішнього і особливо майбутніх поколінь. Таким чином, формуються протиріччя між все більш взаємозалежними складовими системи “суспільство-природа”, що може призвести до глобальної катастрофи. </w:t>
      </w:r>
    </w:p>
    <w:p w14:paraId="4CCE7062" w14:textId="77777777" w:rsidR="001125D0" w:rsidRDefault="001125D0" w:rsidP="001125D0">
      <w:pPr>
        <w:autoSpaceDE w:val="0"/>
        <w:autoSpaceDN w:val="0"/>
        <w:adjustRightInd w:val="0"/>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У зв’язку з цим, до кінця ХХ ст. як результат багаторічної праці вчених світу була створена та отримала міжнародне визнання концепція стійкого розвитку. Передумова створення такої концепції зафіксована в преамбулі підсумкового документа конференції ООН з довкілля і розвитку в Ріо-де-Жанейро на рівні глав держав і урядів, що відбулася у 1992 р.: “Людство переживає вирішальний момент своєї історії. Світ зіткнувся з проблемами наростання убогості, голоду, хвороб, неписьменності та деградації екологічних систем, що тривають, від яких залежить наш добробут”</w:t>
      </w:r>
      <w:r>
        <w:rPr>
          <w:rFonts w:ascii="Times New Roman" w:hAnsi="Times New Roman"/>
          <w:sz w:val="26"/>
          <w:szCs w:val="26"/>
          <w:vertAlign w:val="superscript"/>
          <w:lang w:val="uk-UA"/>
        </w:rPr>
        <w:endnoteReference w:id="1"/>
      </w:r>
      <w:r>
        <w:rPr>
          <w:rFonts w:ascii="Times New Roman" w:hAnsi="Times New Roman"/>
          <w:sz w:val="26"/>
          <w:szCs w:val="26"/>
          <w:lang w:val="uk-UA"/>
        </w:rPr>
        <w:t xml:space="preserve">. </w:t>
      </w:r>
    </w:p>
    <w:p w14:paraId="26BA2CC8" w14:textId="77777777" w:rsidR="001125D0" w:rsidRDefault="001125D0" w:rsidP="001125D0">
      <w:pPr>
        <w:autoSpaceDE w:val="0"/>
        <w:autoSpaceDN w:val="0"/>
        <w:adjustRightInd w:val="0"/>
        <w:spacing w:after="0" w:line="240" w:lineRule="auto"/>
        <w:ind w:firstLine="567"/>
        <w:jc w:val="both"/>
        <w:rPr>
          <w:rFonts w:ascii="Times New Roman" w:eastAsia="Times New Roman" w:hAnsi="Times New Roman"/>
          <w:sz w:val="26"/>
          <w:szCs w:val="26"/>
          <w:lang w:val="uk-UA" w:eastAsia="ru-RU"/>
        </w:rPr>
      </w:pPr>
      <w:r>
        <w:rPr>
          <w:rFonts w:ascii="Times New Roman" w:hAnsi="Times New Roman"/>
          <w:color w:val="000000"/>
          <w:spacing w:val="-5"/>
          <w:sz w:val="26"/>
          <w:szCs w:val="26"/>
          <w:lang w:val="uk-UA"/>
        </w:rPr>
        <w:t xml:space="preserve">Що стосується України, то ситуація ускладнюється через негативні тенденції у її розвитку. </w:t>
      </w:r>
      <w:r>
        <w:rPr>
          <w:rFonts w:ascii="Times New Roman" w:hAnsi="Times New Roman"/>
          <w:spacing w:val="-5"/>
          <w:sz w:val="26"/>
          <w:szCs w:val="26"/>
          <w:lang w:val="uk-UA"/>
        </w:rPr>
        <w:t>За індексом екологічної стійкості Всесвітній економічний форум у Давосі у 2002 р. поставив Україну на 137-ме місце серед 142 країн, хоча в Україні нині діє понад 400 актів екологічного законодавства, в тому числі близько 80 законів і постанов Верховної Ради України, майже 40 указів Президента України, більш ніж 250 постанов Кабінету міністрів України</w:t>
      </w:r>
      <w:r>
        <w:rPr>
          <w:rFonts w:ascii="Times New Roman" w:hAnsi="Times New Roman"/>
          <w:spacing w:val="-5"/>
          <w:sz w:val="26"/>
          <w:szCs w:val="26"/>
          <w:vertAlign w:val="superscript"/>
          <w:lang w:val="uk-UA"/>
        </w:rPr>
        <w:endnoteReference w:id="2"/>
      </w:r>
      <w:r>
        <w:rPr>
          <w:rFonts w:ascii="Times New Roman" w:hAnsi="Times New Roman"/>
          <w:spacing w:val="-5"/>
          <w:sz w:val="26"/>
          <w:szCs w:val="26"/>
          <w:lang w:val="uk-UA"/>
        </w:rPr>
        <w:t>.</w:t>
      </w:r>
      <w:r>
        <w:rPr>
          <w:rFonts w:ascii="Times New Roman" w:eastAsia="Times New Roman" w:hAnsi="Times New Roman"/>
          <w:sz w:val="26"/>
          <w:szCs w:val="26"/>
          <w:lang w:val="uk-UA" w:eastAsia="ru-RU"/>
        </w:rPr>
        <w:t xml:space="preserve"> В 2014 році була розроблена, а в 2015 році затверджена Стратегія сталого розвитку “Україна-2020” (далі – Стратегія), метою якої є досягнення європейських стандартів життя та гідного місця Україні в світі</w:t>
      </w:r>
      <w:r>
        <w:rPr>
          <w:rStyle w:val="a6"/>
          <w:rFonts w:eastAsia="Times New Roman"/>
          <w:sz w:val="26"/>
          <w:szCs w:val="26"/>
          <w:lang w:val="uk-UA" w:eastAsia="ru-RU"/>
        </w:rPr>
        <w:endnoteReference w:id="3"/>
      </w:r>
      <w:r>
        <w:rPr>
          <w:rFonts w:ascii="Times New Roman" w:eastAsia="Times New Roman" w:hAnsi="Times New Roman"/>
          <w:sz w:val="26"/>
          <w:szCs w:val="26"/>
          <w:lang w:val="uk-UA" w:eastAsia="ru-RU"/>
        </w:rPr>
        <w:t>. Даний документ включає в себе 62 реформи і складається з чотирьох векторів руху: сталий розвиток країни; безпека держави, бізнесу та громадян; відповідальність і соціальна справедливість; гордість за Україну в Європі та світі. В Стратегії зазначено, що вектором розвитку є “забезпечення сталого розвитку держави, проведення структурних реформ та, як наслідок, підвищення стандартів життя. Україна має стати державою з сильною економікою та з передовими інноваціями. Для цього, передусім, необхідно відновити макроекономічну стабільність, забезпечити стійке зростання економіки екологічно невиснажливим способом, створити сприятливі умови для ведення господарської діяльності та прозору податкову систему”. Але, Програма збереження навколишнього природного середовища не визначена пріоритетною. ;</w:t>
      </w:r>
    </w:p>
    <w:p w14:paraId="4F54AB94" w14:textId="77777777" w:rsidR="001125D0" w:rsidRDefault="001125D0" w:rsidP="001125D0">
      <w:pPr>
        <w:autoSpaceDE w:val="0"/>
        <w:autoSpaceDN w:val="0"/>
        <w:adjustRightInd w:val="0"/>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lastRenderedPageBreak/>
        <w:t>Теоретичні ідеї стійкого розвитку з’явилися достатньо давно. Зокрема, ще В.І. Вернадський</w:t>
      </w:r>
      <w:r>
        <w:rPr>
          <w:rFonts w:ascii="Times New Roman" w:hAnsi="Times New Roman"/>
          <w:sz w:val="26"/>
          <w:szCs w:val="26"/>
          <w:vertAlign w:val="superscript"/>
          <w:lang w:val="uk-UA"/>
        </w:rPr>
        <w:endnoteReference w:id="4"/>
      </w:r>
      <w:r>
        <w:rPr>
          <w:rFonts w:ascii="Times New Roman" w:hAnsi="Times New Roman"/>
          <w:sz w:val="26"/>
          <w:szCs w:val="26"/>
          <w:lang w:val="uk-UA"/>
        </w:rPr>
        <w:t xml:space="preserve"> писав про те, що зв’язок людини, як і будь-якого іншого живого природного тіла, з біосферою незаперечний.</w:t>
      </w:r>
    </w:p>
    <w:p w14:paraId="7E472C12" w14:textId="77777777" w:rsidR="001125D0" w:rsidRDefault="001125D0" w:rsidP="001125D0">
      <w:pPr>
        <w:autoSpaceDE w:val="0"/>
        <w:autoSpaceDN w:val="0"/>
        <w:adjustRightInd w:val="0"/>
        <w:spacing w:after="0" w:line="240" w:lineRule="auto"/>
        <w:ind w:firstLine="567"/>
        <w:jc w:val="both"/>
        <w:rPr>
          <w:rFonts w:ascii="Times New Roman" w:hAnsi="Times New Roman"/>
          <w:iCs/>
          <w:color w:val="000000"/>
          <w:spacing w:val="-3"/>
          <w:sz w:val="26"/>
          <w:szCs w:val="26"/>
          <w:lang w:val="uk-UA"/>
        </w:rPr>
      </w:pPr>
      <w:r>
        <w:rPr>
          <w:rFonts w:ascii="Times New Roman" w:hAnsi="Times New Roman"/>
          <w:color w:val="000000"/>
          <w:spacing w:val="-4"/>
          <w:sz w:val="26"/>
          <w:szCs w:val="26"/>
          <w:lang w:val="uk-UA"/>
        </w:rPr>
        <w:t xml:space="preserve">У 60-ті рр. ХХ ст., </w:t>
      </w:r>
      <w:r>
        <w:rPr>
          <w:rFonts w:ascii="Times New Roman" w:hAnsi="Times New Roman"/>
          <w:color w:val="000000"/>
          <w:sz w:val="26"/>
          <w:szCs w:val="26"/>
          <w:lang w:val="uk-UA"/>
        </w:rPr>
        <w:t xml:space="preserve">коли почали розповсюджуватися песимістичні пророцтва </w:t>
      </w:r>
      <w:r>
        <w:rPr>
          <w:rFonts w:ascii="Times New Roman" w:hAnsi="Times New Roman"/>
          <w:color w:val="000000"/>
          <w:spacing w:val="-5"/>
          <w:sz w:val="26"/>
          <w:szCs w:val="26"/>
          <w:lang w:val="uk-UA"/>
        </w:rPr>
        <w:t>щодо екологічної катастрофи на Землі</w:t>
      </w:r>
      <w:r>
        <w:rPr>
          <w:rFonts w:ascii="Times New Roman" w:hAnsi="Times New Roman"/>
          <w:color w:val="000000"/>
          <w:spacing w:val="-3"/>
          <w:sz w:val="26"/>
          <w:szCs w:val="26"/>
          <w:lang w:val="uk-UA"/>
        </w:rPr>
        <w:t>, вчені почали досліджувати наслідки антропогенного впливу на навколишнє природне середовище. В той період вийшли друком “До того як помре природа” Ж. Дорста, “Тристарічна війна. Хроніка еколо</w:t>
      </w:r>
      <w:r>
        <w:rPr>
          <w:rFonts w:ascii="Times New Roman" w:hAnsi="Times New Roman"/>
          <w:color w:val="000000"/>
          <w:spacing w:val="-4"/>
          <w:sz w:val="26"/>
          <w:szCs w:val="26"/>
          <w:lang w:val="uk-UA"/>
        </w:rPr>
        <w:t>гічного лиха” У. Дугласа, “Коло, що за</w:t>
      </w:r>
      <w:r>
        <w:rPr>
          <w:rFonts w:ascii="Times New Roman" w:hAnsi="Times New Roman"/>
          <w:color w:val="000000"/>
          <w:spacing w:val="1"/>
          <w:sz w:val="26"/>
          <w:szCs w:val="26"/>
          <w:lang w:val="uk-UA"/>
        </w:rPr>
        <w:t>микається” Б. Коммонера, “Оскальпо</w:t>
      </w:r>
      <w:r>
        <w:rPr>
          <w:rFonts w:ascii="Times New Roman" w:hAnsi="Times New Roman"/>
          <w:color w:val="000000"/>
          <w:spacing w:val="-5"/>
          <w:sz w:val="26"/>
          <w:szCs w:val="26"/>
          <w:lang w:val="uk-UA"/>
        </w:rPr>
        <w:t>вана земля” А. Ленькової</w:t>
      </w:r>
      <w:r>
        <w:rPr>
          <w:rFonts w:ascii="Times New Roman" w:hAnsi="Times New Roman"/>
          <w:iCs/>
          <w:color w:val="000000"/>
          <w:spacing w:val="-5"/>
          <w:sz w:val="26"/>
          <w:szCs w:val="26"/>
          <w:lang w:val="uk-UA"/>
        </w:rPr>
        <w:t>.</w:t>
      </w:r>
      <w:r>
        <w:rPr>
          <w:rFonts w:ascii="Times New Roman" w:hAnsi="Times New Roman"/>
          <w:i/>
          <w:iCs/>
          <w:color w:val="000000"/>
          <w:spacing w:val="-5"/>
          <w:sz w:val="26"/>
          <w:szCs w:val="26"/>
          <w:lang w:val="uk-UA"/>
        </w:rPr>
        <w:t xml:space="preserve"> </w:t>
      </w:r>
      <w:r>
        <w:rPr>
          <w:rFonts w:ascii="Times New Roman" w:hAnsi="Times New Roman"/>
          <w:color w:val="000000"/>
          <w:spacing w:val="-5"/>
          <w:sz w:val="26"/>
          <w:szCs w:val="26"/>
          <w:lang w:val="uk-UA"/>
        </w:rPr>
        <w:t xml:space="preserve">Відтоді </w:t>
      </w:r>
      <w:r>
        <w:rPr>
          <w:rFonts w:ascii="Times New Roman" w:hAnsi="Times New Roman"/>
          <w:color w:val="000000"/>
          <w:spacing w:val="-4"/>
          <w:sz w:val="26"/>
          <w:szCs w:val="26"/>
          <w:lang w:val="uk-UA"/>
        </w:rPr>
        <w:t>людство усвідомило можливість екологічної катастрофи</w:t>
      </w:r>
      <w:r>
        <w:rPr>
          <w:rFonts w:ascii="Times New Roman" w:hAnsi="Times New Roman"/>
          <w:iCs/>
          <w:color w:val="000000"/>
          <w:spacing w:val="-3"/>
          <w:sz w:val="26"/>
          <w:szCs w:val="26"/>
          <w:lang w:val="uk-UA"/>
        </w:rPr>
        <w:t>.</w:t>
      </w:r>
    </w:p>
    <w:p w14:paraId="0B72B08B" w14:textId="77777777" w:rsidR="001125D0" w:rsidRDefault="001125D0" w:rsidP="001125D0">
      <w:pPr>
        <w:autoSpaceDE w:val="0"/>
        <w:autoSpaceDN w:val="0"/>
        <w:adjustRightInd w:val="0"/>
        <w:spacing w:after="0" w:line="240" w:lineRule="auto"/>
        <w:ind w:firstLine="567"/>
        <w:jc w:val="both"/>
        <w:rPr>
          <w:rFonts w:ascii="Times New Roman" w:hAnsi="Times New Roman"/>
          <w:spacing w:val="-6"/>
          <w:sz w:val="26"/>
          <w:szCs w:val="26"/>
          <w:lang w:val="uk-UA"/>
        </w:rPr>
      </w:pPr>
      <w:r>
        <w:rPr>
          <w:rFonts w:ascii="Times New Roman" w:hAnsi="Times New Roman"/>
          <w:spacing w:val="-6"/>
          <w:sz w:val="26"/>
          <w:szCs w:val="26"/>
          <w:lang w:val="uk-UA"/>
        </w:rPr>
        <w:t xml:space="preserve">Концепція стійкого розвитку почала формуватися з 70-х рр. ХХ ст., що зумовлено зростанням кількості наукових досліджень з питань обмеженості природних ресурсів і забруднення природного середовища. Теорія сталого розвитку є альтернативою сучасним концепціям економічного зростання, яка ігнорує екологічну небезпеку, спричинену розвитком за екстенсивною моделлю. </w:t>
      </w:r>
    </w:p>
    <w:p w14:paraId="49EB7DAB" w14:textId="77777777" w:rsidR="001125D0" w:rsidRDefault="001125D0" w:rsidP="001125D0">
      <w:pPr>
        <w:autoSpaceDE w:val="0"/>
        <w:autoSpaceDN w:val="0"/>
        <w:adjustRightInd w:val="0"/>
        <w:spacing w:after="0" w:line="240" w:lineRule="auto"/>
        <w:ind w:firstLine="567"/>
        <w:jc w:val="both"/>
        <w:rPr>
          <w:rFonts w:ascii="Times New Roman" w:hAnsi="Times New Roman"/>
          <w:spacing w:val="-4"/>
          <w:sz w:val="26"/>
          <w:szCs w:val="26"/>
          <w:lang w:val="uk-UA"/>
        </w:rPr>
      </w:pPr>
      <w:r>
        <w:rPr>
          <w:rFonts w:ascii="Times New Roman" w:hAnsi="Times New Roman"/>
          <w:spacing w:val="-4"/>
          <w:sz w:val="26"/>
          <w:szCs w:val="26"/>
          <w:lang w:val="uk-UA"/>
        </w:rPr>
        <w:t>Почали створюватися міжнародні неурядові наукові організації з вивчення глобальних процесів на Землі: Міжнародна федерація інститутів перспективних досліджень, Римський клуб (створений у 1968 р.; до складу увійшли представники світової політичної, фінансової, культурної і наукової еліти. Мета створення – вивчення перспектив розвитку біосфери і пропаганда ідеї гармонізації стосунків людини та природи), Міжнародний інститут системного аналізу, у СРСР – Всесоюзний інститут системних досліджень.</w:t>
      </w:r>
    </w:p>
    <w:p w14:paraId="6A40D34C" w14:textId="77777777" w:rsidR="001125D0" w:rsidRDefault="001125D0" w:rsidP="001125D0">
      <w:pPr>
        <w:autoSpaceDE w:val="0"/>
        <w:autoSpaceDN w:val="0"/>
        <w:adjustRightInd w:val="0"/>
        <w:spacing w:after="0" w:line="240" w:lineRule="auto"/>
        <w:ind w:firstLine="567"/>
        <w:jc w:val="both"/>
        <w:rPr>
          <w:rFonts w:ascii="Times New Roman" w:hAnsi="Times New Roman"/>
          <w:sz w:val="26"/>
          <w:szCs w:val="26"/>
          <w:lang w:val="uk-UA"/>
        </w:rPr>
      </w:pPr>
      <w:r>
        <w:rPr>
          <w:rFonts w:ascii="Times New Roman" w:hAnsi="Times New Roman"/>
          <w:bCs/>
          <w:color w:val="000000"/>
          <w:sz w:val="26"/>
          <w:szCs w:val="26"/>
          <w:lang w:val="uk-UA"/>
        </w:rPr>
        <w:t>У 1971 р. вийшла друком праця Дж. Форрестера “Світова динаміка”</w:t>
      </w:r>
      <w:r>
        <w:rPr>
          <w:rFonts w:ascii="Times New Roman" w:hAnsi="Times New Roman"/>
          <w:bCs/>
          <w:color w:val="000000"/>
          <w:sz w:val="26"/>
          <w:szCs w:val="26"/>
          <w:vertAlign w:val="superscript"/>
          <w:lang w:val="uk-UA"/>
        </w:rPr>
        <w:endnoteReference w:id="5"/>
      </w:r>
      <w:r>
        <w:rPr>
          <w:rFonts w:ascii="Times New Roman" w:hAnsi="Times New Roman"/>
          <w:bCs/>
          <w:color w:val="000000"/>
          <w:sz w:val="26"/>
          <w:szCs w:val="26"/>
          <w:lang w:val="uk-UA"/>
        </w:rPr>
        <w:t>, а у 1972 р. – Д. Медоуза “Межі зростання”</w:t>
      </w:r>
      <w:r>
        <w:rPr>
          <w:rFonts w:ascii="Times New Roman" w:hAnsi="Times New Roman"/>
          <w:bCs/>
          <w:color w:val="000000"/>
          <w:sz w:val="26"/>
          <w:szCs w:val="26"/>
          <w:vertAlign w:val="superscript"/>
          <w:lang w:val="uk-UA"/>
        </w:rPr>
        <w:endnoteReference w:id="6"/>
      </w:r>
      <w:r>
        <w:rPr>
          <w:rFonts w:ascii="Times New Roman" w:hAnsi="Times New Roman"/>
          <w:bCs/>
          <w:color w:val="000000"/>
          <w:sz w:val="26"/>
          <w:szCs w:val="26"/>
          <w:lang w:val="uk-UA"/>
        </w:rPr>
        <w:t>. Вони висували досить сміливу для того часу думку, що існуюча економічна модель вже в найближчі десятиліття</w:t>
      </w:r>
      <w:r>
        <w:rPr>
          <w:rFonts w:ascii="Times New Roman" w:hAnsi="Times New Roman"/>
          <w:sz w:val="26"/>
          <w:szCs w:val="26"/>
          <w:lang w:val="uk-UA"/>
        </w:rPr>
        <w:t xml:space="preserve"> спричинить світові економічну й екологічну кризи.</w:t>
      </w:r>
    </w:p>
    <w:p w14:paraId="53F70411" w14:textId="77777777" w:rsidR="001125D0" w:rsidRDefault="001125D0" w:rsidP="001125D0">
      <w:pPr>
        <w:autoSpaceDE w:val="0"/>
        <w:autoSpaceDN w:val="0"/>
        <w:adjustRightInd w:val="0"/>
        <w:spacing w:after="0" w:line="240" w:lineRule="auto"/>
        <w:ind w:firstLine="567"/>
        <w:jc w:val="both"/>
        <w:rPr>
          <w:rFonts w:ascii="Times New Roman" w:hAnsi="Times New Roman"/>
          <w:bCs/>
          <w:color w:val="000000"/>
          <w:sz w:val="26"/>
          <w:szCs w:val="26"/>
          <w:lang w:val="uk-UA"/>
        </w:rPr>
      </w:pPr>
      <w:r>
        <w:rPr>
          <w:rFonts w:ascii="Times New Roman" w:hAnsi="Times New Roman"/>
          <w:bCs/>
          <w:color w:val="000000"/>
          <w:sz w:val="26"/>
          <w:szCs w:val="26"/>
          <w:lang w:val="uk-UA"/>
        </w:rPr>
        <w:t xml:space="preserve">У праці “Межі зростання” </w:t>
      </w:r>
      <w:r>
        <w:rPr>
          <w:rFonts w:ascii="Times New Roman" w:hAnsi="Times New Roman"/>
          <w:sz w:val="26"/>
          <w:szCs w:val="26"/>
          <w:lang w:val="uk-UA"/>
        </w:rPr>
        <w:t xml:space="preserve">Д. Медоуз </w:t>
      </w:r>
      <w:r>
        <w:rPr>
          <w:rFonts w:ascii="Times New Roman" w:hAnsi="Times New Roman"/>
          <w:bCs/>
          <w:color w:val="000000"/>
          <w:sz w:val="26"/>
          <w:szCs w:val="26"/>
          <w:lang w:val="uk-UA"/>
        </w:rPr>
        <w:t>дійшов висновку, що “вплив на навколишнє середовище в масштабах земної кулі (виснаження і забруднення) значно вплине на розвиток світу в ХХІ ст. Людству доведеться направляти більше зусиль і капіталу на те, щоб боротися з погіршенням стану навколишнього природного середовища. Можливо, настільки більше, що колись у ХХІ ст. це призведе до зниження рівня життя”</w:t>
      </w:r>
      <w:r>
        <w:rPr>
          <w:rFonts w:ascii="Times New Roman" w:hAnsi="Times New Roman"/>
          <w:bCs/>
          <w:color w:val="000000"/>
          <w:sz w:val="26"/>
          <w:szCs w:val="26"/>
          <w:vertAlign w:val="superscript"/>
          <w:lang w:val="uk-UA"/>
        </w:rPr>
        <w:endnoteReference w:id="7"/>
      </w:r>
      <w:r>
        <w:rPr>
          <w:rFonts w:ascii="Times New Roman" w:hAnsi="Times New Roman"/>
          <w:bCs/>
          <w:color w:val="000000"/>
          <w:sz w:val="26"/>
          <w:szCs w:val="26"/>
          <w:lang w:val="uk-UA"/>
        </w:rPr>
        <w:t xml:space="preserve">. Автор загострював увагу на тому, що якщо вчасно прийняти заходи, то кожний з нас може значно зменшити шкоду, що завдається навколишньому природному середовищу через наближення та навіть перевищення глобальних екологічних меж. </w:t>
      </w:r>
    </w:p>
    <w:p w14:paraId="4663EAE0" w14:textId="77777777" w:rsidR="001125D0" w:rsidRDefault="001125D0" w:rsidP="001125D0">
      <w:pPr>
        <w:autoSpaceDE w:val="0"/>
        <w:autoSpaceDN w:val="0"/>
        <w:adjustRightInd w:val="0"/>
        <w:spacing w:after="0" w:line="240" w:lineRule="auto"/>
        <w:ind w:firstLine="567"/>
        <w:jc w:val="both"/>
        <w:rPr>
          <w:rFonts w:ascii="Times New Roman" w:hAnsi="Times New Roman"/>
          <w:bCs/>
          <w:color w:val="000000"/>
          <w:sz w:val="26"/>
          <w:szCs w:val="26"/>
          <w:lang w:val="uk-UA"/>
        </w:rPr>
      </w:pPr>
      <w:r>
        <w:rPr>
          <w:rFonts w:ascii="Times New Roman" w:hAnsi="Times New Roman"/>
          <w:bCs/>
          <w:color w:val="000000"/>
          <w:sz w:val="26"/>
          <w:szCs w:val="26"/>
          <w:lang w:val="uk-UA"/>
        </w:rPr>
        <w:t xml:space="preserve">Праця </w:t>
      </w:r>
      <w:r>
        <w:rPr>
          <w:rFonts w:ascii="Times New Roman" w:hAnsi="Times New Roman"/>
          <w:sz w:val="26"/>
          <w:szCs w:val="26"/>
          <w:lang w:val="uk-UA"/>
        </w:rPr>
        <w:t xml:space="preserve">Д. Медоуза </w:t>
      </w:r>
      <w:r>
        <w:rPr>
          <w:rFonts w:ascii="Times New Roman" w:hAnsi="Times New Roman"/>
          <w:bCs/>
          <w:color w:val="000000"/>
          <w:sz w:val="26"/>
          <w:szCs w:val="26"/>
          <w:lang w:val="uk-UA"/>
        </w:rPr>
        <w:t>“Межі зростання” стала основою для доповіді Римському клубу, автори якої пропонували ідею “нульового зростання” і штучного обмеження індустріального розвитку. Така ідея не була сприйнята, адже вона суперечила парадигмі про безперервне зростання матеріального добробуту, що складалася століттями. Та з розвитком інформаційного суспільства почала відбуватися деконцентрація виробництва, з’явилися намагання вирішити протиріччя між ресурсами окремих регіонів й інтересами держави в цілому.</w:t>
      </w:r>
    </w:p>
    <w:p w14:paraId="02366008" w14:textId="77777777" w:rsidR="001125D0" w:rsidRDefault="001125D0" w:rsidP="001125D0">
      <w:pPr>
        <w:autoSpaceDE w:val="0"/>
        <w:autoSpaceDN w:val="0"/>
        <w:adjustRightInd w:val="0"/>
        <w:spacing w:after="0" w:line="240" w:lineRule="auto"/>
        <w:ind w:firstLine="567"/>
        <w:jc w:val="both"/>
        <w:rPr>
          <w:rFonts w:ascii="Times New Roman" w:hAnsi="Times New Roman"/>
          <w:bCs/>
          <w:color w:val="000000"/>
          <w:sz w:val="26"/>
          <w:szCs w:val="26"/>
          <w:lang w:val="uk-UA"/>
        </w:rPr>
      </w:pPr>
      <w:r>
        <w:rPr>
          <w:rFonts w:ascii="Times New Roman" w:hAnsi="Times New Roman"/>
          <w:sz w:val="26"/>
          <w:szCs w:val="26"/>
          <w:lang w:val="uk-UA"/>
        </w:rPr>
        <w:t xml:space="preserve">У 1972 р. у Стокгольмі проведено Першу </w:t>
      </w:r>
      <w:r>
        <w:rPr>
          <w:rFonts w:ascii="Times New Roman" w:hAnsi="Times New Roman"/>
          <w:bCs/>
          <w:color w:val="000000"/>
          <w:sz w:val="26"/>
          <w:szCs w:val="26"/>
          <w:lang w:val="uk-UA"/>
        </w:rPr>
        <w:t xml:space="preserve">всесвітню конференцію з навколишнього середовища, генеральним секретарем якої М. Стронгом сформульовано поняття “екорозвиток” як екологічно орієнтований соціально-економічний розвиток, при якому зростання добробуту людей не супроводжується погіршенням середовища існування і деградацією природних систем. Після конференції почали розвиватися екологічна політика та дипломатія, правове </w:t>
      </w:r>
      <w:r>
        <w:rPr>
          <w:rFonts w:ascii="Times New Roman" w:hAnsi="Times New Roman"/>
          <w:bCs/>
          <w:color w:val="000000"/>
          <w:sz w:val="26"/>
          <w:szCs w:val="26"/>
          <w:lang w:val="uk-UA"/>
        </w:rPr>
        <w:lastRenderedPageBreak/>
        <w:t>регулювання питань щодо навколишнього природного середовища, з’явилася нова інституційна складова – міністерства і відомства з питань довкілля.</w:t>
      </w:r>
    </w:p>
    <w:p w14:paraId="7B0EBF69" w14:textId="77777777" w:rsidR="001125D0" w:rsidRDefault="001125D0" w:rsidP="001125D0">
      <w:pPr>
        <w:autoSpaceDE w:val="0"/>
        <w:autoSpaceDN w:val="0"/>
        <w:adjustRightInd w:val="0"/>
        <w:spacing w:after="0" w:line="240" w:lineRule="auto"/>
        <w:ind w:firstLine="567"/>
        <w:jc w:val="both"/>
        <w:rPr>
          <w:rFonts w:ascii="Times New Roman" w:hAnsi="Times New Roman"/>
          <w:bCs/>
          <w:color w:val="000000"/>
          <w:sz w:val="26"/>
          <w:szCs w:val="26"/>
          <w:lang w:val="uk-UA"/>
        </w:rPr>
      </w:pPr>
      <w:r>
        <w:rPr>
          <w:rFonts w:ascii="Times New Roman" w:hAnsi="Times New Roman"/>
          <w:bCs/>
          <w:color w:val="000000"/>
          <w:sz w:val="26"/>
          <w:szCs w:val="26"/>
          <w:lang w:val="uk-UA"/>
        </w:rPr>
        <w:t xml:space="preserve">З середини 70-х рр. ХХ ст. набуло розповсюдження застосування поняття “екорозвиток” та актуалізувалася необхідність стійкого розвитку екосистем. У міжнародному документі “Всесвітня стратегія охорони природи”, прийнятому в 1980 р., вперше згадувалося про стійкий розвиток. У другій редакції Всесвітньої стратегії охорони природи під назвою “Турбота про планету Земля – Стратегія стійкого життя” оприлюдненій у 1991 р., йшлося про те, що розвиток повинен базуватися на збереженні живої природи, захисті структури, функцій і різноманітності природних систем Землі, від яких залежать біологічні види. Шляхами досягнення стійкості названо такі: збереження системи підтримки життя, біорізноманіття та забезпечення стійкого використання відновних ресурсів. </w:t>
      </w:r>
    </w:p>
    <w:p w14:paraId="7FD21B4D" w14:textId="77777777" w:rsidR="001125D0" w:rsidRDefault="001125D0" w:rsidP="001125D0">
      <w:pPr>
        <w:autoSpaceDE w:val="0"/>
        <w:autoSpaceDN w:val="0"/>
        <w:adjustRightInd w:val="0"/>
        <w:spacing w:after="0" w:line="240" w:lineRule="auto"/>
        <w:ind w:firstLine="567"/>
        <w:jc w:val="both"/>
        <w:rPr>
          <w:rFonts w:ascii="Times New Roman" w:hAnsi="Times New Roman"/>
          <w:bCs/>
          <w:color w:val="000000"/>
          <w:spacing w:val="-4"/>
          <w:sz w:val="26"/>
          <w:szCs w:val="26"/>
          <w:lang w:val="uk-UA"/>
        </w:rPr>
      </w:pPr>
      <w:r>
        <w:rPr>
          <w:rFonts w:ascii="Times New Roman" w:hAnsi="Times New Roman"/>
          <w:bCs/>
          <w:color w:val="000000"/>
          <w:spacing w:val="-4"/>
          <w:sz w:val="26"/>
          <w:szCs w:val="26"/>
          <w:lang w:val="uk-UA"/>
        </w:rPr>
        <w:t>Широка реалізація концепції стійкого розвитку відбулася у 1980 р. завдяки оприлюдненню Всесвітньої стратегії збереження природи, розробленій згідно з Програмою ООН з навколишнього середовища та за ініціативою Міжнародного союзу охорони природи і Всесвітнього фонду дикої природи. Концепція стійкого розвитку багато в чому була схожою до концепції ноосфери, висунутої академіком В.І. Вернадським ще в середині XX ст.</w:t>
      </w:r>
    </w:p>
    <w:p w14:paraId="3A6E48FE"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pacing w:val="-2"/>
          <w:w w:val="107"/>
          <w:sz w:val="26"/>
          <w:szCs w:val="26"/>
          <w:lang w:val="uk-UA"/>
        </w:rPr>
      </w:pPr>
      <w:r>
        <w:rPr>
          <w:rFonts w:ascii="Times New Roman" w:hAnsi="Times New Roman"/>
          <w:spacing w:val="-2"/>
          <w:sz w:val="26"/>
          <w:szCs w:val="26"/>
          <w:lang w:val="uk-UA"/>
        </w:rPr>
        <w:t xml:space="preserve">Наступним кроком стало створення у 1983 р. </w:t>
      </w:r>
      <w:r>
        <w:rPr>
          <w:rFonts w:ascii="Times New Roman" w:hAnsi="Times New Roman"/>
          <w:bCs/>
          <w:color w:val="000000"/>
          <w:spacing w:val="-2"/>
          <w:sz w:val="26"/>
          <w:szCs w:val="26"/>
          <w:lang w:val="uk-UA"/>
        </w:rPr>
        <w:t>Міжнародної комісії з навколишнього середовища і розвитку на чолі з прем’єр-міністром Норвегії Г.Х. Брундтланд. За результатами її роботи у 1987 р. опублікований звіт “Наше спільне майбутнє”</w:t>
      </w:r>
      <w:r>
        <w:rPr>
          <w:rFonts w:ascii="Times New Roman" w:hAnsi="Times New Roman"/>
          <w:bCs/>
          <w:color w:val="000000"/>
          <w:spacing w:val="-2"/>
          <w:sz w:val="26"/>
          <w:szCs w:val="26"/>
          <w:vertAlign w:val="superscript"/>
          <w:lang w:val="uk-UA"/>
        </w:rPr>
        <w:endnoteReference w:id="8"/>
      </w:r>
      <w:r>
        <w:rPr>
          <w:rFonts w:ascii="Times New Roman" w:hAnsi="Times New Roman"/>
          <w:bCs/>
          <w:color w:val="000000"/>
          <w:spacing w:val="-2"/>
          <w:sz w:val="26"/>
          <w:szCs w:val="26"/>
          <w:lang w:val="uk-UA"/>
        </w:rPr>
        <w:t xml:space="preserve">, у якому наголошено на необхідності негайного вирішення питань раціональної взаємодії людини та природи з метою збереження навколишнього природного середовища. У звіті наведено визначення поняття “стійкий розвиток” (“sustainable development”) – </w:t>
      </w:r>
      <w:r>
        <w:rPr>
          <w:rFonts w:ascii="Times New Roman" w:hAnsi="Times New Roman"/>
          <w:color w:val="000000"/>
          <w:spacing w:val="-2"/>
          <w:w w:val="107"/>
          <w:sz w:val="26"/>
          <w:szCs w:val="26"/>
          <w:lang w:val="uk-UA"/>
        </w:rPr>
        <w:t>це такий розвиток, що задовольняє потреби сьогодення, не ставлячи під загрозу спроможність майбутніх поколінь задовольняти власні потреби</w:t>
      </w:r>
      <w:r>
        <w:rPr>
          <w:rFonts w:ascii="Times New Roman" w:hAnsi="Times New Roman"/>
          <w:color w:val="000000"/>
          <w:spacing w:val="-2"/>
          <w:w w:val="107"/>
          <w:sz w:val="26"/>
          <w:szCs w:val="26"/>
          <w:vertAlign w:val="superscript"/>
          <w:lang w:val="uk-UA"/>
        </w:rPr>
        <w:endnoteReference w:id="9"/>
      </w:r>
      <w:r>
        <w:rPr>
          <w:rFonts w:ascii="Times New Roman" w:hAnsi="Times New Roman"/>
          <w:color w:val="000000"/>
          <w:spacing w:val="-2"/>
          <w:w w:val="107"/>
          <w:sz w:val="26"/>
          <w:szCs w:val="26"/>
          <w:lang w:val="uk-UA"/>
        </w:rPr>
        <w:t>.</w:t>
      </w:r>
    </w:p>
    <w:p w14:paraId="33F30108" w14:textId="77777777" w:rsidR="001125D0" w:rsidRDefault="001125D0" w:rsidP="001125D0">
      <w:pPr>
        <w:autoSpaceDE w:val="0"/>
        <w:autoSpaceDN w:val="0"/>
        <w:adjustRightInd w:val="0"/>
        <w:spacing w:after="0" w:line="240" w:lineRule="auto"/>
        <w:ind w:firstLine="567"/>
        <w:jc w:val="both"/>
        <w:rPr>
          <w:rFonts w:ascii="Times New Roman" w:hAnsi="Times New Roman"/>
          <w:bCs/>
          <w:color w:val="000000"/>
          <w:sz w:val="26"/>
          <w:szCs w:val="26"/>
          <w:lang w:val="uk-UA"/>
        </w:rPr>
      </w:pPr>
      <w:r>
        <w:rPr>
          <w:rFonts w:ascii="Times New Roman" w:hAnsi="Times New Roman"/>
          <w:bCs/>
          <w:color w:val="000000"/>
          <w:sz w:val="26"/>
          <w:szCs w:val="26"/>
          <w:lang w:val="uk-UA"/>
        </w:rPr>
        <w:t>Сформульоване визначення стійкого розвитку задекларувало необхідність пошуку засобів для подальшого прогресивного розвитку людства всередині самого суспільства і кожної окремо взятої людини, її інтелектуального і духовного потенціалу, а не шляхом нарощування споживання ресурсів, створених природою за тисячі й мільйони років. Прогрес у виробництві повинен досягатися за рахунок підвищення ефективності використання й економії сировини, тобто пропагувався не нульовий економічний приріст, а нульовий приріст споживання засобів навколишнього природного середовища. Фактично йшлося не про припинення економічного зростання взагалі, а про припинення зростання нераціонального використання ресурсів навколишнього природного середовища. Це можливо здійснити за рахунок впровадження технологій, які дозволяють ефективніше використовувати ресурси або забезпечують перехід на використання необмежених ресурсів (сонячне світло, енергія вітру тощо), що є найкращим варіантом.</w:t>
      </w:r>
    </w:p>
    <w:p w14:paraId="0C7B51B2" w14:textId="77777777" w:rsidR="001125D0" w:rsidRDefault="001125D0" w:rsidP="001125D0">
      <w:pPr>
        <w:autoSpaceDE w:val="0"/>
        <w:autoSpaceDN w:val="0"/>
        <w:adjustRightInd w:val="0"/>
        <w:spacing w:after="0" w:line="240" w:lineRule="auto"/>
        <w:ind w:firstLine="567"/>
        <w:jc w:val="both"/>
        <w:rPr>
          <w:rFonts w:ascii="Times New Roman" w:hAnsi="Times New Roman"/>
          <w:bCs/>
          <w:color w:val="000000"/>
          <w:sz w:val="26"/>
          <w:szCs w:val="26"/>
          <w:lang w:val="uk-UA"/>
        </w:rPr>
      </w:pPr>
      <w:r>
        <w:rPr>
          <w:rFonts w:ascii="Times New Roman" w:hAnsi="Times New Roman"/>
          <w:bCs/>
          <w:color w:val="000000"/>
          <w:sz w:val="26"/>
          <w:szCs w:val="26"/>
          <w:lang w:val="uk-UA"/>
        </w:rPr>
        <w:t>Після доповіді Г.Х. Брундтланд у 1987 р. у більшості публікацій використовується поняття “sustainable development”, яке перекладають на українську мову як “сталий розвиток” або “стійкий розвиток”. Словосполучення “сталий розвиток” є суперечливим, адже поняття “сталий” та “розвиток” є антонімами. Поняття “стійкий розвиток” у значенні розвитку з приблизно постійною величиною приросту є більш прийнятним.</w:t>
      </w:r>
    </w:p>
    <w:p w14:paraId="71F9DF92" w14:textId="77777777" w:rsidR="001125D0" w:rsidRDefault="001125D0" w:rsidP="001125D0">
      <w:pPr>
        <w:autoSpaceDE w:val="0"/>
        <w:autoSpaceDN w:val="0"/>
        <w:adjustRightInd w:val="0"/>
        <w:spacing w:after="0" w:line="240" w:lineRule="auto"/>
        <w:ind w:firstLine="567"/>
        <w:jc w:val="both"/>
        <w:rPr>
          <w:rFonts w:ascii="Times New Roman" w:hAnsi="Times New Roman"/>
          <w:bCs/>
          <w:color w:val="000000"/>
          <w:sz w:val="26"/>
          <w:szCs w:val="26"/>
          <w:lang w:val="uk-UA"/>
        </w:rPr>
      </w:pPr>
      <w:r>
        <w:rPr>
          <w:rFonts w:ascii="Times New Roman" w:hAnsi="Times New Roman"/>
          <w:bCs/>
          <w:color w:val="000000"/>
          <w:sz w:val="26"/>
          <w:szCs w:val="26"/>
          <w:lang w:val="uk-UA"/>
        </w:rPr>
        <w:t xml:space="preserve">Починаючи з 1987 р. поняття стійкого розвитку базувалося на визначенні, проголошеному Г.Х. Брундтланд. Під стійким розвитком до сьогодні розуміється </w:t>
      </w:r>
      <w:r>
        <w:rPr>
          <w:rFonts w:ascii="Times New Roman" w:hAnsi="Times New Roman"/>
          <w:bCs/>
          <w:color w:val="000000"/>
          <w:sz w:val="26"/>
          <w:szCs w:val="26"/>
          <w:lang w:val="uk-UA"/>
        </w:rPr>
        <w:lastRenderedPageBreak/>
        <w:t>розвиток, який передбачає забезпечення виживання й нормального задоволення потреб нинішнього та наступних поколінь.</w:t>
      </w:r>
    </w:p>
    <w:p w14:paraId="1A02CFF0"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w w:val="107"/>
          <w:sz w:val="26"/>
          <w:szCs w:val="26"/>
          <w:lang w:val="uk-UA"/>
        </w:rPr>
      </w:pPr>
      <w:r>
        <w:rPr>
          <w:rFonts w:ascii="Times New Roman" w:hAnsi="Times New Roman"/>
          <w:color w:val="000000"/>
          <w:w w:val="107"/>
          <w:sz w:val="26"/>
          <w:szCs w:val="26"/>
          <w:lang w:val="uk-UA"/>
        </w:rPr>
        <w:t xml:space="preserve">Конференцією ООН з навколишнього середовища і розвитку, що відбулася у Ріо-де-Жанейро у 1992 р. за участі глав, членів урядів і експертів 179 держав, представників багатьох неурядових організацій, наукових і ділових кіл, </w:t>
      </w:r>
      <w:r>
        <w:rPr>
          <w:rFonts w:ascii="Times New Roman" w:hAnsi="Times New Roman"/>
          <w:sz w:val="26"/>
          <w:szCs w:val="26"/>
          <w:lang w:val="uk-UA"/>
        </w:rPr>
        <w:t>офіційно прийнята концепція стійкого розвитку. На конференції затверджено ряд документів, які будувалися на концепції стійкого розвитку: “</w:t>
      </w:r>
      <w:r>
        <w:rPr>
          <w:rFonts w:ascii="Times New Roman" w:hAnsi="Times New Roman"/>
          <w:color w:val="000000"/>
          <w:w w:val="107"/>
          <w:sz w:val="26"/>
          <w:szCs w:val="26"/>
          <w:lang w:val="uk-UA"/>
        </w:rPr>
        <w:t xml:space="preserve">Декларація Ріо з навколишнього середовища і розвитку”; “Заява про принципи глобального консенсусу з управління, збереження і стійкого розвитку всіх видів лісів”; “Порядок денний на XXI століття”; “Рамкова конвенція про зміну клімату”; “Конвенція про біологічне різноманіття”. </w:t>
      </w:r>
    </w:p>
    <w:p w14:paraId="78EFF33D"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w w:val="107"/>
          <w:sz w:val="26"/>
          <w:szCs w:val="26"/>
          <w:lang w:val="uk-UA"/>
        </w:rPr>
      </w:pPr>
      <w:r>
        <w:rPr>
          <w:rFonts w:ascii="Times New Roman" w:hAnsi="Times New Roman"/>
          <w:color w:val="000000"/>
          <w:w w:val="107"/>
          <w:sz w:val="26"/>
          <w:szCs w:val="26"/>
          <w:lang w:val="uk-UA"/>
        </w:rPr>
        <w:t>Факт такої зустрічі свідчив про те, що людство поступово починає усвідомлювати серйозність екологічних проблем, але цілі, поставлені в Ріо, за переконанням Д. Медоуза, Й. Рандерса, Д. Медоуз</w:t>
      </w:r>
      <w:r>
        <w:rPr>
          <w:rFonts w:ascii="Times New Roman" w:hAnsi="Times New Roman"/>
          <w:color w:val="000000"/>
          <w:w w:val="107"/>
          <w:sz w:val="26"/>
          <w:szCs w:val="26"/>
          <w:vertAlign w:val="superscript"/>
          <w:lang w:val="uk-UA"/>
        </w:rPr>
        <w:endnoteReference w:id="10"/>
      </w:r>
      <w:r>
        <w:rPr>
          <w:rFonts w:ascii="Times New Roman" w:hAnsi="Times New Roman"/>
          <w:color w:val="000000"/>
          <w:w w:val="107"/>
          <w:sz w:val="26"/>
          <w:szCs w:val="26"/>
          <w:lang w:val="uk-UA"/>
        </w:rPr>
        <w:t>, так і не були досягнуті.</w:t>
      </w:r>
    </w:p>
    <w:p w14:paraId="28536F30"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z w:val="26"/>
          <w:szCs w:val="26"/>
          <w:lang w:val="uk-UA"/>
        </w:rPr>
      </w:pPr>
      <w:r>
        <w:rPr>
          <w:rFonts w:ascii="Times New Roman" w:hAnsi="Times New Roman"/>
          <w:color w:val="000000"/>
          <w:w w:val="107"/>
          <w:sz w:val="26"/>
          <w:szCs w:val="26"/>
          <w:lang w:val="uk-UA"/>
        </w:rPr>
        <w:t>В основі діяльності Міжнародної комісії покладена концепція стійкого розвитку, якою задекларовано вимогу справедливого розподілу благ між поколіннями, вона є стимулом для подальшого розвитку економічної думки. Дейлі Г.Е.</w:t>
      </w:r>
      <w:r>
        <w:rPr>
          <w:rFonts w:ascii="Times New Roman" w:hAnsi="Times New Roman"/>
          <w:color w:val="000000"/>
          <w:w w:val="107"/>
          <w:sz w:val="26"/>
          <w:szCs w:val="26"/>
          <w:vertAlign w:val="superscript"/>
          <w:lang w:val="uk-UA"/>
        </w:rPr>
        <w:endnoteReference w:id="11"/>
      </w:r>
      <w:r>
        <w:rPr>
          <w:rFonts w:ascii="Times New Roman" w:hAnsi="Times New Roman"/>
          <w:color w:val="000000"/>
          <w:w w:val="107"/>
          <w:sz w:val="26"/>
          <w:szCs w:val="26"/>
          <w:lang w:val="uk-UA"/>
        </w:rPr>
        <w:t xml:space="preserve"> зазначає, що для забезпечення стійкого розвитку</w:t>
      </w:r>
      <w:r>
        <w:rPr>
          <w:rFonts w:ascii="Times New Roman" w:hAnsi="Times New Roman"/>
          <w:color w:val="000000"/>
          <w:sz w:val="26"/>
          <w:szCs w:val="26"/>
          <w:lang w:val="uk-UA"/>
        </w:rPr>
        <w:t xml:space="preserve"> необхідні значні зміни в економічному мисленні та політиці. Автор пропонує відмовитись від розуміння економіки тільки як кругообороту товарів і доходів, а також враховувати матеріально-енергетичний потік, який дозволив встановити, що економіка є повністю залежною підсистемою природної системи. Максимальний розмір економіки обмежений материнською природною системою. Економічне зростання за таких умов забезпечується тільки за рахунок використання функцій природи, які раніше не використовувалися, що і забезпечить стійкість такого зростання.</w:t>
      </w:r>
    </w:p>
    <w:p w14:paraId="23DD3A03"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 xml:space="preserve">Концепція стійкого розвитку має три складові: екологічну, економічну та соціальну (рис. 1.1). </w:t>
      </w:r>
    </w:p>
    <w:p w14:paraId="7E8AB2AE" w14:textId="4C577FB6" w:rsidR="001125D0" w:rsidRDefault="001125D0" w:rsidP="001125D0">
      <w:pPr>
        <w:autoSpaceDE w:val="0"/>
        <w:autoSpaceDN w:val="0"/>
        <w:adjustRightInd w:val="0"/>
        <w:spacing w:after="0" w:line="240" w:lineRule="auto"/>
        <w:jc w:val="center"/>
        <w:rPr>
          <w:rFonts w:ascii="Times New Roman" w:hAnsi="Times New Roman"/>
          <w:color w:val="000000"/>
          <w:sz w:val="26"/>
          <w:szCs w:val="26"/>
          <w:lang w:val="uk-UA"/>
        </w:rPr>
      </w:pPr>
      <w:r>
        <w:rPr>
          <w:noProof/>
          <w14:ligatures w14:val="standardContextual"/>
        </w:rPr>
        <w:drawing>
          <wp:inline distT="0" distB="0" distL="0" distR="0" wp14:anchorId="53CB3ACA" wp14:editId="12EF084A">
            <wp:extent cx="5773897" cy="2842260"/>
            <wp:effectExtent l="0" t="0" r="0" b="0"/>
            <wp:docPr id="17792632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63223" name=""/>
                    <pic:cNvPicPr/>
                  </pic:nvPicPr>
                  <pic:blipFill rotWithShape="1">
                    <a:blip r:embed="rId10"/>
                    <a:srcRect l="40534" t="22348" r="18033" b="41392"/>
                    <a:stretch/>
                  </pic:blipFill>
                  <pic:spPr bwMode="auto">
                    <a:xfrm>
                      <a:off x="0" y="0"/>
                      <a:ext cx="5783257" cy="2846867"/>
                    </a:xfrm>
                    <a:prstGeom prst="rect">
                      <a:avLst/>
                    </a:prstGeom>
                    <a:ln>
                      <a:noFill/>
                    </a:ln>
                    <a:extLst>
                      <a:ext uri="{53640926-AAD7-44D8-BBD7-CCE9431645EC}">
                        <a14:shadowObscured xmlns:a14="http://schemas.microsoft.com/office/drawing/2010/main"/>
                      </a:ext>
                    </a:extLst>
                  </pic:spPr>
                </pic:pic>
              </a:graphicData>
            </a:graphic>
          </wp:inline>
        </w:drawing>
      </w:r>
    </w:p>
    <w:p w14:paraId="79075A0E" w14:textId="4351A8BA" w:rsidR="001125D0" w:rsidRDefault="001125D0" w:rsidP="001125D0">
      <w:pPr>
        <w:autoSpaceDE w:val="0"/>
        <w:autoSpaceDN w:val="0"/>
        <w:adjustRightInd w:val="0"/>
        <w:spacing w:after="0" w:line="240" w:lineRule="auto"/>
        <w:jc w:val="both"/>
        <w:rPr>
          <w:rFonts w:ascii="Times New Roman" w:hAnsi="Times New Roman"/>
          <w:color w:val="000000"/>
          <w:sz w:val="26"/>
          <w:szCs w:val="26"/>
          <w:lang w:val="uk-UA"/>
        </w:rPr>
      </w:pPr>
    </w:p>
    <w:p w14:paraId="4764E8EC" w14:textId="2EC2AF81" w:rsidR="001125D0" w:rsidRDefault="001125D0" w:rsidP="001125D0">
      <w:pPr>
        <w:autoSpaceDE w:val="0"/>
        <w:autoSpaceDN w:val="0"/>
        <w:adjustRightInd w:val="0"/>
        <w:spacing w:after="0" w:line="240" w:lineRule="auto"/>
        <w:ind w:firstLine="567"/>
        <w:jc w:val="center"/>
        <w:rPr>
          <w:rFonts w:ascii="Times New Roman" w:hAnsi="Times New Roman"/>
          <w:i/>
          <w:color w:val="000000"/>
          <w:sz w:val="26"/>
          <w:szCs w:val="26"/>
          <w:lang w:val="uk-UA"/>
        </w:rPr>
      </w:pPr>
      <w:r>
        <w:rPr>
          <w:rFonts w:ascii="Times New Roman" w:hAnsi="Times New Roman"/>
          <w:i/>
          <w:color w:val="000000"/>
          <w:sz w:val="26"/>
          <w:szCs w:val="26"/>
          <w:lang w:val="uk-UA"/>
        </w:rPr>
        <w:t xml:space="preserve">Рис. 1.1. Реалізація складових стійкого розвитку </w:t>
      </w:r>
    </w:p>
    <w:p w14:paraId="3C231173" w14:textId="77777777" w:rsidR="001125D0" w:rsidRDefault="001125D0" w:rsidP="001125D0">
      <w:pPr>
        <w:autoSpaceDE w:val="0"/>
        <w:autoSpaceDN w:val="0"/>
        <w:adjustRightInd w:val="0"/>
        <w:spacing w:after="0" w:line="240" w:lineRule="auto"/>
        <w:ind w:firstLine="567"/>
        <w:jc w:val="center"/>
        <w:rPr>
          <w:rFonts w:ascii="Times New Roman" w:hAnsi="Times New Roman"/>
          <w:color w:val="000000"/>
          <w:sz w:val="26"/>
          <w:szCs w:val="26"/>
          <w:lang w:val="uk-UA"/>
        </w:rPr>
      </w:pPr>
    </w:p>
    <w:p w14:paraId="054888F1"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 xml:space="preserve">Економічна складова концепції стійкого розвитку передбачає оптимальне використання обмежених ресурсів і впровадження екологічних – природо-, енерго- та матеріалозберігаючих – технологій, включаючи створення екологічно прийнятної </w:t>
      </w:r>
      <w:r>
        <w:rPr>
          <w:rFonts w:ascii="Times New Roman" w:hAnsi="Times New Roman"/>
          <w:color w:val="000000"/>
          <w:sz w:val="26"/>
          <w:szCs w:val="26"/>
          <w:lang w:val="uk-UA"/>
        </w:rPr>
        <w:lastRenderedPageBreak/>
        <w:t>продукції, мінімізацію, переробку та знищення відходів. Сутність економічної складової полягає у забезпеченні стійкого використання природного капіталу, тобто у його “непроїданні”. Виходячи з вищевикладеного, можна виділити такі види стійкості: а) слабка – при незмінній величині природного капіталу зростає чисельність населення; б) сильна – зростаюча або стабільна величина природного капіталу на душу населення.</w:t>
      </w:r>
    </w:p>
    <w:p w14:paraId="4ABA4BE8"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Одним з інструментів реалізації економічної складової є бухгалтерський облік як інформаційна система, що забезпечує формування інформації про природний капітал суспільства. В бухгалтерському обліку фіксуються господарські операції підприємства, що здійснюються з використанням природних ресурсів або призводять до екологічних наслідків.</w:t>
      </w:r>
    </w:p>
    <w:p w14:paraId="67FEF29F"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Соціальна складова – направлена на забезпечення стабільності соціальних і культурних систем через справедливий розподіл благ не тільки всередині одного покоління, а й між поколіннями. Роль бухгалтерського обліку у реалізації соціальної складової полягає в інформаційному забезпеченні прийняття рішень щодо справедливого розподілу благ.</w:t>
      </w:r>
    </w:p>
    <w:p w14:paraId="3AAEBAD1"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Екологічна складова покликана забезпечити цілісність біологічних і фізичних природних систем через збереження здібностей до самовідновлення та динамічної адаптації таких систем до змін. Інформаційним джерелом щодо кількості та якості природних систем на мікроекономічному рівні може бути система бухгалтерського обліку.</w:t>
      </w:r>
    </w:p>
    <w:p w14:paraId="5C41C3D5"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Недооцінка будь-якої зі складових концепції стійкого розвитку може призвести до негативних наслідків. Наприклад, активний розвиток економіки країни при слабкому розвитку екологічного та соціального напрямів спричиняє порушення умов стійкого розвитку. Адже неможливо забезпечити покращення умов життя, якщо нарощування потужностей економіки не супроводжуватиметься зменшенням техногенних навантажень на людину і вирішенням соціальних проблем в житті суспільства. Суть концепції – одночасний розвиток трьох складових стійкого розвитку, тобто зростання економіки з одночасним покращенням екологічної ситуації та вирішенням соціальних питань.</w:t>
      </w:r>
    </w:p>
    <w:p w14:paraId="6202AF66"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pacing w:val="-4"/>
          <w:sz w:val="26"/>
          <w:szCs w:val="26"/>
          <w:lang w:val="uk-UA"/>
        </w:rPr>
      </w:pPr>
      <w:r>
        <w:rPr>
          <w:rFonts w:ascii="Times New Roman" w:hAnsi="Times New Roman"/>
          <w:color w:val="000000"/>
          <w:spacing w:val="-4"/>
          <w:sz w:val="26"/>
          <w:szCs w:val="26"/>
          <w:lang w:val="uk-UA"/>
        </w:rPr>
        <w:t xml:space="preserve">Важливі також і механізми взаємодії складових концепції (див. рис. 1.2). </w:t>
      </w:r>
    </w:p>
    <w:p w14:paraId="1C0FC0E9" w14:textId="2B38276F" w:rsidR="001125D0" w:rsidRDefault="001125D0" w:rsidP="001125D0">
      <w:pPr>
        <w:autoSpaceDE w:val="0"/>
        <w:autoSpaceDN w:val="0"/>
        <w:adjustRightInd w:val="0"/>
        <w:spacing w:after="0" w:line="240" w:lineRule="auto"/>
        <w:jc w:val="center"/>
        <w:rPr>
          <w:rFonts w:ascii="Times New Roman" w:hAnsi="Times New Roman"/>
          <w:color w:val="000000"/>
          <w:sz w:val="26"/>
          <w:szCs w:val="26"/>
          <w:lang w:val="uk-UA"/>
        </w:rPr>
      </w:pPr>
      <w:r>
        <w:rPr>
          <w:rFonts w:ascii="Times New Roman" w:hAnsi="Times New Roman"/>
          <w:noProof/>
          <w:color w:val="000000"/>
          <w:sz w:val="26"/>
          <w:szCs w:val="26"/>
          <w:lang w:val="uk-UA"/>
        </w:rPr>
        <mc:AlternateContent>
          <mc:Choice Requires="wpc">
            <w:drawing>
              <wp:inline distT="0" distB="0" distL="0" distR="0" wp14:anchorId="48A478AE" wp14:editId="6180F4B1">
                <wp:extent cx="5216525" cy="2480310"/>
                <wp:effectExtent l="0" t="0" r="3175" b="0"/>
                <wp:docPr id="823678494" name="Полотно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8246598" name="AutoShape 14"/>
                        <wps:cNvSpPr>
                          <a:spLocks noChangeArrowheads="1"/>
                        </wps:cNvSpPr>
                        <wps:spPr bwMode="auto">
                          <a:xfrm>
                            <a:off x="58420" y="1217930"/>
                            <a:ext cx="990600" cy="360045"/>
                          </a:xfrm>
                          <a:prstGeom prst="roundRect">
                            <a:avLst>
                              <a:gd name="adj" fmla="val 16667"/>
                            </a:avLst>
                          </a:prstGeom>
                          <a:solidFill>
                            <a:srgbClr val="FFFFFF"/>
                          </a:solidFill>
                          <a:ln w="9525">
                            <a:solidFill>
                              <a:srgbClr val="000000"/>
                            </a:solidFill>
                            <a:round/>
                            <a:headEnd/>
                            <a:tailEnd/>
                          </a:ln>
                        </wps:spPr>
                        <wps:txbx>
                          <w:txbxContent>
                            <w:p w14:paraId="2936186E" w14:textId="77777777" w:rsidR="001125D0" w:rsidRDefault="001125D0" w:rsidP="001125D0">
                              <w:pPr>
                                <w:spacing w:line="240" w:lineRule="auto"/>
                                <w:rPr>
                                  <w:rFonts w:ascii="Times New Roman" w:hAnsi="Times New Roman"/>
                                  <w:b/>
                                  <w:lang w:val="uk-UA"/>
                                </w:rPr>
                              </w:pPr>
                              <w:r>
                                <w:rPr>
                                  <w:rFonts w:ascii="Times New Roman" w:hAnsi="Times New Roman"/>
                                  <w:b/>
                                  <w:lang w:val="uk-UA"/>
                                </w:rPr>
                                <w:t>Соціальна</w:t>
                              </w:r>
                            </w:p>
                            <w:p w14:paraId="1B53F72D" w14:textId="77777777" w:rsidR="001125D0" w:rsidRDefault="001125D0" w:rsidP="001125D0">
                              <w:pPr>
                                <w:rPr>
                                  <w:rFonts w:ascii="Times New Roman" w:hAnsi="Times New Roman"/>
                                  <w:b/>
                                  <w:lang w:val="uk-UA"/>
                                </w:rPr>
                              </w:pPr>
                            </w:p>
                          </w:txbxContent>
                        </wps:txbx>
                        <wps:bodyPr rot="0" vert="horz" wrap="square" lIns="91440" tIns="45720" rIns="91440" bIns="45720" anchor="t" anchorCtr="0" upright="1">
                          <a:noAutofit/>
                        </wps:bodyPr>
                      </wps:wsp>
                      <wps:wsp>
                        <wps:cNvPr id="1511145074" name="AutoShape 15"/>
                        <wps:cNvSpPr>
                          <a:spLocks noChangeArrowheads="1"/>
                        </wps:cNvSpPr>
                        <wps:spPr bwMode="auto">
                          <a:xfrm>
                            <a:off x="1906905" y="46990"/>
                            <a:ext cx="1250315" cy="317500"/>
                          </a:xfrm>
                          <a:prstGeom prst="roundRect">
                            <a:avLst>
                              <a:gd name="adj" fmla="val 16667"/>
                            </a:avLst>
                          </a:prstGeom>
                          <a:solidFill>
                            <a:srgbClr val="FFFFFF"/>
                          </a:solidFill>
                          <a:ln w="9525">
                            <a:solidFill>
                              <a:srgbClr val="000000"/>
                            </a:solidFill>
                            <a:round/>
                            <a:headEnd/>
                            <a:tailEnd/>
                          </a:ln>
                        </wps:spPr>
                        <wps:txbx>
                          <w:txbxContent>
                            <w:p w14:paraId="0EE5D0DB" w14:textId="77777777" w:rsidR="001125D0" w:rsidRDefault="001125D0" w:rsidP="001125D0">
                              <w:pPr>
                                <w:spacing w:line="240" w:lineRule="auto"/>
                                <w:jc w:val="center"/>
                                <w:rPr>
                                  <w:rFonts w:ascii="Times New Roman" w:hAnsi="Times New Roman"/>
                                  <w:b/>
                                  <w:lang w:val="uk-UA"/>
                                </w:rPr>
                              </w:pPr>
                              <w:r>
                                <w:rPr>
                                  <w:rFonts w:ascii="Times New Roman" w:hAnsi="Times New Roman"/>
                                  <w:b/>
                                  <w:lang w:val="uk-UA"/>
                                </w:rPr>
                                <w:t>Економічна</w:t>
                              </w:r>
                            </w:p>
                            <w:p w14:paraId="218A0B72" w14:textId="77777777" w:rsidR="001125D0" w:rsidRDefault="001125D0" w:rsidP="001125D0">
                              <w:pPr>
                                <w:rPr>
                                  <w:rFonts w:ascii="Times New Roman" w:hAnsi="Times New Roman"/>
                                  <w:b/>
                                  <w:lang w:val="uk-UA"/>
                                </w:rPr>
                              </w:pPr>
                            </w:p>
                          </w:txbxContent>
                        </wps:txbx>
                        <wps:bodyPr rot="0" vert="horz" wrap="square" lIns="91440" tIns="45720" rIns="91440" bIns="45720" anchor="t" anchorCtr="0" upright="1">
                          <a:noAutofit/>
                        </wps:bodyPr>
                      </wps:wsp>
                      <wps:wsp>
                        <wps:cNvPr id="824875760" name="AutoShape 16"/>
                        <wps:cNvSpPr>
                          <a:spLocks noChangeArrowheads="1"/>
                        </wps:cNvSpPr>
                        <wps:spPr bwMode="auto">
                          <a:xfrm>
                            <a:off x="3919855" y="1249045"/>
                            <a:ext cx="1057910" cy="328930"/>
                          </a:xfrm>
                          <a:prstGeom prst="roundRect">
                            <a:avLst>
                              <a:gd name="adj" fmla="val 16667"/>
                            </a:avLst>
                          </a:prstGeom>
                          <a:solidFill>
                            <a:srgbClr val="FFFFFF"/>
                          </a:solidFill>
                          <a:ln w="9525">
                            <a:solidFill>
                              <a:srgbClr val="000000"/>
                            </a:solidFill>
                            <a:round/>
                            <a:headEnd/>
                            <a:tailEnd/>
                          </a:ln>
                        </wps:spPr>
                        <wps:txbx>
                          <w:txbxContent>
                            <w:p w14:paraId="5848C3EF" w14:textId="77777777" w:rsidR="001125D0" w:rsidRDefault="001125D0" w:rsidP="001125D0">
                              <w:pPr>
                                <w:spacing w:line="240" w:lineRule="auto"/>
                                <w:rPr>
                                  <w:rFonts w:ascii="Times New Roman" w:hAnsi="Times New Roman"/>
                                  <w:b/>
                                  <w:lang w:val="uk-UA"/>
                                </w:rPr>
                              </w:pPr>
                              <w:r>
                                <w:rPr>
                                  <w:rFonts w:ascii="Times New Roman" w:hAnsi="Times New Roman"/>
                                  <w:b/>
                                  <w:lang w:val="uk-UA"/>
                                </w:rPr>
                                <w:t>Екологічна</w:t>
                              </w:r>
                            </w:p>
                            <w:p w14:paraId="7A9192D2" w14:textId="77777777" w:rsidR="001125D0" w:rsidRDefault="001125D0" w:rsidP="001125D0">
                              <w:pPr>
                                <w:rPr>
                                  <w:rFonts w:ascii="Times New Roman" w:hAnsi="Times New Roman"/>
                                  <w:b/>
                                  <w:lang w:val="uk-UA"/>
                                </w:rPr>
                              </w:pPr>
                            </w:p>
                          </w:txbxContent>
                        </wps:txbx>
                        <wps:bodyPr rot="0" vert="horz" wrap="square" lIns="91440" tIns="45720" rIns="91440" bIns="45720" anchor="t" anchorCtr="0" upright="1">
                          <a:noAutofit/>
                        </wps:bodyPr>
                      </wps:wsp>
                      <wps:wsp>
                        <wps:cNvPr id="1220125668" name="Arc 17"/>
                        <wps:cNvSpPr>
                          <a:spLocks/>
                        </wps:cNvSpPr>
                        <wps:spPr bwMode="auto">
                          <a:xfrm rot="10800000" flipV="1">
                            <a:off x="565150" y="220345"/>
                            <a:ext cx="1344295" cy="1315720"/>
                          </a:xfrm>
                          <a:custGeom>
                            <a:avLst/>
                            <a:gdLst>
                              <a:gd name="G0" fmla="+- 34 0 0"/>
                              <a:gd name="G1" fmla="+- 21600 0 0"/>
                              <a:gd name="G2" fmla="+- 21600 0 0"/>
                              <a:gd name="T0" fmla="*/ 0 w 20966"/>
                              <a:gd name="T1" fmla="*/ 0 h 21600"/>
                              <a:gd name="T2" fmla="*/ 20966 w 20966"/>
                              <a:gd name="T3" fmla="*/ 16270 h 21600"/>
                              <a:gd name="T4" fmla="*/ 34 w 20966"/>
                              <a:gd name="T5" fmla="*/ 21600 h 21600"/>
                            </a:gdLst>
                            <a:ahLst/>
                            <a:cxnLst>
                              <a:cxn ang="0">
                                <a:pos x="T0" y="T1"/>
                              </a:cxn>
                              <a:cxn ang="0">
                                <a:pos x="T2" y="T3"/>
                              </a:cxn>
                              <a:cxn ang="0">
                                <a:pos x="T4" y="T5"/>
                              </a:cxn>
                            </a:cxnLst>
                            <a:rect l="0" t="0" r="r" b="b"/>
                            <a:pathLst>
                              <a:path w="20966" h="21600" fill="none" extrusionOk="0">
                                <a:moveTo>
                                  <a:pt x="0" y="0"/>
                                </a:moveTo>
                                <a:cubicBezTo>
                                  <a:pt x="11" y="0"/>
                                  <a:pt x="22" y="0"/>
                                  <a:pt x="34" y="0"/>
                                </a:cubicBezTo>
                                <a:cubicBezTo>
                                  <a:pt x="9910" y="0"/>
                                  <a:pt x="18528" y="6698"/>
                                  <a:pt x="20966" y="16269"/>
                                </a:cubicBezTo>
                              </a:path>
                              <a:path w="20966" h="21600" stroke="0" extrusionOk="0">
                                <a:moveTo>
                                  <a:pt x="0" y="0"/>
                                </a:moveTo>
                                <a:cubicBezTo>
                                  <a:pt x="11" y="0"/>
                                  <a:pt x="22" y="0"/>
                                  <a:pt x="34" y="0"/>
                                </a:cubicBezTo>
                                <a:cubicBezTo>
                                  <a:pt x="9910" y="0"/>
                                  <a:pt x="18528" y="6698"/>
                                  <a:pt x="20966" y="16269"/>
                                </a:cubicBezTo>
                                <a:lnTo>
                                  <a:pt x="34" y="21600"/>
                                </a:lnTo>
                                <a:close/>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163040" name="Arc 18"/>
                        <wps:cNvSpPr>
                          <a:spLocks/>
                        </wps:cNvSpPr>
                        <wps:spPr bwMode="auto">
                          <a:xfrm rot="16200000" flipV="1">
                            <a:off x="3098800" y="267335"/>
                            <a:ext cx="1384935" cy="1278890"/>
                          </a:xfrm>
                          <a:custGeom>
                            <a:avLst/>
                            <a:gdLst>
                              <a:gd name="G0" fmla="+- 0 0 0"/>
                              <a:gd name="G1" fmla="+- 20871 0 0"/>
                              <a:gd name="G2" fmla="+- 21600 0 0"/>
                              <a:gd name="T0" fmla="*/ 5565 w 21600"/>
                              <a:gd name="T1" fmla="*/ 0 h 20983"/>
                              <a:gd name="T2" fmla="*/ 21600 w 21600"/>
                              <a:gd name="T3" fmla="*/ 20983 h 20983"/>
                              <a:gd name="T4" fmla="*/ 0 w 21600"/>
                              <a:gd name="T5" fmla="*/ 20871 h 20983"/>
                            </a:gdLst>
                            <a:ahLst/>
                            <a:cxnLst>
                              <a:cxn ang="0">
                                <a:pos x="T0" y="T1"/>
                              </a:cxn>
                              <a:cxn ang="0">
                                <a:pos x="T2" y="T3"/>
                              </a:cxn>
                              <a:cxn ang="0">
                                <a:pos x="T4" y="T5"/>
                              </a:cxn>
                            </a:cxnLst>
                            <a:rect l="0" t="0" r="r" b="b"/>
                            <a:pathLst>
                              <a:path w="21600" h="20983" fill="none" extrusionOk="0">
                                <a:moveTo>
                                  <a:pt x="5564" y="0"/>
                                </a:moveTo>
                                <a:cubicBezTo>
                                  <a:pt x="15020" y="2521"/>
                                  <a:pt x="21600" y="11084"/>
                                  <a:pt x="21600" y="20871"/>
                                </a:cubicBezTo>
                                <a:cubicBezTo>
                                  <a:pt x="21600" y="20908"/>
                                  <a:pt x="21599" y="20945"/>
                                  <a:pt x="21599" y="20982"/>
                                </a:cubicBezTo>
                              </a:path>
                              <a:path w="21600" h="20983" stroke="0" extrusionOk="0">
                                <a:moveTo>
                                  <a:pt x="5564" y="0"/>
                                </a:moveTo>
                                <a:cubicBezTo>
                                  <a:pt x="15020" y="2521"/>
                                  <a:pt x="21600" y="11084"/>
                                  <a:pt x="21600" y="20871"/>
                                </a:cubicBezTo>
                                <a:cubicBezTo>
                                  <a:pt x="21600" y="20908"/>
                                  <a:pt x="21599" y="20945"/>
                                  <a:pt x="21599" y="20982"/>
                                </a:cubicBezTo>
                                <a:lnTo>
                                  <a:pt x="0" y="20871"/>
                                </a:lnTo>
                                <a:close/>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951823" name="AutoShape 19"/>
                        <wps:cNvSpPr>
                          <a:spLocks noChangeArrowheads="1"/>
                        </wps:cNvSpPr>
                        <wps:spPr bwMode="auto">
                          <a:xfrm>
                            <a:off x="77470" y="562610"/>
                            <a:ext cx="2216150" cy="468630"/>
                          </a:xfrm>
                          <a:prstGeom prst="roundRect">
                            <a:avLst>
                              <a:gd name="adj" fmla="val 16667"/>
                            </a:avLst>
                          </a:prstGeom>
                          <a:solidFill>
                            <a:srgbClr val="FFFFFF"/>
                          </a:solidFill>
                          <a:ln w="9525">
                            <a:solidFill>
                              <a:srgbClr val="000000"/>
                            </a:solidFill>
                            <a:prstDash val="dash"/>
                            <a:round/>
                            <a:headEnd/>
                            <a:tailEnd/>
                          </a:ln>
                        </wps:spPr>
                        <wps:txbx>
                          <w:txbxContent>
                            <w:p w14:paraId="33A09663" w14:textId="77777777" w:rsidR="001125D0" w:rsidRDefault="001125D0" w:rsidP="001125D0">
                              <w:pPr>
                                <w:spacing w:line="240" w:lineRule="auto"/>
                                <w:jc w:val="both"/>
                                <w:rPr>
                                  <w:rFonts w:ascii="Times New Roman" w:hAnsi="Times New Roman"/>
                                  <w:i/>
                                  <w:lang w:val="uk-UA"/>
                                </w:rPr>
                              </w:pPr>
                              <w:r>
                                <w:rPr>
                                  <w:rFonts w:ascii="Times New Roman" w:hAnsi="Times New Roman"/>
                                  <w:i/>
                                  <w:lang w:val="uk-UA"/>
                                </w:rPr>
                                <w:t>Досягнення справедливості, допомога бідним</w:t>
                              </w:r>
                            </w:p>
                            <w:p w14:paraId="32B6323A" w14:textId="77777777" w:rsidR="001125D0" w:rsidRDefault="001125D0" w:rsidP="001125D0">
                              <w:pPr>
                                <w:rPr>
                                  <w:rFonts w:ascii="Times New Roman" w:hAnsi="Times New Roman"/>
                                  <w:i/>
                                  <w:lang w:val="uk-UA"/>
                                </w:rPr>
                              </w:pPr>
                            </w:p>
                          </w:txbxContent>
                        </wps:txbx>
                        <wps:bodyPr rot="0" vert="horz" wrap="square" lIns="91440" tIns="45720" rIns="91440" bIns="45720" anchor="t" anchorCtr="0" upright="1">
                          <a:noAutofit/>
                        </wps:bodyPr>
                      </wps:wsp>
                      <wps:wsp>
                        <wps:cNvPr id="1218435236" name="AutoShape 20"/>
                        <wps:cNvSpPr>
                          <a:spLocks noChangeArrowheads="1"/>
                        </wps:cNvSpPr>
                        <wps:spPr bwMode="auto">
                          <a:xfrm>
                            <a:off x="1106170" y="1755140"/>
                            <a:ext cx="2724150" cy="654050"/>
                          </a:xfrm>
                          <a:prstGeom prst="roundRect">
                            <a:avLst>
                              <a:gd name="adj" fmla="val 16667"/>
                            </a:avLst>
                          </a:prstGeom>
                          <a:solidFill>
                            <a:srgbClr val="FFFFFF"/>
                          </a:solidFill>
                          <a:ln w="9525">
                            <a:solidFill>
                              <a:srgbClr val="000000"/>
                            </a:solidFill>
                            <a:prstDash val="dash"/>
                            <a:round/>
                            <a:headEnd/>
                            <a:tailEnd/>
                          </a:ln>
                        </wps:spPr>
                        <wps:txbx>
                          <w:txbxContent>
                            <w:p w14:paraId="439C012A" w14:textId="77777777" w:rsidR="001125D0" w:rsidRDefault="001125D0" w:rsidP="001125D0">
                              <w:pPr>
                                <w:spacing w:line="240" w:lineRule="auto"/>
                                <w:jc w:val="both"/>
                                <w:rPr>
                                  <w:rFonts w:ascii="Times New Roman" w:hAnsi="Times New Roman"/>
                                  <w:i/>
                                  <w:lang w:val="uk-UA"/>
                                </w:rPr>
                              </w:pPr>
                              <w:r>
                                <w:rPr>
                                  <w:rFonts w:ascii="Times New Roman" w:hAnsi="Times New Roman"/>
                                  <w:i/>
                                  <w:lang w:val="uk-UA"/>
                                </w:rPr>
                                <w:t>Рівність всередині поколінь, забезпечення прав майбутніх поколінь, участь суспільства у прийнятті рішень</w:t>
                              </w:r>
                            </w:p>
                            <w:p w14:paraId="52E58C96" w14:textId="77777777" w:rsidR="001125D0" w:rsidRDefault="001125D0" w:rsidP="001125D0">
                              <w:pPr>
                                <w:rPr>
                                  <w:rFonts w:ascii="Times New Roman" w:hAnsi="Times New Roman"/>
                                  <w:i/>
                                  <w:lang w:val="uk-UA"/>
                                </w:rPr>
                              </w:pPr>
                            </w:p>
                          </w:txbxContent>
                        </wps:txbx>
                        <wps:bodyPr rot="0" vert="horz" wrap="square" lIns="91440" tIns="45720" rIns="91440" bIns="45720" anchor="t" anchorCtr="0" upright="1">
                          <a:noAutofit/>
                        </wps:bodyPr>
                      </wps:wsp>
                      <wps:wsp>
                        <wps:cNvPr id="1885507385" name="AutoShape 21"/>
                        <wps:cNvSpPr>
                          <a:spLocks noChangeArrowheads="1"/>
                        </wps:cNvSpPr>
                        <wps:spPr bwMode="auto">
                          <a:xfrm>
                            <a:off x="2674620" y="472440"/>
                            <a:ext cx="2476500" cy="628650"/>
                          </a:xfrm>
                          <a:prstGeom prst="roundRect">
                            <a:avLst>
                              <a:gd name="adj" fmla="val 16667"/>
                            </a:avLst>
                          </a:prstGeom>
                          <a:solidFill>
                            <a:srgbClr val="FFFFFF"/>
                          </a:solidFill>
                          <a:ln w="9525">
                            <a:solidFill>
                              <a:srgbClr val="000000"/>
                            </a:solidFill>
                            <a:prstDash val="dash"/>
                            <a:round/>
                            <a:headEnd/>
                            <a:tailEnd/>
                          </a:ln>
                        </wps:spPr>
                        <wps:txbx>
                          <w:txbxContent>
                            <w:p w14:paraId="393D1032" w14:textId="77777777" w:rsidR="001125D0" w:rsidRDefault="001125D0" w:rsidP="001125D0">
                              <w:pPr>
                                <w:spacing w:line="240" w:lineRule="auto"/>
                                <w:jc w:val="both"/>
                                <w:rPr>
                                  <w:rFonts w:ascii="Times New Roman" w:hAnsi="Times New Roman"/>
                                  <w:i/>
                                  <w:lang w:val="uk-UA"/>
                                </w:rPr>
                              </w:pPr>
                              <w:r>
                                <w:rPr>
                                  <w:rFonts w:ascii="Times New Roman" w:hAnsi="Times New Roman"/>
                                  <w:i/>
                                  <w:lang w:val="uk-UA"/>
                                </w:rPr>
                                <w:t>Вартісна оцінка й інтерналізація впливів на навколишнє природне середовище</w:t>
                              </w:r>
                            </w:p>
                            <w:p w14:paraId="76A32A79" w14:textId="77777777" w:rsidR="001125D0" w:rsidRDefault="001125D0" w:rsidP="001125D0">
                              <w:pPr>
                                <w:rPr>
                                  <w:rFonts w:ascii="Times New Roman" w:hAnsi="Times New Roman"/>
                                  <w:i/>
                                  <w:lang w:val="uk-UA"/>
                                </w:rPr>
                              </w:pPr>
                            </w:p>
                          </w:txbxContent>
                        </wps:txbx>
                        <wps:bodyPr rot="0" vert="horz" wrap="square" lIns="91440" tIns="45720" rIns="91440" bIns="45720" anchor="t" anchorCtr="0" upright="1">
                          <a:noAutofit/>
                        </wps:bodyPr>
                      </wps:wsp>
                      <wps:wsp>
                        <wps:cNvPr id="1857525200" name="Arc 22"/>
                        <wps:cNvSpPr>
                          <a:spLocks/>
                        </wps:cNvSpPr>
                        <wps:spPr bwMode="auto">
                          <a:xfrm rot="10800000">
                            <a:off x="551815" y="1330325"/>
                            <a:ext cx="554355" cy="812165"/>
                          </a:xfrm>
                          <a:custGeom>
                            <a:avLst/>
                            <a:gdLst>
                              <a:gd name="G0" fmla="+- 0 0 0"/>
                              <a:gd name="G1" fmla="+- 21600 0 0"/>
                              <a:gd name="G2" fmla="+- 21600 0 0"/>
                              <a:gd name="T0" fmla="*/ 0 w 20495"/>
                              <a:gd name="T1" fmla="*/ 0 h 21600"/>
                              <a:gd name="T2" fmla="*/ 20495 w 20495"/>
                              <a:gd name="T3" fmla="*/ 14780 h 21600"/>
                              <a:gd name="T4" fmla="*/ 0 w 20495"/>
                              <a:gd name="T5" fmla="*/ 21600 h 21600"/>
                            </a:gdLst>
                            <a:ahLst/>
                            <a:cxnLst>
                              <a:cxn ang="0">
                                <a:pos x="T0" y="T1"/>
                              </a:cxn>
                              <a:cxn ang="0">
                                <a:pos x="T2" y="T3"/>
                              </a:cxn>
                              <a:cxn ang="0">
                                <a:pos x="T4" y="T5"/>
                              </a:cxn>
                            </a:cxnLst>
                            <a:rect l="0" t="0" r="r" b="b"/>
                            <a:pathLst>
                              <a:path w="20495" h="21600" fill="none" extrusionOk="0">
                                <a:moveTo>
                                  <a:pt x="0" y="0"/>
                                </a:moveTo>
                                <a:cubicBezTo>
                                  <a:pt x="9301" y="0"/>
                                  <a:pt x="17558" y="5954"/>
                                  <a:pt x="20495" y="14779"/>
                                </a:cubicBezTo>
                              </a:path>
                              <a:path w="20495" h="21600" stroke="0" extrusionOk="0">
                                <a:moveTo>
                                  <a:pt x="0" y="0"/>
                                </a:moveTo>
                                <a:cubicBezTo>
                                  <a:pt x="9301" y="0"/>
                                  <a:pt x="17558" y="5954"/>
                                  <a:pt x="20495" y="14779"/>
                                </a:cubicBezTo>
                                <a:lnTo>
                                  <a:pt x="0"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1067780" name="Arc 23"/>
                        <wps:cNvSpPr>
                          <a:spLocks/>
                        </wps:cNvSpPr>
                        <wps:spPr bwMode="auto">
                          <a:xfrm rot="10800000" flipH="1">
                            <a:off x="3829685" y="1304925"/>
                            <a:ext cx="599440" cy="812165"/>
                          </a:xfrm>
                          <a:custGeom>
                            <a:avLst/>
                            <a:gdLst>
                              <a:gd name="G0" fmla="+- 27 0 0"/>
                              <a:gd name="G1" fmla="+- 21600 0 0"/>
                              <a:gd name="G2" fmla="+- 21600 0 0"/>
                              <a:gd name="T0" fmla="*/ 0 w 20141"/>
                              <a:gd name="T1" fmla="*/ 0 h 21600"/>
                              <a:gd name="T2" fmla="*/ 20141 w 20141"/>
                              <a:gd name="T3" fmla="*/ 13727 h 21600"/>
                              <a:gd name="T4" fmla="*/ 27 w 20141"/>
                              <a:gd name="T5" fmla="*/ 21600 h 21600"/>
                            </a:gdLst>
                            <a:ahLst/>
                            <a:cxnLst>
                              <a:cxn ang="0">
                                <a:pos x="T0" y="T1"/>
                              </a:cxn>
                              <a:cxn ang="0">
                                <a:pos x="T2" y="T3"/>
                              </a:cxn>
                              <a:cxn ang="0">
                                <a:pos x="T4" y="T5"/>
                              </a:cxn>
                            </a:cxnLst>
                            <a:rect l="0" t="0" r="r" b="b"/>
                            <a:pathLst>
                              <a:path w="20141" h="21600" fill="none" extrusionOk="0">
                                <a:moveTo>
                                  <a:pt x="0" y="0"/>
                                </a:moveTo>
                                <a:cubicBezTo>
                                  <a:pt x="9" y="0"/>
                                  <a:pt x="18" y="0"/>
                                  <a:pt x="27" y="0"/>
                                </a:cubicBezTo>
                                <a:cubicBezTo>
                                  <a:pt x="8917" y="0"/>
                                  <a:pt x="16900" y="5447"/>
                                  <a:pt x="20141" y="13726"/>
                                </a:cubicBezTo>
                              </a:path>
                              <a:path w="20141" h="21600" stroke="0" extrusionOk="0">
                                <a:moveTo>
                                  <a:pt x="0" y="0"/>
                                </a:moveTo>
                                <a:cubicBezTo>
                                  <a:pt x="9" y="0"/>
                                  <a:pt x="18" y="0"/>
                                  <a:pt x="27" y="0"/>
                                </a:cubicBezTo>
                                <a:cubicBezTo>
                                  <a:pt x="8917" y="0"/>
                                  <a:pt x="16900" y="5447"/>
                                  <a:pt x="20141" y="13726"/>
                                </a:cubicBezTo>
                                <a:lnTo>
                                  <a:pt x="27"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8A478AE" id="Полотно 8" o:spid="_x0000_s1030" editas="canvas" style="width:410.75pt;height:195.3pt;mso-position-horizontal-relative:char;mso-position-vertical-relative:line" coordsize="52165,24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">
                <v:shape id="_x0000_s1031" type="#_x0000_t75" style="position:absolute;width:52165;height:24803;visibility:visible;mso-wrap-style:square">
                  <v:fill o:detectmouseclick="t"/>
                  <v:path o:connecttype="none"/>
                </v:shape>
                <v:roundrect id="AutoShape 14" o:spid="_x0000_s1032" style="position:absolute;left:584;top:12179;width:9906;height:3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">
                  <v:textbox>
                    <w:txbxContent>
                      <w:p w14:paraId="2936186E" w14:textId="77777777" w:rsidR="001125D0" w:rsidRDefault="001125D0" w:rsidP="001125D0">
                        <w:pPr>
                          <w:spacing w:line="240" w:lineRule="auto"/>
                          <w:rPr>
                            <w:rFonts w:ascii="Times New Roman" w:hAnsi="Times New Roman"/>
                            <w:b/>
                            <w:lang w:val="uk-UA"/>
                          </w:rPr>
                        </w:pPr>
                        <w:r>
                          <w:rPr>
                            <w:rFonts w:ascii="Times New Roman" w:hAnsi="Times New Roman"/>
                            <w:b/>
                            <w:lang w:val="uk-UA"/>
                          </w:rPr>
                          <w:t>Соціальна</w:t>
                        </w:r>
                      </w:p>
                      <w:p w14:paraId="1B53F72D" w14:textId="77777777" w:rsidR="001125D0" w:rsidRDefault="001125D0" w:rsidP="001125D0">
                        <w:pPr>
                          <w:rPr>
                            <w:rFonts w:ascii="Times New Roman" w:hAnsi="Times New Roman"/>
                            <w:b/>
                            <w:lang w:val="uk-UA"/>
                          </w:rPr>
                        </w:pPr>
                      </w:p>
                    </w:txbxContent>
                  </v:textbox>
                </v:roundrect>
                <v:roundrect id="AutoShape 15" o:spid="_x0000_s1033" style="position:absolute;left:19069;top:469;width:12503;height:3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">
                  <v:textbox>
                    <w:txbxContent>
                      <w:p w14:paraId="0EE5D0DB" w14:textId="77777777" w:rsidR="001125D0" w:rsidRDefault="001125D0" w:rsidP="001125D0">
                        <w:pPr>
                          <w:spacing w:line="240" w:lineRule="auto"/>
                          <w:jc w:val="center"/>
                          <w:rPr>
                            <w:rFonts w:ascii="Times New Roman" w:hAnsi="Times New Roman"/>
                            <w:b/>
                            <w:lang w:val="uk-UA"/>
                          </w:rPr>
                        </w:pPr>
                        <w:r>
                          <w:rPr>
                            <w:rFonts w:ascii="Times New Roman" w:hAnsi="Times New Roman"/>
                            <w:b/>
                            <w:lang w:val="uk-UA"/>
                          </w:rPr>
                          <w:t>Економічна</w:t>
                        </w:r>
                      </w:p>
                      <w:p w14:paraId="218A0B72" w14:textId="77777777" w:rsidR="001125D0" w:rsidRDefault="001125D0" w:rsidP="001125D0">
                        <w:pPr>
                          <w:rPr>
                            <w:rFonts w:ascii="Times New Roman" w:hAnsi="Times New Roman"/>
                            <w:b/>
                            <w:lang w:val="uk-UA"/>
                          </w:rPr>
                        </w:pPr>
                      </w:p>
                    </w:txbxContent>
                  </v:textbox>
                </v:roundrect>
                <v:roundrect id="AutoShape 16" o:spid="_x0000_s1034" style="position:absolute;left:39198;top:12490;width:10579;height:32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">
                  <v:textbox>
                    <w:txbxContent>
                      <w:p w14:paraId="5848C3EF" w14:textId="77777777" w:rsidR="001125D0" w:rsidRDefault="001125D0" w:rsidP="001125D0">
                        <w:pPr>
                          <w:spacing w:line="240" w:lineRule="auto"/>
                          <w:rPr>
                            <w:rFonts w:ascii="Times New Roman" w:hAnsi="Times New Roman"/>
                            <w:b/>
                            <w:lang w:val="uk-UA"/>
                          </w:rPr>
                        </w:pPr>
                        <w:r>
                          <w:rPr>
                            <w:rFonts w:ascii="Times New Roman" w:hAnsi="Times New Roman"/>
                            <w:b/>
                            <w:lang w:val="uk-UA"/>
                          </w:rPr>
                          <w:t>Екологічна</w:t>
                        </w:r>
                      </w:p>
                      <w:p w14:paraId="7A9192D2" w14:textId="77777777" w:rsidR="001125D0" w:rsidRDefault="001125D0" w:rsidP="001125D0">
                        <w:pPr>
                          <w:rPr>
                            <w:rFonts w:ascii="Times New Roman" w:hAnsi="Times New Roman"/>
                            <w:b/>
                            <w:lang w:val="uk-UA"/>
                          </w:rPr>
                        </w:pPr>
                      </w:p>
                    </w:txbxContent>
                  </v:textbox>
                </v:roundrect>
                <v:shape id="Arc 17" o:spid="_x0000_s1035" style="position:absolute;left:5651;top:2203;width:13443;height:13157;rotation:180;flip:y;visibility:visible;mso-wrap-style:square;v-text-anchor:top" coordsize="2096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" path="m,nfc11,,22,,34,,9910,,18528,6698,20966,16269em,nsc11,,22,,34,,9910,,18528,6698,20966,16269l34,21600,,xe" filled="f">
                  <v:stroke startarrow="block" endarrow="block"/>
                  <v:path arrowok="t" o:extrusionok="f" o:connecttype="custom" o:connectlocs="0,0;1344295,991054;2180,1315720" o:connectangles="0,0,0"/>
                </v:shape>
                <v:shape id="Arc 18" o:spid="_x0000_s1036" style="position:absolute;left:30988;top:2673;width:13849;height:12789;rotation:90;flip:y;visibility:visible;mso-wrap-style:square;v-text-anchor:top" coordsize="21600,20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" path="m5564,nfc15020,2521,21600,11084,21600,20871v,37,-1,74,-1,111em5564,nsc15020,2521,21600,11084,21600,20871v,37,-1,74,-1,111l,20871,5564,xe" filled="f">
                  <v:stroke startarrow="block" endarrow="block"/>
                  <v:path arrowok="t" o:extrusionok="f" o:connecttype="custom" o:connectlocs="356813,0;1384935,1278890;0,1272064" o:connectangles="0,0,0"/>
                </v:shape>
                <v:roundrect id="AutoShape 19" o:spid="_x0000_s1037" style="position:absolute;left:774;top:5626;width:22162;height:46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">
                  <v:stroke dashstyle="dash"/>
                  <v:textbox>
                    <w:txbxContent>
                      <w:p w14:paraId="33A09663" w14:textId="77777777" w:rsidR="001125D0" w:rsidRDefault="001125D0" w:rsidP="001125D0">
                        <w:pPr>
                          <w:spacing w:line="240" w:lineRule="auto"/>
                          <w:jc w:val="both"/>
                          <w:rPr>
                            <w:rFonts w:ascii="Times New Roman" w:hAnsi="Times New Roman"/>
                            <w:i/>
                            <w:lang w:val="uk-UA"/>
                          </w:rPr>
                        </w:pPr>
                        <w:r>
                          <w:rPr>
                            <w:rFonts w:ascii="Times New Roman" w:hAnsi="Times New Roman"/>
                            <w:i/>
                            <w:lang w:val="uk-UA"/>
                          </w:rPr>
                          <w:t>Досягнення справедливості, допомога бідним</w:t>
                        </w:r>
                      </w:p>
                      <w:p w14:paraId="32B6323A" w14:textId="77777777" w:rsidR="001125D0" w:rsidRDefault="001125D0" w:rsidP="001125D0">
                        <w:pPr>
                          <w:rPr>
                            <w:rFonts w:ascii="Times New Roman" w:hAnsi="Times New Roman"/>
                            <w:i/>
                            <w:lang w:val="uk-UA"/>
                          </w:rPr>
                        </w:pPr>
                      </w:p>
                    </w:txbxContent>
                  </v:textbox>
                </v:roundrect>
                <v:roundrect id="AutoShape 20" o:spid="_x0000_s1038" style="position:absolute;left:11061;top:17551;width:27242;height:6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">
                  <v:stroke dashstyle="dash"/>
                  <v:textbox>
                    <w:txbxContent>
                      <w:p w14:paraId="439C012A" w14:textId="77777777" w:rsidR="001125D0" w:rsidRDefault="001125D0" w:rsidP="001125D0">
                        <w:pPr>
                          <w:spacing w:line="240" w:lineRule="auto"/>
                          <w:jc w:val="both"/>
                          <w:rPr>
                            <w:rFonts w:ascii="Times New Roman" w:hAnsi="Times New Roman"/>
                            <w:i/>
                            <w:lang w:val="uk-UA"/>
                          </w:rPr>
                        </w:pPr>
                        <w:r>
                          <w:rPr>
                            <w:rFonts w:ascii="Times New Roman" w:hAnsi="Times New Roman"/>
                            <w:i/>
                            <w:lang w:val="uk-UA"/>
                          </w:rPr>
                          <w:t>Рівність всередині поколінь, забезпечення прав майбутніх поколінь, участь суспільства у прийнятті рішень</w:t>
                        </w:r>
                      </w:p>
                      <w:p w14:paraId="52E58C96" w14:textId="77777777" w:rsidR="001125D0" w:rsidRDefault="001125D0" w:rsidP="001125D0">
                        <w:pPr>
                          <w:rPr>
                            <w:rFonts w:ascii="Times New Roman" w:hAnsi="Times New Roman"/>
                            <w:i/>
                            <w:lang w:val="uk-UA"/>
                          </w:rPr>
                        </w:pPr>
                      </w:p>
                    </w:txbxContent>
                  </v:textbox>
                </v:roundrect>
                <v:roundrect id="AutoShape 21" o:spid="_x0000_s1039" style="position:absolute;left:26746;top:4724;width:24765;height:62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">
                  <v:stroke dashstyle="dash"/>
                  <v:textbox>
                    <w:txbxContent>
                      <w:p w14:paraId="393D1032" w14:textId="77777777" w:rsidR="001125D0" w:rsidRDefault="001125D0" w:rsidP="001125D0">
                        <w:pPr>
                          <w:spacing w:line="240" w:lineRule="auto"/>
                          <w:jc w:val="both"/>
                          <w:rPr>
                            <w:rFonts w:ascii="Times New Roman" w:hAnsi="Times New Roman"/>
                            <w:i/>
                            <w:lang w:val="uk-UA"/>
                          </w:rPr>
                        </w:pPr>
                        <w:r>
                          <w:rPr>
                            <w:rFonts w:ascii="Times New Roman" w:hAnsi="Times New Roman"/>
                            <w:i/>
                            <w:lang w:val="uk-UA"/>
                          </w:rPr>
                          <w:t xml:space="preserve">Вартісна оцінка й </w:t>
                        </w:r>
                        <w:proofErr w:type="spellStart"/>
                        <w:r>
                          <w:rPr>
                            <w:rFonts w:ascii="Times New Roman" w:hAnsi="Times New Roman"/>
                            <w:i/>
                            <w:lang w:val="uk-UA"/>
                          </w:rPr>
                          <w:t>інтерналізація</w:t>
                        </w:r>
                        <w:proofErr w:type="spellEnd"/>
                        <w:r>
                          <w:rPr>
                            <w:rFonts w:ascii="Times New Roman" w:hAnsi="Times New Roman"/>
                            <w:i/>
                            <w:lang w:val="uk-UA"/>
                          </w:rPr>
                          <w:t xml:space="preserve"> впливів на навколишнє природне середовище</w:t>
                        </w:r>
                      </w:p>
                      <w:p w14:paraId="76A32A79" w14:textId="77777777" w:rsidR="001125D0" w:rsidRDefault="001125D0" w:rsidP="001125D0">
                        <w:pPr>
                          <w:rPr>
                            <w:rFonts w:ascii="Times New Roman" w:hAnsi="Times New Roman"/>
                            <w:i/>
                            <w:lang w:val="uk-UA"/>
                          </w:rPr>
                        </w:pPr>
                      </w:p>
                    </w:txbxContent>
                  </v:textbox>
                </v:roundrect>
                <v:shape id="Arc 22" o:spid="_x0000_s1040" style="position:absolute;left:5518;top:13303;width:5543;height:8121;rotation:180;visibility:visible;mso-wrap-style:square;v-text-anchor:top" coordsize="20495,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" path="m,nfc9301,,17558,5954,20495,14779em,nsc9301,,17558,5954,20495,14779l,21600,,xe" filled="f">
                  <v:stroke endarrow="block"/>
                  <v:path arrowok="t" o:extrusionok="f" o:connecttype="custom" o:connectlocs="0,0;554355,555731;0,812165" o:connectangles="0,0,0"/>
                </v:shape>
                <v:shape id="Arc 23" o:spid="_x0000_s1041" style="position:absolute;left:38296;top:13049;width:5995;height:8121;rotation:180;flip:x;visibility:visible;mso-wrap-style:square;v-text-anchor:top" coordsize="2014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" path="m,nfc9,,18,,27,,8917,,16900,5447,20141,13726em,nsc9,,18,,27,,8917,,16900,5447,20141,13726l27,21600,,xe" filled="f">
                  <v:stroke endarrow="block"/>
                  <v:path arrowok="t" o:extrusionok="f" o:connecttype="custom" o:connectlocs="0,0;599440,516138;804,812165" o:connectangles="0,0,0"/>
                </v:shape>
                <w10:anchorlock/>
              </v:group>
            </w:pict>
          </mc:Fallback>
        </mc:AlternateContent>
      </w:r>
    </w:p>
    <w:p w14:paraId="236870DB" w14:textId="77777777" w:rsidR="001125D0" w:rsidRDefault="001125D0" w:rsidP="001125D0">
      <w:pPr>
        <w:autoSpaceDE w:val="0"/>
        <w:autoSpaceDN w:val="0"/>
        <w:adjustRightInd w:val="0"/>
        <w:spacing w:after="0" w:line="240" w:lineRule="auto"/>
        <w:jc w:val="center"/>
        <w:rPr>
          <w:rFonts w:ascii="Times New Roman" w:hAnsi="Times New Roman"/>
          <w:i/>
          <w:color w:val="000000"/>
          <w:sz w:val="26"/>
          <w:szCs w:val="26"/>
          <w:lang w:val="uk-UA"/>
        </w:rPr>
      </w:pPr>
      <w:r>
        <w:rPr>
          <w:rFonts w:ascii="Times New Roman" w:hAnsi="Times New Roman"/>
          <w:i/>
          <w:color w:val="000000"/>
          <w:sz w:val="26"/>
          <w:szCs w:val="26"/>
          <w:lang w:val="uk-UA"/>
        </w:rPr>
        <w:t>Рис. 1.2. Взаємозв’язок складових стійкого розвитку</w:t>
      </w:r>
    </w:p>
    <w:p w14:paraId="78BE3C99"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z w:val="26"/>
          <w:szCs w:val="26"/>
          <w:lang w:val="uk-UA"/>
        </w:rPr>
      </w:pPr>
    </w:p>
    <w:p w14:paraId="3527BEE1"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 xml:space="preserve">Економічний і соціальний елементи, взаємодіючи один з одним, сприяють досягненню справедливості усередині одного покоління (наприклад, відносно </w:t>
      </w:r>
      <w:r>
        <w:rPr>
          <w:rFonts w:ascii="Times New Roman" w:hAnsi="Times New Roman"/>
          <w:color w:val="000000"/>
          <w:sz w:val="26"/>
          <w:szCs w:val="26"/>
          <w:lang w:val="uk-UA"/>
        </w:rPr>
        <w:lastRenderedPageBreak/>
        <w:t>розподілу доходів) і наданню цілеспрямованої допомоги бідним верствам населення. Зв’язок соціального й екологічного елементів викликав інтерес до таких питань як рівність у середині поколінь та між ними, включаючи дотримання прав майбутніх поколінь, і участі населення в процесі ухвалення рішень. Механізм взаємодії економічного і екологічного елементів сформував нові ідеї відносно вартісної оцінки й інтерналізації (відображення в бухгалтерському обліку та звітності суб’єкта господарювання) впливів на навколишнє природне середовище.</w:t>
      </w:r>
    </w:p>
    <w:p w14:paraId="50D29CF9" w14:textId="77777777" w:rsidR="001125D0" w:rsidRDefault="001125D0" w:rsidP="001125D0">
      <w:pPr>
        <w:autoSpaceDE w:val="0"/>
        <w:autoSpaceDN w:val="0"/>
        <w:adjustRightInd w:val="0"/>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У цьому ж 1992 р. дослідження Д. Медоуза</w:t>
      </w:r>
      <w:r>
        <w:rPr>
          <w:rFonts w:ascii="Times New Roman" w:hAnsi="Times New Roman"/>
          <w:sz w:val="26"/>
          <w:szCs w:val="26"/>
          <w:vertAlign w:val="superscript"/>
          <w:lang w:val="uk-UA"/>
        </w:rPr>
        <w:endnoteReference w:id="12"/>
      </w:r>
      <w:r>
        <w:rPr>
          <w:rFonts w:ascii="Times New Roman" w:hAnsi="Times New Roman"/>
          <w:sz w:val="26"/>
          <w:szCs w:val="26"/>
          <w:lang w:val="uk-UA"/>
        </w:rPr>
        <w:t xml:space="preserve"> оновлені з урахуванням наслідків антропогенної діяльності за 20 років, що минули. У результаті виявлено, що людство вже вийшло за межі самопідтримання Землі.</w:t>
      </w:r>
    </w:p>
    <w:p w14:paraId="3ADCD120" w14:textId="77777777" w:rsidR="001125D0" w:rsidRDefault="001125D0" w:rsidP="001125D0">
      <w:pPr>
        <w:autoSpaceDE w:val="0"/>
        <w:autoSpaceDN w:val="0"/>
        <w:adjustRightInd w:val="0"/>
        <w:spacing w:after="0" w:line="240" w:lineRule="auto"/>
        <w:ind w:firstLine="567"/>
        <w:jc w:val="both"/>
        <w:rPr>
          <w:rFonts w:ascii="Times New Roman" w:hAnsi="Times New Roman"/>
          <w:bCs/>
          <w:color w:val="000000"/>
          <w:sz w:val="26"/>
          <w:szCs w:val="26"/>
          <w:lang w:val="uk-UA"/>
        </w:rPr>
      </w:pPr>
      <w:r>
        <w:rPr>
          <w:rFonts w:ascii="Times New Roman" w:hAnsi="Times New Roman"/>
          <w:bCs/>
          <w:color w:val="000000"/>
          <w:sz w:val="26"/>
          <w:szCs w:val="26"/>
          <w:lang w:val="uk-UA"/>
        </w:rPr>
        <w:t xml:space="preserve">Підсумки десятирічного періоду реалізації концепції стійкого розвитку підведені у 2002 р. </w:t>
      </w:r>
      <w:r>
        <w:rPr>
          <w:rFonts w:ascii="Times New Roman" w:hAnsi="Times New Roman"/>
          <w:color w:val="000000"/>
          <w:sz w:val="26"/>
          <w:szCs w:val="26"/>
          <w:lang w:val="uk-UA"/>
        </w:rPr>
        <w:t>в Йоганнесбурзі на Всесвітньому саміті зі стійкого розвитку, де і поставлено завдання подальшої реалізації концепції. Концепція стійкого розвитку отримала статус політичної рекомендації для всіх країн та народів світу. Успішною зазначену конференцію назвати важко, адже “</w:t>
      </w:r>
      <w:r>
        <w:rPr>
          <w:rFonts w:ascii="Times New Roman" w:hAnsi="Times New Roman"/>
          <w:sz w:val="26"/>
          <w:szCs w:val="26"/>
          <w:lang w:val="uk-UA"/>
        </w:rPr>
        <w:t>вся робота зводилася до дискусії на ідеологічні та екологічні теми, які велись у вузьких національних, корпоративних, а часом і особистих цілях”</w:t>
      </w:r>
      <w:r>
        <w:rPr>
          <w:rFonts w:ascii="Times New Roman" w:hAnsi="Times New Roman"/>
          <w:sz w:val="26"/>
          <w:szCs w:val="26"/>
          <w:vertAlign w:val="superscript"/>
          <w:lang w:val="uk-UA"/>
        </w:rPr>
        <w:endnoteReference w:id="13"/>
      </w:r>
      <w:r>
        <w:rPr>
          <w:rFonts w:ascii="Times New Roman" w:hAnsi="Times New Roman"/>
          <w:sz w:val="26"/>
          <w:szCs w:val="26"/>
          <w:lang w:val="uk-UA"/>
        </w:rPr>
        <w:t xml:space="preserve">. </w:t>
      </w:r>
    </w:p>
    <w:p w14:paraId="444F9C34"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pacing w:val="-2"/>
          <w:sz w:val="26"/>
          <w:szCs w:val="26"/>
          <w:lang w:val="uk-UA"/>
        </w:rPr>
      </w:pPr>
      <w:r>
        <w:rPr>
          <w:rFonts w:ascii="Times New Roman" w:hAnsi="Times New Roman"/>
          <w:color w:val="000000"/>
          <w:spacing w:val="-2"/>
          <w:sz w:val="26"/>
          <w:szCs w:val="26"/>
          <w:lang w:val="uk-UA"/>
        </w:rPr>
        <w:t>У 2004 р. опублікована праця Д. Медоуза, Й. Рандерса, Д. Медоуз “Межі зростання. 30 років по тому”</w:t>
      </w:r>
      <w:r>
        <w:rPr>
          <w:rFonts w:ascii="Times New Roman" w:hAnsi="Times New Roman"/>
          <w:color w:val="000000"/>
          <w:spacing w:val="-2"/>
          <w:sz w:val="26"/>
          <w:szCs w:val="26"/>
          <w:vertAlign w:val="superscript"/>
          <w:lang w:val="uk-UA"/>
        </w:rPr>
        <w:endnoteReference w:id="14"/>
      </w:r>
      <w:r>
        <w:rPr>
          <w:rFonts w:ascii="Times New Roman" w:hAnsi="Times New Roman"/>
          <w:color w:val="000000"/>
          <w:spacing w:val="-2"/>
          <w:sz w:val="26"/>
          <w:szCs w:val="26"/>
          <w:lang w:val="uk-UA"/>
        </w:rPr>
        <w:t>, в якій підведено підсумки розвитку людства у взаємодії з навколишнім природним середовищем за останні 30 років з часів публікації праці “Межі зростання”. У цьому виданні гостро поставлено питання виживання людини на Землі: “</w:t>
      </w:r>
      <w:r>
        <w:rPr>
          <w:rFonts w:ascii="Times New Roman" w:hAnsi="Times New Roman"/>
          <w:spacing w:val="-2"/>
          <w:sz w:val="26"/>
          <w:szCs w:val="26"/>
          <w:lang w:val="uk-UA"/>
        </w:rPr>
        <w:t>Так як колись спочатку аграрна, а потім промислова революція змінили направленість вектора розвитку людської цивілізації, так і зараз за глибоким переконанням авторів, людство чекає екологічна революція. Але є важлива різниця в цих трьох революціях: якщо перша, аграрна, продовжувалася тисячі років, друга, промислова, – сотні років, то для екологічної революції при такому експоненціальному зростанні, яке зараз спостерігається, людству відпущено декілька десятків років, тобто життя двох-трьох поколінь людей. У людства в запасі дуже мало часу і, чим скоріше це буде усвідомлене, тим менше імовірності вийти за межі стійкості системи підтримання життя на нашій планеті”</w:t>
      </w:r>
      <w:r>
        <w:rPr>
          <w:rFonts w:ascii="Times New Roman" w:hAnsi="Times New Roman"/>
          <w:spacing w:val="-2"/>
          <w:sz w:val="26"/>
          <w:szCs w:val="26"/>
          <w:vertAlign w:val="superscript"/>
          <w:lang w:val="uk-UA"/>
        </w:rPr>
        <w:endnoteReference w:id="15"/>
      </w:r>
      <w:r>
        <w:rPr>
          <w:rFonts w:ascii="Times New Roman" w:hAnsi="Times New Roman"/>
          <w:spacing w:val="-2"/>
          <w:sz w:val="26"/>
          <w:szCs w:val="26"/>
          <w:lang w:val="uk-UA"/>
        </w:rPr>
        <w:t>.</w:t>
      </w:r>
    </w:p>
    <w:p w14:paraId="3D286017" w14:textId="77777777" w:rsidR="001125D0" w:rsidRDefault="001125D0" w:rsidP="001125D0">
      <w:pPr>
        <w:autoSpaceDE w:val="0"/>
        <w:autoSpaceDN w:val="0"/>
        <w:adjustRightInd w:val="0"/>
        <w:spacing w:after="0" w:line="240" w:lineRule="auto"/>
        <w:ind w:firstLine="567"/>
        <w:jc w:val="both"/>
        <w:rPr>
          <w:rFonts w:ascii="Times New Roman" w:hAnsi="Times New Roman"/>
          <w:spacing w:val="-4"/>
          <w:sz w:val="26"/>
          <w:szCs w:val="26"/>
          <w:lang w:val="uk-UA"/>
        </w:rPr>
      </w:pPr>
      <w:r>
        <w:rPr>
          <w:rFonts w:ascii="Times New Roman" w:hAnsi="Times New Roman"/>
          <w:spacing w:val="-4"/>
          <w:sz w:val="26"/>
          <w:szCs w:val="26"/>
          <w:lang w:val="uk-UA"/>
        </w:rPr>
        <w:t xml:space="preserve">Автори підкреслюють, що людство вже перевищило за деякими параметрами межі стійкості біосфери (вартість ліквідації наслідків природних катаклізмів щороку зростає; розгортається боротьба за прісну воду та корисні копалини; метеорологічні дані свідчать про те, що клімат змінюється та вчені вже дійшли єдиного висновку, що це наслідок діяльності людини) і що тільки розумна політика може зменшити негативні наслідки для суспільства та навколишнього природного середовища. Загальносвітове навантаження на природу зростає з кожним днем. Населення Землі у ХХ ст. збільшувалося у геометричній прогресії (рис. 1.3), що актуалізувало проблему необхідності задоволення потреб населення, які зростали з кожним роком. </w:t>
      </w:r>
    </w:p>
    <w:p w14:paraId="50FB2D18" w14:textId="702D72B5" w:rsidR="001125D0" w:rsidRDefault="001125D0" w:rsidP="001125D0">
      <w:pPr>
        <w:spacing w:after="0" w:line="240" w:lineRule="auto"/>
        <w:jc w:val="center"/>
        <w:rPr>
          <w:rFonts w:ascii="Times New Roman" w:hAnsi="Times New Roman"/>
          <w:b/>
          <w:sz w:val="26"/>
          <w:szCs w:val="26"/>
          <w:lang w:val="uk-UA"/>
        </w:rPr>
      </w:pPr>
      <w:r>
        <w:rPr>
          <w:noProof/>
        </w:rPr>
        <mc:AlternateContent>
          <mc:Choice Requires="wps">
            <w:drawing>
              <wp:anchor distT="0" distB="0" distL="114300" distR="114300" simplePos="0" relativeHeight="251658240" behindDoc="0" locked="0" layoutInCell="1" allowOverlap="1" wp14:anchorId="68B69545" wp14:editId="659DC222">
                <wp:simplePos x="0" y="0"/>
                <wp:positionH relativeFrom="column">
                  <wp:posOffset>571500</wp:posOffset>
                </wp:positionH>
                <wp:positionV relativeFrom="paragraph">
                  <wp:posOffset>170815</wp:posOffset>
                </wp:positionV>
                <wp:extent cx="685800" cy="514985"/>
                <wp:effectExtent l="0" t="0" r="0" b="0"/>
                <wp:wrapNone/>
                <wp:docPr id="120228164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A5921" w14:textId="77777777" w:rsidR="001125D0" w:rsidRDefault="001125D0" w:rsidP="001125D0">
                            <w:pPr>
                              <w:jc w:val="center"/>
                              <w:rPr>
                                <w:rFonts w:ascii="Times New Roman" w:hAnsi="Times New Roman"/>
                                <w:sz w:val="20"/>
                                <w:szCs w:val="20"/>
                                <w:lang w:val="uk-UA"/>
                              </w:rPr>
                            </w:pPr>
                            <w:r>
                              <w:rPr>
                                <w:rFonts w:ascii="Times New Roman" w:hAnsi="Times New Roman"/>
                                <w:sz w:val="20"/>
                                <w:szCs w:val="20"/>
                                <w:lang w:val="uk-UA"/>
                              </w:rPr>
                              <w:t>Чисельність населення млрд. чол.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69545" id="Прямоугольник 7" o:spid="_x0000_s1042" style="position:absolute;left:0;text-align:left;margin-left:45pt;margin-top:13.45pt;width:54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" stroked="f">
                <v:textbox inset="0,0,0,0">
                  <w:txbxContent>
                    <w:p w14:paraId="054A5921" w14:textId="77777777" w:rsidR="001125D0" w:rsidRDefault="001125D0" w:rsidP="001125D0">
                      <w:pPr>
                        <w:jc w:val="center"/>
                        <w:rPr>
                          <w:rFonts w:ascii="Times New Roman" w:hAnsi="Times New Roman"/>
                          <w:sz w:val="20"/>
                          <w:szCs w:val="20"/>
                          <w:lang w:val="uk-UA"/>
                        </w:rPr>
                      </w:pPr>
                      <w:r>
                        <w:rPr>
                          <w:rFonts w:ascii="Times New Roman" w:hAnsi="Times New Roman"/>
                          <w:sz w:val="20"/>
                          <w:szCs w:val="20"/>
                          <w:lang w:val="uk-UA"/>
                        </w:rPr>
                        <w:t xml:space="preserve">Чисельність населення млрд. </w:t>
                      </w:r>
                      <w:proofErr w:type="spellStart"/>
                      <w:r>
                        <w:rPr>
                          <w:rFonts w:ascii="Times New Roman" w:hAnsi="Times New Roman"/>
                          <w:sz w:val="20"/>
                          <w:szCs w:val="20"/>
                          <w:lang w:val="uk-UA"/>
                        </w:rPr>
                        <w:t>чол</w:t>
                      </w:r>
                      <w:proofErr w:type="spellEnd"/>
                      <w:r>
                        <w:rPr>
                          <w:rFonts w:ascii="Times New Roman" w:hAnsi="Times New Roman"/>
                          <w:sz w:val="20"/>
                          <w:szCs w:val="20"/>
                          <w:lang w:val="uk-UA"/>
                        </w:rPr>
                        <w:t>.</w:t>
                      </w:r>
                    </w:p>
                  </w:txbxContent>
                </v:textbox>
              </v:rect>
            </w:pict>
          </mc:Fallback>
        </mc:AlternateContent>
      </w:r>
      <w:r>
        <w:rPr>
          <w:rFonts w:ascii="Times New Roman" w:hAnsi="Times New Roman"/>
          <w:b/>
          <w:noProof/>
          <w:sz w:val="26"/>
          <w:szCs w:val="26"/>
          <w:lang w:eastAsia="ru-RU"/>
        </w:rPr>
        <w:drawing>
          <wp:inline distT="0" distB="0" distL="0" distR="0" wp14:anchorId="5CAF783F" wp14:editId="475D663C">
            <wp:extent cx="4914900" cy="1592580"/>
            <wp:effectExtent l="0" t="0" r="0" b="7620"/>
            <wp:docPr id="392685187"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FDCA49" w14:textId="77777777" w:rsidR="001125D0" w:rsidRDefault="001125D0" w:rsidP="001125D0">
      <w:pPr>
        <w:spacing w:after="0" w:line="240" w:lineRule="auto"/>
        <w:jc w:val="center"/>
        <w:rPr>
          <w:rFonts w:ascii="Times New Roman" w:hAnsi="Times New Roman"/>
          <w:b/>
          <w:i/>
          <w:sz w:val="26"/>
          <w:szCs w:val="26"/>
          <w:lang w:val="uk-UA"/>
        </w:rPr>
      </w:pPr>
      <w:r>
        <w:rPr>
          <w:rFonts w:ascii="Times New Roman" w:hAnsi="Times New Roman"/>
          <w:i/>
          <w:sz w:val="26"/>
          <w:szCs w:val="26"/>
          <w:lang w:val="uk-UA"/>
        </w:rPr>
        <w:t>Рис. 1.3. Динаміка чисельності населення Землі (за матеріалами</w:t>
      </w:r>
      <w:r>
        <w:rPr>
          <w:rFonts w:ascii="Times New Roman" w:hAnsi="Times New Roman"/>
          <w:i/>
          <w:sz w:val="26"/>
          <w:szCs w:val="26"/>
          <w:vertAlign w:val="superscript"/>
          <w:lang w:val="uk-UA"/>
        </w:rPr>
        <w:endnoteReference w:id="16"/>
      </w:r>
      <w:r>
        <w:rPr>
          <w:rFonts w:ascii="Times New Roman" w:hAnsi="Times New Roman"/>
          <w:i/>
          <w:sz w:val="26"/>
          <w:szCs w:val="26"/>
          <w:lang w:val="uk-UA"/>
        </w:rPr>
        <w:t>)</w:t>
      </w:r>
    </w:p>
    <w:p w14:paraId="794620D1" w14:textId="77777777" w:rsidR="001125D0" w:rsidRDefault="001125D0" w:rsidP="001125D0">
      <w:pPr>
        <w:autoSpaceDE w:val="0"/>
        <w:autoSpaceDN w:val="0"/>
        <w:adjustRightInd w:val="0"/>
        <w:spacing w:after="0" w:line="240" w:lineRule="auto"/>
        <w:ind w:firstLine="567"/>
        <w:jc w:val="both"/>
        <w:rPr>
          <w:rFonts w:ascii="Times New Roman" w:hAnsi="Times New Roman"/>
          <w:sz w:val="26"/>
          <w:szCs w:val="26"/>
          <w:lang w:val="uk-UA"/>
        </w:rPr>
      </w:pPr>
    </w:p>
    <w:p w14:paraId="1265EB03" w14:textId="77777777" w:rsidR="001125D0" w:rsidRDefault="001125D0" w:rsidP="001125D0">
      <w:pPr>
        <w:autoSpaceDE w:val="0"/>
        <w:autoSpaceDN w:val="0"/>
        <w:adjustRightInd w:val="0"/>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 xml:space="preserve">Обсяг промислового виробництва також збільшувався (рис. 1.4), але темпи його зростання, починаючи з середини 60-х рр. ХХ ст., були значно нижчими за темпи зростання населення Землі. </w:t>
      </w:r>
    </w:p>
    <w:p w14:paraId="6AF599F2" w14:textId="7F758316" w:rsidR="001125D0" w:rsidRDefault="001125D0" w:rsidP="001125D0">
      <w:pPr>
        <w:shd w:val="clear" w:color="auto" w:fill="FFFFFF"/>
        <w:spacing w:after="0" w:line="240" w:lineRule="auto"/>
        <w:jc w:val="center"/>
        <w:rPr>
          <w:rFonts w:ascii="Times New Roman" w:hAnsi="Times New Roman"/>
          <w:sz w:val="26"/>
          <w:szCs w:val="26"/>
          <w:lang w:val="uk-UA"/>
        </w:rPr>
      </w:pPr>
      <w:r>
        <w:rPr>
          <w:rFonts w:ascii="Times New Roman" w:hAnsi="Times New Roman"/>
          <w:noProof/>
          <w:sz w:val="26"/>
          <w:szCs w:val="26"/>
          <w:lang w:eastAsia="ru-RU"/>
        </w:rPr>
        <w:drawing>
          <wp:inline distT="0" distB="0" distL="0" distR="0" wp14:anchorId="52A4EA5E" wp14:editId="28AC924E">
            <wp:extent cx="5577840" cy="1577340"/>
            <wp:effectExtent l="0" t="0" r="3810" b="3810"/>
            <wp:docPr id="817848306"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1FBA2B" w14:textId="77777777" w:rsidR="001125D0" w:rsidRDefault="001125D0" w:rsidP="001125D0">
      <w:pPr>
        <w:shd w:val="clear" w:color="auto" w:fill="FFFFFF"/>
        <w:spacing w:after="0" w:line="240" w:lineRule="auto"/>
        <w:jc w:val="center"/>
        <w:rPr>
          <w:rFonts w:ascii="Times New Roman" w:hAnsi="Times New Roman"/>
          <w:i/>
          <w:sz w:val="26"/>
          <w:szCs w:val="26"/>
          <w:lang w:val="uk-UA"/>
        </w:rPr>
      </w:pPr>
      <w:r>
        <w:rPr>
          <w:rFonts w:ascii="Times New Roman" w:hAnsi="Times New Roman"/>
          <w:i/>
          <w:sz w:val="26"/>
          <w:szCs w:val="26"/>
          <w:lang w:val="uk-UA"/>
        </w:rPr>
        <w:t>Рис. 1.4. Динаміка обсягу промислового виробництва (за матеріалами</w:t>
      </w:r>
      <w:r>
        <w:rPr>
          <w:rFonts w:ascii="Times New Roman" w:hAnsi="Times New Roman"/>
          <w:i/>
          <w:sz w:val="26"/>
          <w:szCs w:val="26"/>
          <w:vertAlign w:val="superscript"/>
          <w:lang w:val="uk-UA"/>
        </w:rPr>
        <w:endnoteReference w:id="17"/>
      </w:r>
      <w:r>
        <w:rPr>
          <w:rFonts w:ascii="Times New Roman" w:hAnsi="Times New Roman"/>
          <w:i/>
          <w:sz w:val="26"/>
          <w:szCs w:val="26"/>
          <w:lang w:val="uk-UA"/>
        </w:rPr>
        <w:t>)</w:t>
      </w:r>
    </w:p>
    <w:p w14:paraId="3B35FB22" w14:textId="77777777" w:rsidR="001125D0" w:rsidRDefault="001125D0" w:rsidP="001125D0">
      <w:pPr>
        <w:autoSpaceDE w:val="0"/>
        <w:autoSpaceDN w:val="0"/>
        <w:adjustRightInd w:val="0"/>
        <w:spacing w:after="0" w:line="240" w:lineRule="auto"/>
        <w:ind w:firstLine="567"/>
        <w:jc w:val="both"/>
        <w:rPr>
          <w:rFonts w:ascii="Times New Roman" w:hAnsi="Times New Roman"/>
          <w:sz w:val="26"/>
          <w:szCs w:val="26"/>
          <w:lang w:val="uk-UA"/>
        </w:rPr>
      </w:pPr>
    </w:p>
    <w:p w14:paraId="20F01667" w14:textId="77777777" w:rsidR="001125D0" w:rsidRDefault="001125D0" w:rsidP="001125D0">
      <w:pPr>
        <w:autoSpaceDE w:val="0"/>
        <w:autoSpaceDN w:val="0"/>
        <w:adjustRightInd w:val="0"/>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Спираючись на дані розрахунки, дослідники акцентують увагу на необхідності людству замислитися над наслідками своєї діяльності та рішень, які до цієї діяльності призводять.</w:t>
      </w:r>
    </w:p>
    <w:p w14:paraId="35983919"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В України у 1996 р. розроблена і затверджена урядом Концепція переходу країни до стійкого розвитку, у 1997 р. оприлюднена Державна доповідь “Україна: проблеми сталого розвитку”</w:t>
      </w:r>
      <w:r>
        <w:rPr>
          <w:rFonts w:ascii="Times New Roman" w:hAnsi="Times New Roman"/>
          <w:color w:val="000000"/>
          <w:sz w:val="26"/>
          <w:szCs w:val="26"/>
          <w:vertAlign w:val="superscript"/>
          <w:lang w:val="uk-UA"/>
        </w:rPr>
        <w:endnoteReference w:id="18"/>
      </w:r>
      <w:r>
        <w:rPr>
          <w:rFonts w:ascii="Times New Roman" w:hAnsi="Times New Roman"/>
          <w:color w:val="000000"/>
          <w:sz w:val="26"/>
          <w:szCs w:val="26"/>
          <w:lang w:val="uk-UA"/>
        </w:rPr>
        <w:t>. У 1999 р. Верховна Рада України прийняла “Конвенцію про доступ громадськості до інформації, ухвалення рішень і правосуддя з питань, що стосуються охорони навколишнього середовища”</w:t>
      </w:r>
      <w:r>
        <w:rPr>
          <w:rFonts w:ascii="Times New Roman" w:hAnsi="Times New Roman"/>
          <w:color w:val="000000"/>
          <w:sz w:val="26"/>
          <w:szCs w:val="26"/>
          <w:vertAlign w:val="superscript"/>
          <w:lang w:val="uk-UA"/>
        </w:rPr>
        <w:endnoteReference w:id="19"/>
      </w:r>
      <w:r>
        <w:rPr>
          <w:rFonts w:ascii="Times New Roman" w:hAnsi="Times New Roman"/>
          <w:color w:val="000000"/>
          <w:sz w:val="26"/>
          <w:szCs w:val="26"/>
          <w:lang w:val="uk-UA"/>
        </w:rPr>
        <w:t>. У 2002 р. напрацювання українських науковців оприлюднені у науковій доповіді “Україна: прогрес на шляху сталого розвитку”</w:t>
      </w:r>
      <w:r>
        <w:rPr>
          <w:rFonts w:ascii="Times New Roman" w:hAnsi="Times New Roman"/>
          <w:color w:val="000000"/>
          <w:sz w:val="26"/>
          <w:szCs w:val="26"/>
          <w:vertAlign w:val="superscript"/>
          <w:lang w:val="uk-UA"/>
        </w:rPr>
        <w:endnoteReference w:id="20"/>
      </w:r>
      <w:r>
        <w:rPr>
          <w:rFonts w:ascii="Times New Roman" w:hAnsi="Times New Roman"/>
          <w:color w:val="000000"/>
          <w:sz w:val="26"/>
          <w:szCs w:val="26"/>
          <w:lang w:val="uk-UA"/>
        </w:rPr>
        <w:t>. Створено Національну комісію зі сталого розвитку при Президенті України. Відбувалися численні конференції та семінари з проблем стійкого розвитку України як держави з перехідною економікою</w:t>
      </w:r>
      <w:r>
        <w:rPr>
          <w:rFonts w:ascii="Times New Roman" w:hAnsi="Times New Roman"/>
          <w:sz w:val="26"/>
          <w:szCs w:val="26"/>
          <w:lang w:val="uk-UA"/>
        </w:rPr>
        <w:t xml:space="preserve">. </w:t>
      </w:r>
      <w:r>
        <w:rPr>
          <w:rFonts w:ascii="Times New Roman" w:hAnsi="Times New Roman"/>
          <w:color w:val="000000"/>
          <w:sz w:val="26"/>
          <w:szCs w:val="26"/>
          <w:lang w:val="uk-UA"/>
        </w:rPr>
        <w:t>Але такі дії не прискорили створення національної концепції стійкого розвитку України.</w:t>
      </w:r>
    </w:p>
    <w:p w14:paraId="2BD33918"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pacing w:val="-6"/>
          <w:sz w:val="26"/>
          <w:szCs w:val="26"/>
          <w:lang w:val="uk-UA"/>
        </w:rPr>
      </w:pPr>
      <w:r>
        <w:rPr>
          <w:rFonts w:ascii="Times New Roman" w:hAnsi="Times New Roman"/>
          <w:color w:val="000000"/>
          <w:spacing w:val="-6"/>
          <w:sz w:val="26"/>
          <w:szCs w:val="26"/>
          <w:lang w:val="uk-UA"/>
        </w:rPr>
        <w:t>У 2003 р. в Києві відбувся Євросаміт, де брали участь міністри екологічних відомств Європи та прийнято ряд документів для забезпечення подальшої реалізації концепції стійкого розвитку. Однак, донині в Україні відсутні як нормативно-правові, так і методичні передумови для реалізації концепції стійкого розвитку на рівнях державної політики й регіонального управління. Немає чіткого розуміння пріоритетів рішень і дій на шляху стійкого розвитку.</w:t>
      </w:r>
    </w:p>
    <w:p w14:paraId="61420C5B" w14:textId="77777777" w:rsidR="001125D0" w:rsidRDefault="001125D0" w:rsidP="001125D0">
      <w:pPr>
        <w:autoSpaceDE w:val="0"/>
        <w:autoSpaceDN w:val="0"/>
        <w:adjustRightInd w:val="0"/>
        <w:spacing w:after="0" w:line="240" w:lineRule="auto"/>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У 2004 р. розроблено та винесено на розгляд Верховної Ради України проект Постанови про Концепцію переходу України до сталого розвитку. Завданням концепції передбачено формулювання стратегічної мети української держави в XXI ст., визначення, згідно з нею, системи стратегічних цілей, пріоритетних завдань і ключових інструментів впровадження та започаткування з цією метою системної практичної діяльності, як на державному рівні, так і в суспільстві</w:t>
      </w:r>
      <w:r>
        <w:rPr>
          <w:rFonts w:ascii="Times New Roman" w:hAnsi="Times New Roman"/>
          <w:color w:val="000000"/>
          <w:sz w:val="26"/>
          <w:szCs w:val="26"/>
          <w:vertAlign w:val="superscript"/>
          <w:lang w:val="uk-UA"/>
        </w:rPr>
        <w:endnoteReference w:id="21"/>
      </w:r>
      <w:r>
        <w:rPr>
          <w:rFonts w:ascii="Times New Roman" w:hAnsi="Times New Roman"/>
          <w:color w:val="000000"/>
          <w:sz w:val="26"/>
          <w:szCs w:val="26"/>
          <w:lang w:val="uk-UA"/>
        </w:rPr>
        <w:t>. Але підтримання Верховної Ради України зазначений проект не отримав.</w:t>
      </w:r>
    </w:p>
    <w:p w14:paraId="3DE0F991" w14:textId="77777777" w:rsidR="001125D0" w:rsidRDefault="001125D0" w:rsidP="001125D0">
      <w:pPr>
        <w:autoSpaceDE w:val="0"/>
        <w:autoSpaceDN w:val="0"/>
        <w:adjustRightInd w:val="0"/>
        <w:spacing w:after="0" w:line="240" w:lineRule="auto"/>
        <w:ind w:firstLine="567"/>
        <w:jc w:val="both"/>
        <w:rPr>
          <w:rFonts w:ascii="Times New Roman" w:hAnsi="Times New Roman"/>
          <w:sz w:val="26"/>
          <w:szCs w:val="26"/>
          <w:lang w:val="uk-UA"/>
        </w:rPr>
      </w:pPr>
      <w:r>
        <w:rPr>
          <w:rFonts w:ascii="Times New Roman" w:hAnsi="Times New Roman"/>
          <w:color w:val="000000"/>
          <w:sz w:val="26"/>
          <w:szCs w:val="26"/>
          <w:lang w:val="uk-UA"/>
        </w:rPr>
        <w:t xml:space="preserve">Хоча, екологічна ситуація, що склалася в Україні, вимагає негайних дій. </w:t>
      </w:r>
      <w:r>
        <w:rPr>
          <w:rFonts w:ascii="Times New Roman" w:hAnsi="Times New Roman"/>
          <w:sz w:val="26"/>
          <w:szCs w:val="26"/>
          <w:lang w:val="uk-UA"/>
        </w:rPr>
        <w:t>Україна, за оцінкою американської організації Blacksmith Institute, належить до держав з найскладнішою екологічною ситуацією</w:t>
      </w:r>
      <w:r>
        <w:rPr>
          <w:rFonts w:ascii="Times New Roman" w:hAnsi="Times New Roman"/>
          <w:sz w:val="26"/>
          <w:szCs w:val="26"/>
          <w:vertAlign w:val="superscript"/>
          <w:lang w:val="uk-UA"/>
        </w:rPr>
        <w:endnoteReference w:id="22"/>
      </w:r>
      <w:r>
        <w:rPr>
          <w:rFonts w:ascii="Times New Roman" w:hAnsi="Times New Roman"/>
          <w:sz w:val="26"/>
          <w:szCs w:val="26"/>
          <w:lang w:val="uk-UA"/>
        </w:rPr>
        <w:t>. За офіційними даними понад 70 % площі України – це території з небезпечними для людини умовами проживання, з них 1,7 % загальної площі країни віднесено до категорії “території екологічного лиха”. Лише 7 % від загальної території України складають відносно чисті території, умовно чистими визнано близько 8 % земель, а мало забрудненими – 15 %</w:t>
      </w:r>
      <w:r>
        <w:rPr>
          <w:rFonts w:ascii="Times New Roman" w:hAnsi="Times New Roman"/>
          <w:sz w:val="26"/>
          <w:szCs w:val="26"/>
          <w:vertAlign w:val="superscript"/>
          <w:lang w:val="uk-UA"/>
        </w:rPr>
        <w:endnoteReference w:id="23"/>
      </w:r>
      <w:r>
        <w:rPr>
          <w:rFonts w:ascii="Times New Roman" w:hAnsi="Times New Roman"/>
          <w:sz w:val="26"/>
          <w:szCs w:val="26"/>
          <w:lang w:val="uk-UA"/>
        </w:rPr>
        <w:t>. Більшість цих земель знаходиться під заповідниками.</w:t>
      </w:r>
    </w:p>
    <w:p w14:paraId="7AD308D6" w14:textId="77777777" w:rsidR="001125D0" w:rsidRDefault="001125D0" w:rsidP="001125D0">
      <w:pPr>
        <w:autoSpaceDE w:val="0"/>
        <w:autoSpaceDN w:val="0"/>
        <w:adjustRightInd w:val="0"/>
        <w:spacing w:after="0" w:line="240" w:lineRule="auto"/>
        <w:ind w:firstLine="567"/>
        <w:jc w:val="both"/>
        <w:rPr>
          <w:rFonts w:ascii="Times New Roman" w:hAnsi="Times New Roman"/>
          <w:sz w:val="26"/>
          <w:szCs w:val="26"/>
          <w:lang w:val="uk-UA" w:eastAsia="uk-UA"/>
        </w:rPr>
      </w:pPr>
      <w:r>
        <w:rPr>
          <w:rFonts w:ascii="Times New Roman" w:hAnsi="Times New Roman"/>
          <w:sz w:val="26"/>
          <w:szCs w:val="26"/>
          <w:lang w:val="uk-UA"/>
        </w:rPr>
        <w:lastRenderedPageBreak/>
        <w:t>За результатами оцінювання країн з використанням індексу екологічних досягнень (Environmental Performance Index) у 2016 р. Україна посіла 44-е місце, набравши 79,7 бали зі 100 можливих, що характеризують найгіршу ситуацію</w:t>
      </w:r>
      <w:r>
        <w:rPr>
          <w:rFonts w:ascii="Times New Roman" w:hAnsi="Times New Roman"/>
          <w:sz w:val="26"/>
          <w:szCs w:val="26"/>
          <w:vertAlign w:val="superscript"/>
          <w:lang w:val="uk-UA"/>
        </w:rPr>
        <w:endnoteReference w:id="24"/>
      </w:r>
      <w:r>
        <w:rPr>
          <w:rFonts w:ascii="Times New Roman" w:hAnsi="Times New Roman"/>
          <w:sz w:val="26"/>
          <w:szCs w:val="26"/>
          <w:lang w:val="uk-UA"/>
        </w:rPr>
        <w:t xml:space="preserve">. Наша </w:t>
      </w:r>
      <w:r>
        <w:rPr>
          <w:rFonts w:ascii="Times New Roman" w:hAnsi="Times New Roman"/>
          <w:sz w:val="26"/>
          <w:szCs w:val="26"/>
          <w:lang w:val="uk-UA" w:eastAsia="uk-UA"/>
        </w:rPr>
        <w:t xml:space="preserve">країна має найвищі в Європі показники розораності сільськогосподарських угідь, споживання водних ресурсів, вирубки лісів. Загрозливих масштабів набрали забруднення повітря у промислових центрах, водойм і ґрунтів. Статус зони “екологічного лиха” не додає Україні інвестиційної привабливості. </w:t>
      </w:r>
    </w:p>
    <w:p w14:paraId="0D06FFCB" w14:textId="77777777" w:rsidR="001125D0" w:rsidRDefault="001125D0" w:rsidP="001125D0">
      <w:pPr>
        <w:autoSpaceDE w:val="0"/>
        <w:autoSpaceDN w:val="0"/>
        <w:adjustRightInd w:val="0"/>
        <w:spacing w:after="0" w:line="240" w:lineRule="auto"/>
        <w:ind w:firstLine="567"/>
        <w:jc w:val="both"/>
        <w:rPr>
          <w:rFonts w:ascii="Times New Roman" w:hAnsi="Times New Roman"/>
          <w:iCs/>
          <w:color w:val="000000"/>
          <w:spacing w:val="-2"/>
          <w:sz w:val="26"/>
          <w:szCs w:val="26"/>
          <w:lang w:val="uk-UA"/>
        </w:rPr>
      </w:pPr>
      <w:r>
        <w:rPr>
          <w:rFonts w:ascii="Times New Roman" w:hAnsi="Times New Roman"/>
          <w:iCs/>
          <w:color w:val="000000"/>
          <w:spacing w:val="-2"/>
          <w:sz w:val="26"/>
          <w:szCs w:val="26"/>
          <w:lang w:val="uk-UA"/>
        </w:rPr>
        <w:t xml:space="preserve">Незважаючи на це, Україна має високий потенціал для забезпечення стійкого розвитку, </w:t>
      </w:r>
      <w:r>
        <w:rPr>
          <w:rFonts w:ascii="Times New Roman" w:hAnsi="Times New Roman"/>
          <w:spacing w:val="-2"/>
          <w:sz w:val="26"/>
          <w:szCs w:val="26"/>
          <w:lang w:val="uk-UA"/>
        </w:rPr>
        <w:t xml:space="preserve">адже на 6 % європейської території знаходиться 25 % її флори та фауни. </w:t>
      </w:r>
      <w:r>
        <w:rPr>
          <w:rFonts w:ascii="Times New Roman" w:hAnsi="Times New Roman"/>
          <w:iCs/>
          <w:color w:val="000000"/>
          <w:spacing w:val="-2"/>
          <w:sz w:val="26"/>
          <w:szCs w:val="26"/>
          <w:lang w:val="uk-UA"/>
        </w:rPr>
        <w:t>Перешкодою реалізації концепції стійкого розвитку в Україні є недостатність засобів. За досвідом Республіки Польща, до 2021 р. на забезпечення стійкого розвитку країна витратила 30-40 млрд. євро, щороку на ці потреби нею виділяється до 2 млрд. євро</w:t>
      </w:r>
      <w:r>
        <w:rPr>
          <w:rFonts w:ascii="Times New Roman" w:hAnsi="Times New Roman"/>
          <w:iCs/>
          <w:color w:val="000000"/>
          <w:spacing w:val="-2"/>
          <w:sz w:val="26"/>
          <w:szCs w:val="26"/>
          <w:vertAlign w:val="superscript"/>
          <w:lang w:val="uk-UA"/>
        </w:rPr>
        <w:endnoteReference w:id="25"/>
      </w:r>
      <w:r>
        <w:rPr>
          <w:rFonts w:ascii="Times New Roman" w:hAnsi="Times New Roman"/>
          <w:iCs/>
          <w:color w:val="000000"/>
          <w:spacing w:val="-2"/>
          <w:sz w:val="26"/>
          <w:szCs w:val="26"/>
          <w:lang w:val="uk-UA"/>
        </w:rPr>
        <w:t>. Попри те, що в Україні видатки державного бюджету на охорону навколишнього природного середовища мають позитивну динаміку (рис. 1.5), вони не досягають рівня країн Євросоюзу. Їх розмір був і є нереальним для бюджету України.</w:t>
      </w:r>
    </w:p>
    <w:p w14:paraId="608FC092" w14:textId="4CB66207" w:rsidR="001125D0" w:rsidRDefault="001125D0" w:rsidP="001125D0">
      <w:pPr>
        <w:autoSpaceDE w:val="0"/>
        <w:autoSpaceDN w:val="0"/>
        <w:adjustRightInd w:val="0"/>
        <w:spacing w:after="0" w:line="240" w:lineRule="auto"/>
        <w:jc w:val="center"/>
        <w:rPr>
          <w:rFonts w:ascii="Times New Roman" w:hAnsi="Times New Roman"/>
          <w:iCs/>
          <w:color w:val="000000"/>
          <w:sz w:val="26"/>
          <w:szCs w:val="26"/>
          <w:highlight w:val="yellow"/>
          <w:lang w:val="uk-UA"/>
        </w:rPr>
      </w:pPr>
      <w:r>
        <w:rPr>
          <w:rFonts w:ascii="Times New Roman" w:hAnsi="Times New Roman"/>
          <w:noProof/>
          <w:color w:val="000000"/>
          <w:sz w:val="26"/>
          <w:szCs w:val="26"/>
          <w:highlight w:val="yellow"/>
          <w:lang w:eastAsia="ru-RU"/>
        </w:rPr>
        <w:drawing>
          <wp:inline distT="0" distB="0" distL="0" distR="0" wp14:anchorId="1BBFFE0E" wp14:editId="3BDDF2BF">
            <wp:extent cx="4282440" cy="1501140"/>
            <wp:effectExtent l="0" t="0" r="3810" b="3810"/>
            <wp:docPr id="13665847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spect="1" noChangeArrowheads="1"/>
                    </pic:cNvPicPr>
                  </pic:nvPicPr>
                  <pic:blipFill>
                    <a:blip r:embed="rId13">
                      <a:extLst>
                        <a:ext uri="{28A0092B-C50C-407E-A947-70E740481C1C}">
                          <a14:useLocalDpi xmlns:a14="http://schemas.microsoft.com/office/drawing/2010/main" val="0"/>
                        </a:ext>
                      </a:extLst>
                    </a:blip>
                    <a:srcRect l="1260" t="2026" r="-73" b="13748"/>
                    <a:stretch>
                      <a:fillRect/>
                    </a:stretch>
                  </pic:blipFill>
                  <pic:spPr bwMode="auto">
                    <a:xfrm>
                      <a:off x="0" y="0"/>
                      <a:ext cx="4282440" cy="1501140"/>
                    </a:xfrm>
                    <a:prstGeom prst="rect">
                      <a:avLst/>
                    </a:prstGeom>
                    <a:noFill/>
                    <a:ln>
                      <a:noFill/>
                    </a:ln>
                  </pic:spPr>
                </pic:pic>
              </a:graphicData>
            </a:graphic>
          </wp:inline>
        </w:drawing>
      </w:r>
    </w:p>
    <w:p w14:paraId="05DB993A" w14:textId="77777777" w:rsidR="001125D0" w:rsidRDefault="001125D0" w:rsidP="001125D0">
      <w:pPr>
        <w:autoSpaceDE w:val="0"/>
        <w:autoSpaceDN w:val="0"/>
        <w:adjustRightInd w:val="0"/>
        <w:spacing w:after="0" w:line="240" w:lineRule="auto"/>
        <w:jc w:val="center"/>
        <w:rPr>
          <w:rFonts w:ascii="Times New Roman" w:hAnsi="Times New Roman"/>
          <w:i/>
          <w:iCs/>
          <w:color w:val="000000"/>
          <w:sz w:val="26"/>
          <w:szCs w:val="26"/>
          <w:lang w:val="uk-UA"/>
        </w:rPr>
      </w:pPr>
      <w:r>
        <w:rPr>
          <w:rFonts w:ascii="Times New Roman" w:hAnsi="Times New Roman"/>
          <w:i/>
          <w:iCs/>
          <w:color w:val="000000"/>
          <w:sz w:val="26"/>
          <w:szCs w:val="26"/>
          <w:lang w:val="uk-UA"/>
        </w:rPr>
        <w:t>Рис. 1.5. Динаміка видатків державного бюджету України</w:t>
      </w:r>
    </w:p>
    <w:p w14:paraId="54920708" w14:textId="77777777" w:rsidR="001125D0" w:rsidRDefault="001125D0" w:rsidP="001125D0">
      <w:pPr>
        <w:autoSpaceDE w:val="0"/>
        <w:autoSpaceDN w:val="0"/>
        <w:adjustRightInd w:val="0"/>
        <w:spacing w:after="0" w:line="240" w:lineRule="auto"/>
        <w:jc w:val="center"/>
        <w:rPr>
          <w:rFonts w:ascii="Times New Roman" w:hAnsi="Times New Roman"/>
          <w:i/>
          <w:iCs/>
          <w:color w:val="000000"/>
          <w:sz w:val="26"/>
          <w:szCs w:val="26"/>
          <w:lang w:val="uk-UA"/>
        </w:rPr>
      </w:pPr>
      <w:r>
        <w:rPr>
          <w:rFonts w:ascii="Times New Roman" w:hAnsi="Times New Roman"/>
          <w:i/>
          <w:iCs/>
          <w:color w:val="000000"/>
          <w:sz w:val="26"/>
          <w:szCs w:val="26"/>
          <w:lang w:val="uk-UA"/>
        </w:rPr>
        <w:t>на охорону навколишнього природного середовища</w:t>
      </w:r>
      <w:r>
        <w:rPr>
          <w:rFonts w:ascii="Times New Roman" w:hAnsi="Times New Roman"/>
          <w:i/>
          <w:iCs/>
          <w:color w:val="000000"/>
          <w:sz w:val="26"/>
          <w:szCs w:val="26"/>
          <w:vertAlign w:val="superscript"/>
          <w:lang w:val="uk-UA"/>
        </w:rPr>
        <w:endnoteReference w:id="26"/>
      </w:r>
    </w:p>
    <w:p w14:paraId="0124AA42" w14:textId="77777777" w:rsidR="001125D0" w:rsidRDefault="001125D0" w:rsidP="001125D0">
      <w:pPr>
        <w:autoSpaceDE w:val="0"/>
        <w:autoSpaceDN w:val="0"/>
        <w:adjustRightInd w:val="0"/>
        <w:spacing w:after="0" w:line="240" w:lineRule="auto"/>
        <w:ind w:firstLine="567"/>
        <w:jc w:val="both"/>
        <w:rPr>
          <w:rFonts w:ascii="Times New Roman" w:hAnsi="Times New Roman"/>
          <w:iCs/>
          <w:color w:val="000000"/>
          <w:sz w:val="26"/>
          <w:szCs w:val="26"/>
          <w:lang w:val="uk-UA"/>
        </w:rPr>
      </w:pPr>
    </w:p>
    <w:p w14:paraId="76A44C1D" w14:textId="32A222F9" w:rsidR="001125D0" w:rsidRDefault="001125D0" w:rsidP="001125D0">
      <w:pPr>
        <w:autoSpaceDE w:val="0"/>
        <w:autoSpaceDN w:val="0"/>
        <w:adjustRightInd w:val="0"/>
        <w:spacing w:after="0" w:line="240" w:lineRule="auto"/>
        <w:ind w:firstLine="567"/>
        <w:jc w:val="both"/>
        <w:rPr>
          <w:rFonts w:ascii="Times New Roman" w:hAnsi="Times New Roman"/>
          <w:iCs/>
          <w:color w:val="000000"/>
          <w:sz w:val="26"/>
          <w:szCs w:val="26"/>
          <w:lang w:val="uk-UA"/>
        </w:rPr>
      </w:pPr>
      <w:r>
        <w:rPr>
          <w:rFonts w:ascii="Times New Roman" w:hAnsi="Times New Roman"/>
          <w:iCs/>
          <w:color w:val="000000"/>
          <w:sz w:val="26"/>
          <w:szCs w:val="26"/>
          <w:lang w:val="uk-UA"/>
        </w:rPr>
        <w:t>Видатки державного бюджету України на охорону навколишнього природного середовища мали тенденцію до зростання. Така динаміка характеризує спрямованість країни на покращення екологічної ситуації. Та суми видатків, що виділяються в Україні, значно менші за аналогічні суми у розвинутих країнах.</w:t>
      </w:r>
    </w:p>
    <w:p w14:paraId="1808DFD6" w14:textId="11247C5B" w:rsidR="001125D0" w:rsidRDefault="001125D0" w:rsidP="001125D0">
      <w:pPr>
        <w:autoSpaceDE w:val="0"/>
        <w:autoSpaceDN w:val="0"/>
        <w:adjustRightInd w:val="0"/>
        <w:spacing w:after="0" w:line="240" w:lineRule="auto"/>
        <w:ind w:firstLine="567"/>
        <w:jc w:val="both"/>
        <w:rPr>
          <w:rFonts w:ascii="Times New Roman" w:eastAsia="Times New Roman" w:hAnsi="Times New Roman"/>
          <w:sz w:val="26"/>
          <w:szCs w:val="26"/>
          <w:lang w:val="uk-UA" w:eastAsia="ru-RU"/>
        </w:rPr>
      </w:pPr>
      <w:r>
        <w:rPr>
          <w:rFonts w:ascii="Times New Roman" w:hAnsi="Times New Roman"/>
          <w:spacing w:val="-4"/>
          <w:sz w:val="26"/>
          <w:szCs w:val="26"/>
          <w:lang w:val="uk-UA"/>
        </w:rPr>
        <w:t>Важливим інструментом забезпечення стійкого розвитку є оцінка екологічних наслідків. Відповідно до чотирнадцятого принципу Декларації з навколишнього середовища та розвитку, прийнятої в Ріо-де-Жанейро, “проводиться оцінка екологічних наслідків здійснюваної діяльності, яка може мати суттєві несприятливі наслідки для навколишнього середовища, на основі рішення компетентних національних влад” (п. 113)</w:t>
      </w:r>
      <w:r>
        <w:rPr>
          <w:rFonts w:ascii="Times New Roman" w:hAnsi="Times New Roman"/>
          <w:spacing w:val="-4"/>
          <w:sz w:val="26"/>
          <w:szCs w:val="26"/>
          <w:vertAlign w:val="superscript"/>
          <w:lang w:val="uk-UA"/>
        </w:rPr>
        <w:endnoteReference w:id="27"/>
      </w:r>
      <w:r>
        <w:rPr>
          <w:rFonts w:ascii="Times New Roman" w:hAnsi="Times New Roman"/>
          <w:spacing w:val="-4"/>
          <w:sz w:val="26"/>
          <w:szCs w:val="26"/>
          <w:lang w:val="uk-UA"/>
        </w:rPr>
        <w:t>. Тобто, для зменшення негативного впливу людини на навколишнє природне середовище необхідно, в першу чергу, виміряти зазначений вплив. В дослідженнях, проведених в західних країнах</w:t>
      </w:r>
      <w:r>
        <w:rPr>
          <w:rFonts w:ascii="Times New Roman" w:hAnsi="Times New Roman"/>
          <w:spacing w:val="-4"/>
          <w:sz w:val="26"/>
          <w:szCs w:val="26"/>
          <w:vertAlign w:val="superscript"/>
          <w:lang w:val="uk-UA"/>
        </w:rPr>
        <w:endnoteReference w:id="28"/>
      </w:r>
      <w:r>
        <w:rPr>
          <w:rFonts w:ascii="Times New Roman" w:hAnsi="Times New Roman"/>
          <w:spacing w:val="-4"/>
          <w:sz w:val="26"/>
          <w:szCs w:val="26"/>
          <w:lang w:val="uk-UA"/>
        </w:rPr>
        <w:t>, робляться спроби залучення обліку до реалізації концепції стійкого розвитку.</w:t>
      </w:r>
      <w:r>
        <w:rPr>
          <w:rFonts w:ascii="Times New Roman" w:eastAsia="Times New Roman" w:hAnsi="Times New Roman"/>
          <w:sz w:val="26"/>
          <w:szCs w:val="26"/>
          <w:lang w:val="uk-UA" w:eastAsia="ru-RU"/>
        </w:rPr>
        <w:t xml:space="preserve"> </w:t>
      </w:r>
    </w:p>
    <w:p w14:paraId="277FD7F4" w14:textId="77777777" w:rsidR="001125D0" w:rsidRDefault="001125D0" w:rsidP="001125D0">
      <w:pPr>
        <w:autoSpaceDE w:val="0"/>
        <w:autoSpaceDN w:val="0"/>
        <w:adjustRightInd w:val="0"/>
        <w:spacing w:after="0" w:line="240" w:lineRule="auto"/>
        <w:ind w:firstLine="567"/>
        <w:jc w:val="both"/>
        <w:rPr>
          <w:rFonts w:ascii="Times New Roman" w:eastAsia="Times New Roman" w:hAnsi="Times New Roman"/>
          <w:sz w:val="26"/>
          <w:szCs w:val="26"/>
          <w:lang w:val="uk-UA" w:eastAsia="ru-RU"/>
        </w:rPr>
      </w:pPr>
    </w:p>
    <w:p w14:paraId="48B8B023" w14:textId="77777777" w:rsidR="001125D0" w:rsidRDefault="001125D0" w:rsidP="001125D0">
      <w:pPr>
        <w:spacing w:after="0" w:line="240" w:lineRule="auto"/>
        <w:ind w:firstLine="709"/>
        <w:jc w:val="both"/>
        <w:rPr>
          <w:rFonts w:ascii="Times New Roman" w:eastAsia="Times New Roman" w:hAnsi="Times New Roman"/>
          <w:b/>
          <w:color w:val="000000"/>
          <w:spacing w:val="-1"/>
          <w:sz w:val="26"/>
          <w:szCs w:val="26"/>
          <w:lang w:val="uk-UA" w:eastAsia="ru-RU"/>
        </w:rPr>
      </w:pPr>
    </w:p>
    <w:p w14:paraId="6145B7A1" w14:textId="77777777" w:rsidR="001125D0" w:rsidRDefault="001125D0" w:rsidP="001125D0">
      <w:pPr>
        <w:spacing w:after="0" w:line="240" w:lineRule="auto"/>
        <w:ind w:firstLine="709"/>
        <w:jc w:val="both"/>
        <w:rPr>
          <w:rFonts w:ascii="Times New Roman" w:eastAsia="Times New Roman" w:hAnsi="Times New Roman"/>
          <w:b/>
          <w:color w:val="000000"/>
          <w:spacing w:val="-1"/>
          <w:sz w:val="26"/>
          <w:szCs w:val="26"/>
          <w:lang w:val="uk-UA" w:eastAsia="ru-RU"/>
        </w:rPr>
      </w:pPr>
    </w:p>
    <w:p w14:paraId="58C9032A" w14:textId="77777777" w:rsidR="001125D0" w:rsidRDefault="001125D0" w:rsidP="001125D0">
      <w:pPr>
        <w:spacing w:after="0" w:line="240" w:lineRule="auto"/>
        <w:ind w:firstLine="709"/>
        <w:jc w:val="both"/>
        <w:rPr>
          <w:rFonts w:ascii="Times New Roman" w:eastAsia="Times New Roman" w:hAnsi="Times New Roman"/>
          <w:b/>
          <w:color w:val="000000"/>
          <w:spacing w:val="-1"/>
          <w:sz w:val="26"/>
          <w:szCs w:val="26"/>
          <w:lang w:val="uk-UA" w:eastAsia="ru-RU"/>
        </w:rPr>
      </w:pPr>
    </w:p>
    <w:p w14:paraId="24E341DB" w14:textId="77777777" w:rsidR="001125D0" w:rsidRDefault="001125D0" w:rsidP="001125D0">
      <w:pPr>
        <w:spacing w:after="0" w:line="240" w:lineRule="auto"/>
        <w:ind w:firstLine="709"/>
        <w:jc w:val="both"/>
        <w:rPr>
          <w:rFonts w:ascii="Times New Roman" w:eastAsia="Times New Roman" w:hAnsi="Times New Roman"/>
          <w:b/>
          <w:color w:val="000000"/>
          <w:spacing w:val="-1"/>
          <w:sz w:val="26"/>
          <w:szCs w:val="26"/>
          <w:lang w:val="uk-UA" w:eastAsia="ru-RU"/>
        </w:rPr>
      </w:pPr>
    </w:p>
    <w:p w14:paraId="7C751A43" w14:textId="77777777" w:rsidR="001125D0" w:rsidRDefault="001125D0" w:rsidP="001125D0">
      <w:pPr>
        <w:spacing w:after="0" w:line="240" w:lineRule="auto"/>
        <w:ind w:firstLine="709"/>
        <w:jc w:val="both"/>
        <w:rPr>
          <w:rFonts w:ascii="Times New Roman" w:eastAsia="Times New Roman" w:hAnsi="Times New Roman"/>
          <w:b/>
          <w:color w:val="000000"/>
          <w:spacing w:val="-1"/>
          <w:sz w:val="26"/>
          <w:szCs w:val="26"/>
          <w:lang w:val="uk-UA" w:eastAsia="ru-RU"/>
        </w:rPr>
      </w:pPr>
    </w:p>
    <w:p w14:paraId="6D7950C3" w14:textId="77777777" w:rsidR="001125D0" w:rsidRDefault="001125D0" w:rsidP="001125D0">
      <w:pPr>
        <w:spacing w:after="0" w:line="240" w:lineRule="auto"/>
        <w:ind w:firstLine="709"/>
        <w:jc w:val="both"/>
        <w:rPr>
          <w:rFonts w:ascii="Times New Roman" w:eastAsia="Times New Roman" w:hAnsi="Times New Roman"/>
          <w:b/>
          <w:color w:val="000000"/>
          <w:spacing w:val="-1"/>
          <w:sz w:val="26"/>
          <w:szCs w:val="26"/>
          <w:lang w:val="uk-UA" w:eastAsia="ru-RU"/>
        </w:rPr>
      </w:pPr>
    </w:p>
    <w:p w14:paraId="6F6ABC80" w14:textId="77777777" w:rsidR="001125D0" w:rsidRDefault="001125D0" w:rsidP="001125D0">
      <w:pPr>
        <w:spacing w:after="0" w:line="240" w:lineRule="auto"/>
        <w:ind w:firstLine="709"/>
        <w:jc w:val="both"/>
        <w:rPr>
          <w:rFonts w:ascii="Times New Roman" w:eastAsia="Times New Roman" w:hAnsi="Times New Roman"/>
          <w:b/>
          <w:color w:val="000000"/>
          <w:spacing w:val="-1"/>
          <w:sz w:val="26"/>
          <w:szCs w:val="26"/>
          <w:lang w:val="uk-UA" w:eastAsia="ru-RU"/>
        </w:rPr>
      </w:pPr>
    </w:p>
    <w:p w14:paraId="46605311" w14:textId="77777777" w:rsidR="001125D0" w:rsidRDefault="001125D0" w:rsidP="001125D0">
      <w:pPr>
        <w:spacing w:after="0" w:line="240" w:lineRule="auto"/>
        <w:ind w:firstLine="709"/>
        <w:jc w:val="both"/>
        <w:rPr>
          <w:rFonts w:ascii="Times New Roman" w:eastAsia="Times New Roman" w:hAnsi="Times New Roman"/>
          <w:b/>
          <w:color w:val="000000"/>
          <w:spacing w:val="-1"/>
          <w:sz w:val="26"/>
          <w:szCs w:val="26"/>
          <w:lang w:val="uk-UA" w:eastAsia="ru-RU"/>
        </w:rPr>
      </w:pPr>
    </w:p>
    <w:p w14:paraId="6E8C82DB" w14:textId="6CCE6E09" w:rsidR="001125D0" w:rsidRDefault="001125D0" w:rsidP="001125D0">
      <w:pPr>
        <w:spacing w:after="0" w:line="240" w:lineRule="auto"/>
        <w:ind w:firstLine="709"/>
        <w:jc w:val="both"/>
        <w:rPr>
          <w:rFonts w:ascii="Times New Roman" w:eastAsia="Times New Roman" w:hAnsi="Times New Roman"/>
          <w:b/>
          <w:color w:val="000000"/>
          <w:spacing w:val="-1"/>
          <w:sz w:val="26"/>
          <w:szCs w:val="26"/>
          <w:lang w:val="uk-UA" w:eastAsia="ru-RU"/>
        </w:rPr>
      </w:pPr>
      <w:r>
        <w:rPr>
          <w:rFonts w:ascii="Times New Roman" w:eastAsia="Times New Roman" w:hAnsi="Times New Roman"/>
          <w:b/>
          <w:color w:val="000000"/>
          <w:spacing w:val="-1"/>
          <w:sz w:val="26"/>
          <w:szCs w:val="26"/>
          <w:lang w:val="uk-UA" w:eastAsia="ru-RU"/>
        </w:rPr>
        <w:lastRenderedPageBreak/>
        <w:t>1.2. Індикатори та індекси сталого розвитку</w:t>
      </w:r>
    </w:p>
    <w:p w14:paraId="1F84F5E2" w14:textId="77777777" w:rsidR="001125D0" w:rsidRDefault="001125D0" w:rsidP="001125D0">
      <w:pPr>
        <w:spacing w:after="0" w:line="240" w:lineRule="auto"/>
        <w:ind w:firstLine="709"/>
        <w:jc w:val="center"/>
        <w:rPr>
          <w:rFonts w:ascii="Times New Roman" w:eastAsia="Times New Roman" w:hAnsi="Times New Roman"/>
          <w:b/>
          <w:color w:val="000000"/>
          <w:spacing w:val="-1"/>
          <w:sz w:val="26"/>
          <w:szCs w:val="26"/>
          <w:lang w:val="uk-UA" w:eastAsia="ru-RU"/>
        </w:rPr>
      </w:pPr>
    </w:p>
    <w:p w14:paraId="4AD9AF59" w14:textId="6F420971" w:rsidR="001125D0" w:rsidRDefault="001125D0" w:rsidP="001125D0">
      <w:pPr>
        <w:spacing w:after="0" w:line="240" w:lineRule="auto"/>
        <w:jc w:val="center"/>
        <w:rPr>
          <w:rFonts w:ascii="Times New Roman" w:eastAsia="Times New Roman" w:hAnsi="Times New Roman"/>
          <w:b/>
          <w:color w:val="000000"/>
          <w:spacing w:val="-1"/>
          <w:sz w:val="26"/>
          <w:szCs w:val="26"/>
          <w:lang w:val="uk-UA" w:eastAsia="ru-RU"/>
        </w:rPr>
      </w:pPr>
      <w:r>
        <w:rPr>
          <w:rFonts w:ascii="Times New Roman" w:hAnsi="Times New Roman"/>
          <w:noProof/>
          <w:sz w:val="26"/>
          <w:szCs w:val="26"/>
        </w:rPr>
        <mc:AlternateContent>
          <mc:Choice Requires="wpc">
            <w:drawing>
              <wp:inline distT="0" distB="0" distL="0" distR="0" wp14:anchorId="3F89695C" wp14:editId="4EA6C78B">
                <wp:extent cx="5346700" cy="2291080"/>
                <wp:effectExtent l="0" t="0" r="6350" b="4445"/>
                <wp:docPr id="1364354072" name="Полотно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75081803" name="AutoShape 10"/>
                        <wps:cNvSpPr>
                          <a:spLocks noChangeArrowheads="1"/>
                        </wps:cNvSpPr>
                        <wps:spPr bwMode="auto">
                          <a:xfrm>
                            <a:off x="184106" y="80322"/>
                            <a:ext cx="5162594" cy="891188"/>
                          </a:xfrm>
                          <a:prstGeom prst="roundRect">
                            <a:avLst>
                              <a:gd name="adj" fmla="val 16667"/>
                            </a:avLst>
                          </a:prstGeom>
                          <a:solidFill>
                            <a:srgbClr val="FFFFFF"/>
                          </a:solidFill>
                          <a:ln w="9525">
                            <a:solidFill>
                              <a:srgbClr val="000000"/>
                            </a:solidFill>
                            <a:round/>
                            <a:headEnd/>
                            <a:tailEnd/>
                          </a:ln>
                        </wps:spPr>
                        <wps:txbx>
                          <w:txbxContent>
                            <w:p w14:paraId="02456B75" w14:textId="77777777" w:rsidR="001125D0" w:rsidRDefault="001125D0" w:rsidP="001125D0">
                              <w:pPr>
                                <w:spacing w:after="0" w:line="240" w:lineRule="auto"/>
                                <w:jc w:val="both"/>
                                <w:rPr>
                                  <w:rFonts w:ascii="Times New Roman" w:eastAsia="Times New Roman" w:hAnsi="Times New Roman"/>
                                  <w:color w:val="000000"/>
                                  <w:spacing w:val="-1"/>
                                  <w:sz w:val="24"/>
                                  <w:szCs w:val="24"/>
                                  <w:lang w:val="uk-UA" w:eastAsia="ru-RU"/>
                                </w:rPr>
                              </w:pPr>
                              <w:r>
                                <w:rPr>
                                  <w:rFonts w:ascii="Times New Roman" w:eastAsia="Times New Roman" w:hAnsi="Times New Roman"/>
                                  <w:b/>
                                  <w:bCs/>
                                  <w:color w:val="000000"/>
                                  <w:spacing w:val="-1"/>
                                  <w:sz w:val="24"/>
                                  <w:szCs w:val="24"/>
                                  <w:lang w:val="uk-UA" w:eastAsia="ru-RU"/>
                                </w:rPr>
                                <w:t>Індикáтор сталого розвитку</w:t>
                              </w:r>
                              <w:r>
                                <w:rPr>
                                  <w:rFonts w:ascii="Times New Roman" w:eastAsia="Times New Roman" w:hAnsi="Times New Roman"/>
                                  <w:bCs/>
                                  <w:color w:val="000000"/>
                                  <w:spacing w:val="-1"/>
                                  <w:sz w:val="24"/>
                                  <w:szCs w:val="24"/>
                                  <w:lang w:val="uk-UA" w:eastAsia="ru-RU"/>
                                </w:rPr>
                                <w:t xml:space="preserve"> </w:t>
                              </w:r>
                              <w:r>
                                <w:rPr>
                                  <w:rFonts w:ascii="Times New Roman" w:eastAsia="Times New Roman" w:hAnsi="Times New Roman"/>
                                  <w:color w:val="000000"/>
                                  <w:spacing w:val="-1"/>
                                  <w:sz w:val="24"/>
                                  <w:szCs w:val="24"/>
                                  <w:lang w:val="uk-UA" w:eastAsia="ru-RU"/>
                                </w:rPr>
                                <w:t xml:space="preserve">(англ. </w:t>
                              </w:r>
                              <w:r>
                                <w:rPr>
                                  <w:rFonts w:ascii="Times New Roman" w:eastAsia="Times New Roman" w:hAnsi="Times New Roman"/>
                                  <w:color w:val="000000"/>
                                  <w:spacing w:val="-1"/>
                                  <w:sz w:val="24"/>
                                  <w:szCs w:val="24"/>
                                  <w:lang w:val="en-US" w:eastAsia="ru-RU"/>
                                </w:rPr>
                                <w:t>index</w:t>
                              </w:r>
                              <w:r>
                                <w:rPr>
                                  <w:rFonts w:ascii="Times New Roman" w:eastAsia="Times New Roman" w:hAnsi="Times New Roman"/>
                                  <w:color w:val="000000"/>
                                  <w:spacing w:val="-1"/>
                                  <w:sz w:val="24"/>
                                  <w:szCs w:val="24"/>
                                  <w:lang w:val="uk-UA" w:eastAsia="ru-RU"/>
                                </w:rPr>
                                <w:t xml:space="preserve"> </w:t>
                              </w:r>
                              <w:r>
                                <w:rPr>
                                  <w:rFonts w:ascii="Times New Roman" w:eastAsia="Times New Roman" w:hAnsi="Times New Roman"/>
                                  <w:color w:val="000000"/>
                                  <w:spacing w:val="-1"/>
                                  <w:sz w:val="24"/>
                                  <w:szCs w:val="24"/>
                                  <w:lang w:val="en-US" w:eastAsia="ru-RU"/>
                                </w:rPr>
                                <w:t>of</w:t>
                              </w:r>
                              <w:r>
                                <w:rPr>
                                  <w:rFonts w:ascii="Times New Roman" w:eastAsia="Times New Roman" w:hAnsi="Times New Roman"/>
                                  <w:color w:val="000000"/>
                                  <w:spacing w:val="-1"/>
                                  <w:sz w:val="24"/>
                                  <w:szCs w:val="24"/>
                                  <w:lang w:val="uk-UA" w:eastAsia="ru-RU"/>
                                </w:rPr>
                                <w:t xml:space="preserve"> </w:t>
                              </w:r>
                              <w:r>
                                <w:rPr>
                                  <w:rFonts w:ascii="Times New Roman" w:eastAsia="Times New Roman" w:hAnsi="Times New Roman"/>
                                  <w:color w:val="000000"/>
                                  <w:spacing w:val="-1"/>
                                  <w:sz w:val="24"/>
                                  <w:szCs w:val="24"/>
                                  <w:lang w:val="en-US" w:eastAsia="ru-RU"/>
                                </w:rPr>
                                <w:t>sustainable</w:t>
                              </w:r>
                              <w:r>
                                <w:rPr>
                                  <w:rFonts w:ascii="Times New Roman" w:eastAsia="Times New Roman" w:hAnsi="Times New Roman"/>
                                  <w:color w:val="000000"/>
                                  <w:spacing w:val="-1"/>
                                  <w:sz w:val="24"/>
                                  <w:szCs w:val="24"/>
                                  <w:lang w:val="uk-UA" w:eastAsia="ru-RU"/>
                                </w:rPr>
                                <w:t xml:space="preserve"> </w:t>
                              </w:r>
                              <w:r>
                                <w:rPr>
                                  <w:rFonts w:ascii="Times New Roman" w:eastAsia="Times New Roman" w:hAnsi="Times New Roman"/>
                                  <w:color w:val="000000"/>
                                  <w:spacing w:val="-1"/>
                                  <w:sz w:val="24"/>
                                  <w:szCs w:val="24"/>
                                  <w:lang w:val="en-US" w:eastAsia="ru-RU"/>
                                </w:rPr>
                                <w:t>development</w:t>
                              </w:r>
                              <w:r>
                                <w:rPr>
                                  <w:rFonts w:ascii="Times New Roman" w:eastAsia="Times New Roman" w:hAnsi="Times New Roman"/>
                                  <w:color w:val="000000"/>
                                  <w:spacing w:val="-1"/>
                                  <w:sz w:val="24"/>
                                  <w:szCs w:val="24"/>
                                  <w:lang w:val="uk-UA" w:eastAsia="ru-RU"/>
                                </w:rPr>
                                <w:t>) — показник (виведений з первинних даних, які зазвичай не можна використовувати для інтерпретації змін); який дозволяє судити про стан або зміни економічної, соціальної або екологічної змінної.</w:t>
                              </w:r>
                            </w:p>
                            <w:p w14:paraId="3C3813F0" w14:textId="77777777" w:rsidR="001125D0" w:rsidRDefault="001125D0" w:rsidP="001125D0">
                              <w:pPr>
                                <w:rPr>
                                  <w:rFonts w:ascii="Times New Roman" w:eastAsia="Times New Roman" w:hAnsi="Times New Roman"/>
                                  <w:color w:val="000000"/>
                                  <w:spacing w:val="-1"/>
                                  <w:sz w:val="24"/>
                                  <w:szCs w:val="24"/>
                                  <w:lang w:val="uk-UA" w:eastAsia="ru-RU"/>
                                </w:rPr>
                              </w:pPr>
                            </w:p>
                          </w:txbxContent>
                        </wps:txbx>
                        <wps:bodyPr rot="0" vert="horz" wrap="square" lIns="91440" tIns="45720" rIns="91440" bIns="45720" anchor="t" anchorCtr="0" upright="1">
                          <a:noAutofit/>
                        </wps:bodyPr>
                      </wps:wsp>
                      <wps:wsp>
                        <wps:cNvPr id="251771650" name="AutoShape 11"/>
                        <wps:cNvSpPr>
                          <a:spLocks noChangeArrowheads="1"/>
                        </wps:cNvSpPr>
                        <wps:spPr bwMode="auto">
                          <a:xfrm>
                            <a:off x="184106" y="971510"/>
                            <a:ext cx="5162594" cy="1224714"/>
                          </a:xfrm>
                          <a:prstGeom prst="roundRect">
                            <a:avLst>
                              <a:gd name="adj" fmla="val 16667"/>
                            </a:avLst>
                          </a:prstGeom>
                          <a:solidFill>
                            <a:srgbClr val="FFFFFF"/>
                          </a:solidFill>
                          <a:ln w="9525">
                            <a:solidFill>
                              <a:srgbClr val="000000"/>
                            </a:solidFill>
                            <a:round/>
                            <a:headEnd/>
                            <a:tailEnd/>
                          </a:ln>
                        </wps:spPr>
                        <wps:txbx>
                          <w:txbxContent>
                            <w:p w14:paraId="1437403B" w14:textId="77777777" w:rsidR="001125D0" w:rsidRDefault="001125D0" w:rsidP="001125D0">
                              <w:pPr>
                                <w:spacing w:after="0" w:line="240" w:lineRule="auto"/>
                                <w:jc w:val="both"/>
                                <w:rPr>
                                  <w:rFonts w:ascii="Times New Roman" w:hAnsi="Times New Roman"/>
                                  <w:sz w:val="24"/>
                                  <w:szCs w:val="24"/>
                                  <w:lang w:val="uk-UA"/>
                                </w:rPr>
                              </w:pPr>
                              <w:r>
                                <w:rPr>
                                  <w:rFonts w:ascii="Times New Roman" w:hAnsi="Times New Roman"/>
                                  <w:b/>
                                  <w:sz w:val="24"/>
                                  <w:szCs w:val="24"/>
                                </w:rPr>
                                <w:t>Індекс сталого розвитку</w:t>
                              </w:r>
                              <w:r>
                                <w:rPr>
                                  <w:rFonts w:ascii="Times New Roman" w:hAnsi="Times New Roman"/>
                                  <w:sz w:val="24"/>
                                  <w:szCs w:val="24"/>
                                </w:rPr>
                                <w:t xml:space="preserve"> – інтегрована оцінка, яка враховує сумісно усі три виміри сталого розвитку, і, тим самим, відображає взаємозв’язок між трьома нероздільними сферами розвитку суспільства, економічною, екологічною та соціальною.</w:t>
                              </w:r>
                              <w:r>
                                <w:rPr>
                                  <w:rFonts w:ascii="Times New Roman" w:eastAsia="Times New Roman" w:hAnsi="Times New Roman"/>
                                  <w:bCs/>
                                  <w:color w:val="000000"/>
                                  <w:spacing w:val="-1"/>
                                  <w:sz w:val="26"/>
                                  <w:szCs w:val="26"/>
                                  <w:lang w:val="uk-UA" w:eastAsia="ru-RU"/>
                                </w:rPr>
                                <w:t xml:space="preserve"> </w:t>
                              </w:r>
                              <w:r>
                                <w:rPr>
                                  <w:rFonts w:ascii="Times New Roman" w:eastAsia="Times New Roman" w:hAnsi="Times New Roman"/>
                                  <w:bCs/>
                                  <w:color w:val="000000"/>
                                  <w:spacing w:val="-1"/>
                                  <w:sz w:val="24"/>
                                  <w:szCs w:val="24"/>
                                  <w:lang w:val="uk-UA" w:eastAsia="ru-RU"/>
                                </w:rPr>
                                <w:t xml:space="preserve">Основною метою </w:t>
                              </w:r>
                              <w:r>
                                <w:rPr>
                                  <w:rFonts w:ascii="Times New Roman" w:eastAsia="Times New Roman" w:hAnsi="Times New Roman"/>
                                  <w:color w:val="000000"/>
                                  <w:spacing w:val="-1"/>
                                  <w:sz w:val="24"/>
                                  <w:szCs w:val="24"/>
                                  <w:lang w:val="uk-UA" w:eastAsia="ru-RU"/>
                                </w:rPr>
                                <w:t>введення індексів є оцінка ситуації або події, тобто моніторинг, для прогнозу розвитку ситуації, що склалася, і розробки її вирішення.</w:t>
                              </w:r>
                            </w:p>
                            <w:p w14:paraId="26A7DFBE" w14:textId="77777777" w:rsidR="001125D0" w:rsidRDefault="001125D0" w:rsidP="001125D0">
                              <w:pPr>
                                <w:rPr>
                                  <w:rFonts w:ascii="Times New Roman" w:hAnsi="Times New Roman"/>
                                  <w:sz w:val="24"/>
                                  <w:szCs w:val="24"/>
                                  <w:lang w:val="uk-UA"/>
                                </w:rPr>
                              </w:pPr>
                            </w:p>
                          </w:txbxContent>
                        </wps:txbx>
                        <wps:bodyPr rot="0" vert="horz" wrap="square" lIns="91440" tIns="45720" rIns="91440" bIns="45720" anchor="t" anchorCtr="0" upright="1">
                          <a:noAutofit/>
                        </wps:bodyPr>
                      </wps:wsp>
                    </wpc:wpc>
                  </a:graphicData>
                </a:graphic>
              </wp:inline>
            </w:drawing>
          </mc:Choice>
          <mc:Fallback>
            <w:pict>
              <v:group w14:anchorId="3F89695C" id="Полотно 6" o:spid="_x0000_s1043" editas="canvas" style="width:421pt;height:180.4pt;mso-position-horizontal-relative:char;mso-position-vertical-relative:line" coordsize="53467,2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">
                <v:shape id="_x0000_s1044" type="#_x0000_t75" style="position:absolute;width:53467;height:22910;visibility:visible;mso-wrap-style:square">
                  <v:fill o:detectmouseclick="t"/>
                  <v:path o:connecttype="none"/>
                </v:shape>
                <v:roundrect id="AutoShape 10" o:spid="_x0000_s1045" style="position:absolute;left:1841;top:803;width:51626;height:89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">
                  <v:textbox>
                    <w:txbxContent>
                      <w:p w14:paraId="02456B75" w14:textId="77777777" w:rsidR="001125D0" w:rsidRDefault="001125D0" w:rsidP="001125D0">
                        <w:pPr>
                          <w:spacing w:after="0" w:line="240" w:lineRule="auto"/>
                          <w:jc w:val="both"/>
                          <w:rPr>
                            <w:rFonts w:ascii="Times New Roman" w:eastAsia="Times New Roman" w:hAnsi="Times New Roman"/>
                            <w:color w:val="000000"/>
                            <w:spacing w:val="-1"/>
                            <w:sz w:val="24"/>
                            <w:szCs w:val="24"/>
                            <w:lang w:val="uk-UA" w:eastAsia="ru-RU"/>
                          </w:rPr>
                        </w:pPr>
                        <w:r>
                          <w:rPr>
                            <w:rFonts w:ascii="Times New Roman" w:eastAsia="Times New Roman" w:hAnsi="Times New Roman"/>
                            <w:b/>
                            <w:bCs/>
                            <w:color w:val="000000"/>
                            <w:spacing w:val="-1"/>
                            <w:sz w:val="24"/>
                            <w:szCs w:val="24"/>
                            <w:lang w:val="uk-UA" w:eastAsia="ru-RU"/>
                          </w:rPr>
                          <w:t>Індикáтор сталого розвитку</w:t>
                        </w:r>
                        <w:r>
                          <w:rPr>
                            <w:rFonts w:ascii="Times New Roman" w:eastAsia="Times New Roman" w:hAnsi="Times New Roman"/>
                            <w:bCs/>
                            <w:color w:val="000000"/>
                            <w:spacing w:val="-1"/>
                            <w:sz w:val="24"/>
                            <w:szCs w:val="24"/>
                            <w:lang w:val="uk-UA" w:eastAsia="ru-RU"/>
                          </w:rPr>
                          <w:t xml:space="preserve"> </w:t>
                        </w:r>
                        <w:r>
                          <w:rPr>
                            <w:rFonts w:ascii="Times New Roman" w:eastAsia="Times New Roman" w:hAnsi="Times New Roman"/>
                            <w:color w:val="000000"/>
                            <w:spacing w:val="-1"/>
                            <w:sz w:val="24"/>
                            <w:szCs w:val="24"/>
                            <w:lang w:val="uk-UA" w:eastAsia="ru-RU"/>
                          </w:rPr>
                          <w:t>(</w:t>
                        </w:r>
                        <w:proofErr w:type="spellStart"/>
                        <w:r>
                          <w:rPr>
                            <w:rFonts w:ascii="Times New Roman" w:eastAsia="Times New Roman" w:hAnsi="Times New Roman"/>
                            <w:color w:val="000000"/>
                            <w:spacing w:val="-1"/>
                            <w:sz w:val="24"/>
                            <w:szCs w:val="24"/>
                            <w:lang w:val="uk-UA" w:eastAsia="ru-RU"/>
                          </w:rPr>
                          <w:t>англ</w:t>
                        </w:r>
                        <w:proofErr w:type="spellEnd"/>
                        <w:r>
                          <w:rPr>
                            <w:rFonts w:ascii="Times New Roman" w:eastAsia="Times New Roman" w:hAnsi="Times New Roman"/>
                            <w:color w:val="000000"/>
                            <w:spacing w:val="-1"/>
                            <w:sz w:val="24"/>
                            <w:szCs w:val="24"/>
                            <w:lang w:val="uk-UA" w:eastAsia="ru-RU"/>
                          </w:rPr>
                          <w:t xml:space="preserve">. </w:t>
                        </w:r>
                        <w:r>
                          <w:rPr>
                            <w:rFonts w:ascii="Times New Roman" w:eastAsia="Times New Roman" w:hAnsi="Times New Roman"/>
                            <w:color w:val="000000"/>
                            <w:spacing w:val="-1"/>
                            <w:sz w:val="24"/>
                            <w:szCs w:val="24"/>
                            <w:lang w:val="en-US" w:eastAsia="ru-RU"/>
                          </w:rPr>
                          <w:t>index</w:t>
                        </w:r>
                        <w:r>
                          <w:rPr>
                            <w:rFonts w:ascii="Times New Roman" w:eastAsia="Times New Roman" w:hAnsi="Times New Roman"/>
                            <w:color w:val="000000"/>
                            <w:spacing w:val="-1"/>
                            <w:sz w:val="24"/>
                            <w:szCs w:val="24"/>
                            <w:lang w:val="uk-UA" w:eastAsia="ru-RU"/>
                          </w:rPr>
                          <w:t xml:space="preserve"> </w:t>
                        </w:r>
                        <w:r>
                          <w:rPr>
                            <w:rFonts w:ascii="Times New Roman" w:eastAsia="Times New Roman" w:hAnsi="Times New Roman"/>
                            <w:color w:val="000000"/>
                            <w:spacing w:val="-1"/>
                            <w:sz w:val="24"/>
                            <w:szCs w:val="24"/>
                            <w:lang w:val="en-US" w:eastAsia="ru-RU"/>
                          </w:rPr>
                          <w:t>of</w:t>
                        </w:r>
                        <w:r>
                          <w:rPr>
                            <w:rFonts w:ascii="Times New Roman" w:eastAsia="Times New Roman" w:hAnsi="Times New Roman"/>
                            <w:color w:val="000000"/>
                            <w:spacing w:val="-1"/>
                            <w:sz w:val="24"/>
                            <w:szCs w:val="24"/>
                            <w:lang w:val="uk-UA" w:eastAsia="ru-RU"/>
                          </w:rPr>
                          <w:t xml:space="preserve"> </w:t>
                        </w:r>
                        <w:r>
                          <w:rPr>
                            <w:rFonts w:ascii="Times New Roman" w:eastAsia="Times New Roman" w:hAnsi="Times New Roman"/>
                            <w:color w:val="000000"/>
                            <w:spacing w:val="-1"/>
                            <w:sz w:val="24"/>
                            <w:szCs w:val="24"/>
                            <w:lang w:val="en-US" w:eastAsia="ru-RU"/>
                          </w:rPr>
                          <w:t>sustainable</w:t>
                        </w:r>
                        <w:r>
                          <w:rPr>
                            <w:rFonts w:ascii="Times New Roman" w:eastAsia="Times New Roman" w:hAnsi="Times New Roman"/>
                            <w:color w:val="000000"/>
                            <w:spacing w:val="-1"/>
                            <w:sz w:val="24"/>
                            <w:szCs w:val="24"/>
                            <w:lang w:val="uk-UA" w:eastAsia="ru-RU"/>
                          </w:rPr>
                          <w:t xml:space="preserve"> </w:t>
                        </w:r>
                        <w:r>
                          <w:rPr>
                            <w:rFonts w:ascii="Times New Roman" w:eastAsia="Times New Roman" w:hAnsi="Times New Roman"/>
                            <w:color w:val="000000"/>
                            <w:spacing w:val="-1"/>
                            <w:sz w:val="24"/>
                            <w:szCs w:val="24"/>
                            <w:lang w:val="en-US" w:eastAsia="ru-RU"/>
                          </w:rPr>
                          <w:t>development</w:t>
                        </w:r>
                        <w:r>
                          <w:rPr>
                            <w:rFonts w:ascii="Times New Roman" w:eastAsia="Times New Roman" w:hAnsi="Times New Roman"/>
                            <w:color w:val="000000"/>
                            <w:spacing w:val="-1"/>
                            <w:sz w:val="24"/>
                            <w:szCs w:val="24"/>
                            <w:lang w:val="uk-UA" w:eastAsia="ru-RU"/>
                          </w:rPr>
                          <w:t>) — показник (виведений з первинних даних, які зазвичай не можна використовувати для інтерпретації змін); який дозволяє судити про стан або зміни економічної, соціальної або екологічної змінної.</w:t>
                        </w:r>
                      </w:p>
                      <w:p w14:paraId="3C3813F0" w14:textId="77777777" w:rsidR="001125D0" w:rsidRDefault="001125D0" w:rsidP="001125D0">
                        <w:pPr>
                          <w:rPr>
                            <w:rFonts w:ascii="Times New Roman" w:eastAsia="Times New Roman" w:hAnsi="Times New Roman"/>
                            <w:color w:val="000000"/>
                            <w:spacing w:val="-1"/>
                            <w:sz w:val="24"/>
                            <w:szCs w:val="24"/>
                            <w:lang w:val="uk-UA" w:eastAsia="ru-RU"/>
                          </w:rPr>
                        </w:pPr>
                      </w:p>
                    </w:txbxContent>
                  </v:textbox>
                </v:roundrect>
                <v:roundrect id="AutoShape 11" o:spid="_x0000_s1046" style="position:absolute;left:1841;top:9715;width:51626;height:122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">
                  <v:textbox>
                    <w:txbxContent>
                      <w:p w14:paraId="1437403B" w14:textId="77777777" w:rsidR="001125D0" w:rsidRDefault="001125D0" w:rsidP="001125D0">
                        <w:pPr>
                          <w:spacing w:after="0" w:line="240" w:lineRule="auto"/>
                          <w:jc w:val="both"/>
                          <w:rPr>
                            <w:rFonts w:ascii="Times New Roman" w:hAnsi="Times New Roman"/>
                            <w:sz w:val="24"/>
                            <w:szCs w:val="24"/>
                            <w:lang w:val="uk-UA"/>
                          </w:rPr>
                        </w:pPr>
                        <w:proofErr w:type="spellStart"/>
                        <w:r>
                          <w:rPr>
                            <w:rFonts w:ascii="Times New Roman" w:hAnsi="Times New Roman"/>
                            <w:b/>
                            <w:sz w:val="24"/>
                            <w:szCs w:val="24"/>
                          </w:rPr>
                          <w:t>Індекс</w:t>
                        </w:r>
                        <w:proofErr w:type="spellEnd"/>
                        <w:r>
                          <w:rPr>
                            <w:rFonts w:ascii="Times New Roman" w:hAnsi="Times New Roman"/>
                            <w:b/>
                            <w:sz w:val="24"/>
                            <w:szCs w:val="24"/>
                          </w:rPr>
                          <w:t xml:space="preserve"> </w:t>
                        </w:r>
                        <w:proofErr w:type="spellStart"/>
                        <w:r>
                          <w:rPr>
                            <w:rFonts w:ascii="Times New Roman" w:hAnsi="Times New Roman"/>
                            <w:b/>
                            <w:sz w:val="24"/>
                            <w:szCs w:val="24"/>
                          </w:rPr>
                          <w:t>сталого</w:t>
                        </w:r>
                        <w:proofErr w:type="spellEnd"/>
                        <w:r>
                          <w:rPr>
                            <w:rFonts w:ascii="Times New Roman" w:hAnsi="Times New Roman"/>
                            <w:b/>
                            <w:sz w:val="24"/>
                            <w:szCs w:val="24"/>
                          </w:rPr>
                          <w:t xml:space="preserve"> </w:t>
                        </w:r>
                        <w:proofErr w:type="spellStart"/>
                        <w:r>
                          <w:rPr>
                            <w:rFonts w:ascii="Times New Roman" w:hAnsi="Times New Roman"/>
                            <w:b/>
                            <w:sz w:val="24"/>
                            <w:szCs w:val="24"/>
                          </w:rPr>
                          <w:t>розвитку</w:t>
                        </w:r>
                        <w:proofErr w:type="spellEnd"/>
                        <w:r>
                          <w:rPr>
                            <w:rFonts w:ascii="Times New Roman" w:hAnsi="Times New Roman"/>
                            <w:sz w:val="24"/>
                            <w:szCs w:val="24"/>
                          </w:rPr>
                          <w:t xml:space="preserve"> – </w:t>
                        </w:r>
                        <w:proofErr w:type="spellStart"/>
                        <w:r>
                          <w:rPr>
                            <w:rFonts w:ascii="Times New Roman" w:hAnsi="Times New Roman"/>
                            <w:sz w:val="24"/>
                            <w:szCs w:val="24"/>
                          </w:rPr>
                          <w:t>інтегрована</w:t>
                        </w:r>
                        <w:proofErr w:type="spellEnd"/>
                        <w:r>
                          <w:rPr>
                            <w:rFonts w:ascii="Times New Roman" w:hAnsi="Times New Roman"/>
                            <w:sz w:val="24"/>
                            <w:szCs w:val="24"/>
                          </w:rPr>
                          <w:t xml:space="preserve"> </w:t>
                        </w:r>
                        <w:proofErr w:type="spellStart"/>
                        <w:r>
                          <w:rPr>
                            <w:rFonts w:ascii="Times New Roman" w:hAnsi="Times New Roman"/>
                            <w:sz w:val="24"/>
                            <w:szCs w:val="24"/>
                          </w:rPr>
                          <w:t>оцінка</w:t>
                        </w:r>
                        <w:proofErr w:type="spellEnd"/>
                        <w:r>
                          <w:rPr>
                            <w:rFonts w:ascii="Times New Roman" w:hAnsi="Times New Roman"/>
                            <w:sz w:val="24"/>
                            <w:szCs w:val="24"/>
                          </w:rPr>
                          <w:t xml:space="preserve">, яка </w:t>
                        </w:r>
                        <w:proofErr w:type="spellStart"/>
                        <w:r>
                          <w:rPr>
                            <w:rFonts w:ascii="Times New Roman" w:hAnsi="Times New Roman"/>
                            <w:sz w:val="24"/>
                            <w:szCs w:val="24"/>
                          </w:rPr>
                          <w:t>враховує</w:t>
                        </w:r>
                        <w:proofErr w:type="spellEnd"/>
                        <w:r>
                          <w:rPr>
                            <w:rFonts w:ascii="Times New Roman" w:hAnsi="Times New Roman"/>
                            <w:sz w:val="24"/>
                            <w:szCs w:val="24"/>
                          </w:rPr>
                          <w:t xml:space="preserve"> </w:t>
                        </w:r>
                        <w:proofErr w:type="spellStart"/>
                        <w:r>
                          <w:rPr>
                            <w:rFonts w:ascii="Times New Roman" w:hAnsi="Times New Roman"/>
                            <w:sz w:val="24"/>
                            <w:szCs w:val="24"/>
                          </w:rPr>
                          <w:t>сумісно</w:t>
                        </w:r>
                        <w:proofErr w:type="spellEnd"/>
                        <w:r>
                          <w:rPr>
                            <w:rFonts w:ascii="Times New Roman" w:hAnsi="Times New Roman"/>
                            <w:sz w:val="24"/>
                            <w:szCs w:val="24"/>
                          </w:rPr>
                          <w:t xml:space="preserve"> </w:t>
                        </w:r>
                        <w:proofErr w:type="spellStart"/>
                        <w:r>
                          <w:rPr>
                            <w:rFonts w:ascii="Times New Roman" w:hAnsi="Times New Roman"/>
                            <w:sz w:val="24"/>
                            <w:szCs w:val="24"/>
                          </w:rPr>
                          <w:t>усі</w:t>
                        </w:r>
                        <w:proofErr w:type="spellEnd"/>
                        <w:r>
                          <w:rPr>
                            <w:rFonts w:ascii="Times New Roman" w:hAnsi="Times New Roman"/>
                            <w:sz w:val="24"/>
                            <w:szCs w:val="24"/>
                          </w:rPr>
                          <w:t xml:space="preserve"> три </w:t>
                        </w:r>
                        <w:proofErr w:type="spellStart"/>
                        <w:r>
                          <w:rPr>
                            <w:rFonts w:ascii="Times New Roman" w:hAnsi="Times New Roman"/>
                            <w:sz w:val="24"/>
                            <w:szCs w:val="24"/>
                          </w:rPr>
                          <w:t>виміри</w:t>
                        </w:r>
                        <w:proofErr w:type="spellEnd"/>
                        <w:r>
                          <w:rPr>
                            <w:rFonts w:ascii="Times New Roman" w:hAnsi="Times New Roman"/>
                            <w:sz w:val="24"/>
                            <w:szCs w:val="24"/>
                          </w:rPr>
                          <w:t xml:space="preserve"> </w:t>
                        </w:r>
                        <w:proofErr w:type="spellStart"/>
                        <w:r>
                          <w:rPr>
                            <w:rFonts w:ascii="Times New Roman" w:hAnsi="Times New Roman"/>
                            <w:sz w:val="24"/>
                            <w:szCs w:val="24"/>
                          </w:rPr>
                          <w:t>сталого</w:t>
                        </w:r>
                        <w:proofErr w:type="spellEnd"/>
                        <w:r>
                          <w:rPr>
                            <w:rFonts w:ascii="Times New Roman" w:hAnsi="Times New Roman"/>
                            <w:sz w:val="24"/>
                            <w:szCs w:val="24"/>
                          </w:rPr>
                          <w:t xml:space="preserve"> </w:t>
                        </w:r>
                        <w:proofErr w:type="spellStart"/>
                        <w:r>
                          <w:rPr>
                            <w:rFonts w:ascii="Times New Roman" w:hAnsi="Times New Roman"/>
                            <w:sz w:val="24"/>
                            <w:szCs w:val="24"/>
                          </w:rPr>
                          <w:t>розвитку</w:t>
                        </w:r>
                        <w:proofErr w:type="spellEnd"/>
                        <w:r>
                          <w:rPr>
                            <w:rFonts w:ascii="Times New Roman" w:hAnsi="Times New Roman"/>
                            <w:sz w:val="24"/>
                            <w:szCs w:val="24"/>
                          </w:rPr>
                          <w:t xml:space="preserve">, і, </w:t>
                        </w:r>
                        <w:proofErr w:type="spellStart"/>
                        <w:r>
                          <w:rPr>
                            <w:rFonts w:ascii="Times New Roman" w:hAnsi="Times New Roman"/>
                            <w:sz w:val="24"/>
                            <w:szCs w:val="24"/>
                          </w:rPr>
                          <w:t>тим</w:t>
                        </w:r>
                        <w:proofErr w:type="spellEnd"/>
                        <w:r>
                          <w:rPr>
                            <w:rFonts w:ascii="Times New Roman" w:hAnsi="Times New Roman"/>
                            <w:sz w:val="24"/>
                            <w:szCs w:val="24"/>
                          </w:rPr>
                          <w:t xml:space="preserve"> самим, </w:t>
                        </w:r>
                        <w:proofErr w:type="spellStart"/>
                        <w:r>
                          <w:rPr>
                            <w:rFonts w:ascii="Times New Roman" w:hAnsi="Times New Roman"/>
                            <w:sz w:val="24"/>
                            <w:szCs w:val="24"/>
                          </w:rPr>
                          <w:t>відображає</w:t>
                        </w:r>
                        <w:proofErr w:type="spellEnd"/>
                        <w:r>
                          <w:rPr>
                            <w:rFonts w:ascii="Times New Roman" w:hAnsi="Times New Roman"/>
                            <w:sz w:val="24"/>
                            <w:szCs w:val="24"/>
                          </w:rPr>
                          <w:t xml:space="preserve"> </w:t>
                        </w:r>
                        <w:proofErr w:type="spellStart"/>
                        <w:r>
                          <w:rPr>
                            <w:rFonts w:ascii="Times New Roman" w:hAnsi="Times New Roman"/>
                            <w:sz w:val="24"/>
                            <w:szCs w:val="24"/>
                          </w:rPr>
                          <w:t>взаємозв’язок</w:t>
                        </w:r>
                        <w:proofErr w:type="spellEnd"/>
                        <w:r>
                          <w:rPr>
                            <w:rFonts w:ascii="Times New Roman" w:hAnsi="Times New Roman"/>
                            <w:sz w:val="24"/>
                            <w:szCs w:val="24"/>
                          </w:rPr>
                          <w:t xml:space="preserve"> </w:t>
                        </w:r>
                        <w:proofErr w:type="spellStart"/>
                        <w:r>
                          <w:rPr>
                            <w:rFonts w:ascii="Times New Roman" w:hAnsi="Times New Roman"/>
                            <w:sz w:val="24"/>
                            <w:szCs w:val="24"/>
                          </w:rPr>
                          <w:t>між</w:t>
                        </w:r>
                        <w:proofErr w:type="spellEnd"/>
                        <w:r>
                          <w:rPr>
                            <w:rFonts w:ascii="Times New Roman" w:hAnsi="Times New Roman"/>
                            <w:sz w:val="24"/>
                            <w:szCs w:val="24"/>
                          </w:rPr>
                          <w:t xml:space="preserve"> </w:t>
                        </w:r>
                        <w:proofErr w:type="spellStart"/>
                        <w:r>
                          <w:rPr>
                            <w:rFonts w:ascii="Times New Roman" w:hAnsi="Times New Roman"/>
                            <w:sz w:val="24"/>
                            <w:szCs w:val="24"/>
                          </w:rPr>
                          <w:t>трьома</w:t>
                        </w:r>
                        <w:proofErr w:type="spellEnd"/>
                        <w:r>
                          <w:rPr>
                            <w:rFonts w:ascii="Times New Roman" w:hAnsi="Times New Roman"/>
                            <w:sz w:val="24"/>
                            <w:szCs w:val="24"/>
                          </w:rPr>
                          <w:t xml:space="preserve"> </w:t>
                        </w:r>
                        <w:proofErr w:type="spellStart"/>
                        <w:r>
                          <w:rPr>
                            <w:rFonts w:ascii="Times New Roman" w:hAnsi="Times New Roman"/>
                            <w:sz w:val="24"/>
                            <w:szCs w:val="24"/>
                          </w:rPr>
                          <w:t>нероздільними</w:t>
                        </w:r>
                        <w:proofErr w:type="spellEnd"/>
                        <w:r>
                          <w:rPr>
                            <w:rFonts w:ascii="Times New Roman" w:hAnsi="Times New Roman"/>
                            <w:sz w:val="24"/>
                            <w:szCs w:val="24"/>
                          </w:rPr>
                          <w:t xml:space="preserve"> сферами </w:t>
                        </w:r>
                        <w:proofErr w:type="spellStart"/>
                        <w:r>
                          <w:rPr>
                            <w:rFonts w:ascii="Times New Roman" w:hAnsi="Times New Roman"/>
                            <w:sz w:val="24"/>
                            <w:szCs w:val="24"/>
                          </w:rPr>
                          <w:t>розвитку</w:t>
                        </w:r>
                        <w:proofErr w:type="spellEnd"/>
                        <w:r>
                          <w:rPr>
                            <w:rFonts w:ascii="Times New Roman" w:hAnsi="Times New Roman"/>
                            <w:sz w:val="24"/>
                            <w:szCs w:val="24"/>
                          </w:rPr>
                          <w:t xml:space="preserve"> </w:t>
                        </w:r>
                        <w:proofErr w:type="spellStart"/>
                        <w:r>
                          <w:rPr>
                            <w:rFonts w:ascii="Times New Roman" w:hAnsi="Times New Roman"/>
                            <w:sz w:val="24"/>
                            <w:szCs w:val="24"/>
                          </w:rPr>
                          <w:t>суспільства</w:t>
                        </w:r>
                        <w:proofErr w:type="spellEnd"/>
                        <w:r>
                          <w:rPr>
                            <w:rFonts w:ascii="Times New Roman" w:hAnsi="Times New Roman"/>
                            <w:sz w:val="24"/>
                            <w:szCs w:val="24"/>
                          </w:rPr>
                          <w:t xml:space="preserve">, </w:t>
                        </w:r>
                        <w:proofErr w:type="spellStart"/>
                        <w:r>
                          <w:rPr>
                            <w:rFonts w:ascii="Times New Roman" w:hAnsi="Times New Roman"/>
                            <w:sz w:val="24"/>
                            <w:szCs w:val="24"/>
                          </w:rPr>
                          <w:t>економічною</w:t>
                        </w:r>
                        <w:proofErr w:type="spellEnd"/>
                        <w:r>
                          <w:rPr>
                            <w:rFonts w:ascii="Times New Roman" w:hAnsi="Times New Roman"/>
                            <w:sz w:val="24"/>
                            <w:szCs w:val="24"/>
                          </w:rPr>
                          <w:t xml:space="preserve">, </w:t>
                        </w:r>
                        <w:proofErr w:type="spellStart"/>
                        <w:r>
                          <w:rPr>
                            <w:rFonts w:ascii="Times New Roman" w:hAnsi="Times New Roman"/>
                            <w:sz w:val="24"/>
                            <w:szCs w:val="24"/>
                          </w:rPr>
                          <w:t>екологічною</w:t>
                        </w:r>
                        <w:proofErr w:type="spellEnd"/>
                        <w:r>
                          <w:rPr>
                            <w:rFonts w:ascii="Times New Roman" w:hAnsi="Times New Roman"/>
                            <w:sz w:val="24"/>
                            <w:szCs w:val="24"/>
                          </w:rPr>
                          <w:t xml:space="preserve"> та </w:t>
                        </w:r>
                        <w:proofErr w:type="spellStart"/>
                        <w:r>
                          <w:rPr>
                            <w:rFonts w:ascii="Times New Roman" w:hAnsi="Times New Roman"/>
                            <w:sz w:val="24"/>
                            <w:szCs w:val="24"/>
                          </w:rPr>
                          <w:t>соціальною</w:t>
                        </w:r>
                        <w:proofErr w:type="spellEnd"/>
                        <w:r>
                          <w:rPr>
                            <w:rFonts w:ascii="Times New Roman" w:hAnsi="Times New Roman"/>
                            <w:sz w:val="24"/>
                            <w:szCs w:val="24"/>
                          </w:rPr>
                          <w:t>.</w:t>
                        </w:r>
                        <w:r>
                          <w:rPr>
                            <w:rFonts w:ascii="Times New Roman" w:eastAsia="Times New Roman" w:hAnsi="Times New Roman"/>
                            <w:bCs/>
                            <w:color w:val="000000"/>
                            <w:spacing w:val="-1"/>
                            <w:sz w:val="26"/>
                            <w:szCs w:val="26"/>
                            <w:lang w:val="uk-UA" w:eastAsia="ru-RU"/>
                          </w:rPr>
                          <w:t xml:space="preserve"> </w:t>
                        </w:r>
                        <w:r>
                          <w:rPr>
                            <w:rFonts w:ascii="Times New Roman" w:eastAsia="Times New Roman" w:hAnsi="Times New Roman"/>
                            <w:bCs/>
                            <w:color w:val="000000"/>
                            <w:spacing w:val="-1"/>
                            <w:sz w:val="24"/>
                            <w:szCs w:val="24"/>
                            <w:lang w:val="uk-UA" w:eastAsia="ru-RU"/>
                          </w:rPr>
                          <w:t xml:space="preserve">Основною метою </w:t>
                        </w:r>
                        <w:r>
                          <w:rPr>
                            <w:rFonts w:ascii="Times New Roman" w:eastAsia="Times New Roman" w:hAnsi="Times New Roman"/>
                            <w:color w:val="000000"/>
                            <w:spacing w:val="-1"/>
                            <w:sz w:val="24"/>
                            <w:szCs w:val="24"/>
                            <w:lang w:val="uk-UA" w:eastAsia="ru-RU"/>
                          </w:rPr>
                          <w:t>введення індексів є оцінка ситуації або події, тобто моніторинг, для прогнозу розвитку ситуації, що склалася, і розробки її вирішення.</w:t>
                        </w:r>
                      </w:p>
                      <w:p w14:paraId="26A7DFBE" w14:textId="77777777" w:rsidR="001125D0" w:rsidRDefault="001125D0" w:rsidP="001125D0">
                        <w:pPr>
                          <w:rPr>
                            <w:rFonts w:ascii="Times New Roman" w:hAnsi="Times New Roman"/>
                            <w:sz w:val="24"/>
                            <w:szCs w:val="24"/>
                            <w:lang w:val="uk-UA"/>
                          </w:rPr>
                        </w:pPr>
                      </w:p>
                    </w:txbxContent>
                  </v:textbox>
                </v:roundrect>
                <w10:anchorlock/>
              </v:group>
            </w:pict>
          </mc:Fallback>
        </mc:AlternateContent>
      </w:r>
    </w:p>
    <w:p w14:paraId="1C28D7C7"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val="uk-UA" w:eastAsia="ru-RU"/>
        </w:rPr>
      </w:pPr>
    </w:p>
    <w:p w14:paraId="65EABD17"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Times New Roman" w:hAnsi="Times New Roman"/>
          <w:color w:val="000000"/>
          <w:spacing w:val="-1"/>
          <w:sz w:val="26"/>
          <w:szCs w:val="26"/>
          <w:lang w:val="uk-UA" w:eastAsia="ru-RU"/>
        </w:rPr>
        <w:t xml:space="preserve">На сьогоднішній день </w:t>
      </w:r>
      <w:r>
        <w:rPr>
          <w:rFonts w:ascii="Times New Roman" w:eastAsia="Times New Roman" w:hAnsi="Times New Roman"/>
          <w:bCs/>
          <w:color w:val="000000"/>
          <w:spacing w:val="-1"/>
          <w:sz w:val="26"/>
          <w:szCs w:val="26"/>
          <w:lang w:val="uk-UA" w:eastAsia="ru-RU"/>
        </w:rPr>
        <w:t xml:space="preserve">відсутні </w:t>
      </w:r>
      <w:r>
        <w:rPr>
          <w:rFonts w:ascii="Times New Roman" w:eastAsia="Times New Roman" w:hAnsi="Times New Roman"/>
          <w:color w:val="000000"/>
          <w:spacing w:val="-1"/>
          <w:sz w:val="26"/>
          <w:szCs w:val="26"/>
          <w:lang w:val="uk-UA" w:eastAsia="ru-RU"/>
        </w:rPr>
        <w:t xml:space="preserve">обґрунтовані кількісні критерії, що дозволяють вимірювати ступінь стійкості розвитку держав, окремих регіонів і </w:t>
      </w:r>
      <w:r>
        <w:rPr>
          <w:rFonts w:ascii="Times New Roman" w:eastAsia="Times New Roman" w:hAnsi="Times New Roman"/>
          <w:spacing w:val="-1"/>
          <w:sz w:val="26"/>
          <w:szCs w:val="26"/>
          <w:lang w:val="uk-UA" w:eastAsia="ru-RU"/>
        </w:rPr>
        <w:t>територій.</w:t>
      </w:r>
      <w:r>
        <w:rPr>
          <w:rFonts w:ascii="Times New Roman" w:eastAsia="+mj-ea" w:hAnsi="Times New Roman"/>
          <w:kern w:val="24"/>
          <w:sz w:val="26"/>
          <w:szCs w:val="26"/>
          <w:lang w:val="uk-UA"/>
        </w:rPr>
        <w:t xml:space="preserve"> </w:t>
      </w:r>
      <w:r>
        <w:rPr>
          <w:rFonts w:ascii="Times New Roman" w:eastAsia="+mj-ea" w:hAnsi="Times New Roman"/>
          <w:kern w:val="24"/>
          <w:sz w:val="26"/>
          <w:szCs w:val="26"/>
        </w:rPr>
        <w:t xml:space="preserve">У світі використовують різні підходи до оцінки сталості розвитку, це можуть бути інтегральні індекси або системи індикаторів сталого розвитку. </w:t>
      </w:r>
    </w:p>
    <w:p w14:paraId="7965065A" w14:textId="77777777" w:rsidR="001125D0" w:rsidRDefault="001125D0" w:rsidP="001125D0">
      <w:pPr>
        <w:spacing w:after="0" w:line="240" w:lineRule="auto"/>
        <w:ind w:firstLine="709"/>
        <w:jc w:val="both"/>
        <w:rPr>
          <w:rFonts w:ascii="Times New Roman" w:eastAsia="Times New Roman" w:hAnsi="Times New Roman"/>
          <w:b/>
          <w:color w:val="000000"/>
          <w:spacing w:val="-1"/>
          <w:sz w:val="26"/>
          <w:szCs w:val="26"/>
          <w:lang w:val="uk-UA" w:eastAsia="ru-RU"/>
        </w:rPr>
      </w:pPr>
      <w:r>
        <w:rPr>
          <w:rFonts w:ascii="Times New Roman" w:eastAsia="Times New Roman" w:hAnsi="Times New Roman"/>
          <w:b/>
          <w:color w:val="000000"/>
          <w:spacing w:val="-1"/>
          <w:sz w:val="26"/>
          <w:szCs w:val="26"/>
          <w:lang w:val="uk-UA" w:eastAsia="ru-RU"/>
        </w:rPr>
        <w:t xml:space="preserve">Підходи до побудови індексів та індикаторів. </w:t>
      </w:r>
      <w:r>
        <w:rPr>
          <w:rFonts w:ascii="Times New Roman" w:eastAsia="Times New Roman" w:hAnsi="Times New Roman"/>
          <w:color w:val="000000"/>
          <w:spacing w:val="-1"/>
          <w:sz w:val="26"/>
          <w:szCs w:val="26"/>
          <w:lang w:val="uk-UA"/>
        </w:rPr>
        <w:t>Виділяють два підходи:</w:t>
      </w:r>
    </w:p>
    <w:p w14:paraId="33B19339" w14:textId="77777777" w:rsidR="001125D0" w:rsidRDefault="001125D0" w:rsidP="001125D0">
      <w:pPr>
        <w:numPr>
          <w:ilvl w:val="0"/>
          <w:numId w:val="1"/>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Побудова системи індикаторів, за допомогою яких можна судити про окремі аспекти розвитку: екологічних, соціальних, економічних та ін.</w:t>
      </w:r>
    </w:p>
    <w:p w14:paraId="3E69B42B" w14:textId="77777777" w:rsidR="001125D0" w:rsidRDefault="001125D0" w:rsidP="001125D0">
      <w:pPr>
        <w:numPr>
          <w:ilvl w:val="0"/>
          <w:numId w:val="1"/>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Побудова інтегральних, агрегованих індексів, за допомогою яких можна комплексно судити про розвиток країни (або регіону). Основна трудність при агрегування інформації в індекси полягає у визначенні вагомих вихідних показників без втрати значущості і без зайвої суб'єктивності. Зазвичай агреговані показники поділяються на такі групи:</w:t>
      </w:r>
    </w:p>
    <w:p w14:paraId="7831B3E1" w14:textId="77777777" w:rsidR="001125D0" w:rsidRDefault="001125D0" w:rsidP="001125D0">
      <w:pPr>
        <w:numPr>
          <w:ilvl w:val="0"/>
          <w:numId w:val="2"/>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соціально-економічні;</w:t>
      </w:r>
    </w:p>
    <w:p w14:paraId="25CEABE9" w14:textId="77777777" w:rsidR="001125D0" w:rsidRDefault="001125D0" w:rsidP="001125D0">
      <w:pPr>
        <w:numPr>
          <w:ilvl w:val="0"/>
          <w:numId w:val="2"/>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еколого-економічні;</w:t>
      </w:r>
    </w:p>
    <w:p w14:paraId="04A5D626" w14:textId="77777777" w:rsidR="001125D0" w:rsidRDefault="001125D0" w:rsidP="001125D0">
      <w:pPr>
        <w:numPr>
          <w:ilvl w:val="0"/>
          <w:numId w:val="2"/>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соціально-екологічні;</w:t>
      </w:r>
    </w:p>
    <w:p w14:paraId="691534BD" w14:textId="77777777" w:rsidR="001125D0" w:rsidRDefault="001125D0" w:rsidP="001125D0">
      <w:pPr>
        <w:numPr>
          <w:ilvl w:val="0"/>
          <w:numId w:val="2"/>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еколого-соціо-економічні.</w:t>
      </w:r>
    </w:p>
    <w:p w14:paraId="6D9514B1"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Розробкою систем індикаторів сталого розвитку займаються такі міжнародні організації, як Організація Об’єднаних Націй та її різні структурні підрозділи, Всесвітній банк, Європейська Комісія, Комітет екологічного моделювання (</w:t>
      </w:r>
      <w:r>
        <w:rPr>
          <w:rFonts w:ascii="Times New Roman" w:eastAsia="+mj-ea" w:hAnsi="Times New Roman"/>
          <w:kern w:val="24"/>
          <w:sz w:val="26"/>
          <w:szCs w:val="26"/>
        </w:rPr>
        <w:t>ISEM</w:t>
      </w:r>
      <w:r>
        <w:rPr>
          <w:rFonts w:ascii="Times New Roman" w:eastAsia="+mj-ea" w:hAnsi="Times New Roman"/>
          <w:kern w:val="24"/>
          <w:sz w:val="26"/>
          <w:szCs w:val="26"/>
          <w:lang w:val="uk-UA"/>
        </w:rPr>
        <w:t>), Організація економічного співробітництва та роз- витку (</w:t>
      </w:r>
      <w:r>
        <w:rPr>
          <w:rFonts w:ascii="Times New Roman" w:eastAsia="+mj-ea" w:hAnsi="Times New Roman"/>
          <w:kern w:val="24"/>
          <w:sz w:val="26"/>
          <w:szCs w:val="26"/>
        </w:rPr>
        <w:t>OECD</w:t>
      </w:r>
      <w:r>
        <w:rPr>
          <w:rFonts w:ascii="Times New Roman" w:eastAsia="+mj-ea" w:hAnsi="Times New Roman"/>
          <w:kern w:val="24"/>
          <w:sz w:val="26"/>
          <w:szCs w:val="26"/>
          <w:lang w:val="uk-UA"/>
        </w:rPr>
        <w:t>), Науковий комітет з проблем навколишнього середовища (</w:t>
      </w:r>
      <w:r>
        <w:rPr>
          <w:rFonts w:ascii="Times New Roman" w:eastAsia="+mj-ea" w:hAnsi="Times New Roman"/>
          <w:kern w:val="24"/>
          <w:sz w:val="26"/>
          <w:szCs w:val="26"/>
        </w:rPr>
        <w:t>SCOPE</w:t>
      </w:r>
      <w:r>
        <w:rPr>
          <w:rFonts w:ascii="Times New Roman" w:eastAsia="+mj-ea" w:hAnsi="Times New Roman"/>
          <w:kern w:val="24"/>
          <w:sz w:val="26"/>
          <w:szCs w:val="26"/>
          <w:lang w:val="uk-UA"/>
        </w:rPr>
        <w:t>) та інші.</w:t>
      </w:r>
      <w:r>
        <w:rPr>
          <w:lang w:val="uk-UA"/>
        </w:rPr>
        <w:t xml:space="preserve"> </w:t>
      </w:r>
    </w:p>
    <w:p w14:paraId="0B47C8EF"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val="uk-UA" w:eastAsia="ru-RU"/>
        </w:rPr>
      </w:pPr>
      <w:r>
        <w:rPr>
          <w:rFonts w:ascii="Times New Roman" w:eastAsia="Times New Roman" w:hAnsi="Times New Roman"/>
          <w:b/>
          <w:color w:val="000000"/>
          <w:spacing w:val="-1"/>
          <w:sz w:val="26"/>
          <w:szCs w:val="26"/>
          <w:lang w:val="uk-UA" w:eastAsia="ru-RU"/>
        </w:rPr>
        <w:t>Системи індикаторів сталого розвитку.</w:t>
      </w:r>
      <w:r>
        <w:rPr>
          <w:rFonts w:ascii="Times New Roman" w:eastAsia="Times New Roman" w:hAnsi="Times New Roman"/>
          <w:color w:val="000000"/>
          <w:spacing w:val="-1"/>
          <w:sz w:val="26"/>
          <w:szCs w:val="26"/>
          <w:lang w:val="uk-UA" w:eastAsia="ru-RU"/>
        </w:rPr>
        <w:t xml:space="preserve"> </w:t>
      </w:r>
      <w:r>
        <w:rPr>
          <w:rFonts w:ascii="Times New Roman" w:eastAsia="+mj-ea" w:hAnsi="Times New Roman"/>
          <w:kern w:val="24"/>
          <w:sz w:val="26"/>
          <w:szCs w:val="26"/>
          <w:lang w:val="uk-UA"/>
        </w:rPr>
        <w:t>Зазвичай країни обирають один із розроблених міжнародними організаціями типів систем індикаторів, ґрунтуючись на національних пріоритетах і цілях розвитку, та доповнюють власними наборами індикаторів. Найбільш відомими системами індикаторів сталого розвитку є:</w:t>
      </w:r>
    </w:p>
    <w:p w14:paraId="5BF42B66" w14:textId="617D70DD" w:rsidR="001125D0" w:rsidRDefault="001125D0" w:rsidP="001125D0">
      <w:pPr>
        <w:spacing w:after="0" w:line="240" w:lineRule="auto"/>
        <w:ind w:firstLine="709"/>
        <w:jc w:val="both"/>
        <w:rPr>
          <w:rFonts w:ascii="Times New Roman" w:eastAsia="Times New Roman" w:hAnsi="Times New Roman"/>
          <w:color w:val="000000"/>
          <w:spacing w:val="-1"/>
          <w:sz w:val="26"/>
          <w:szCs w:val="26"/>
          <w:lang w:val="uk-UA" w:eastAsia="ru-RU"/>
        </w:rPr>
      </w:pPr>
      <w:r>
        <w:rPr>
          <w:rFonts w:ascii="Times New Roman" w:eastAsia="Times New Roman" w:hAnsi="Times New Roman"/>
          <w:bCs/>
          <w:i/>
          <w:color w:val="000000"/>
          <w:spacing w:val="-1"/>
          <w:sz w:val="26"/>
          <w:szCs w:val="26"/>
          <w:u w:val="single"/>
          <w:lang w:val="uk-UA" w:eastAsia="ru-RU"/>
        </w:rPr>
        <w:t>Система індикаторів Організації економічного співробітництва та розвитку (ОЕСР).</w:t>
      </w:r>
      <w:r>
        <w:rPr>
          <w:rFonts w:ascii="Times New Roman" w:eastAsia="Times New Roman" w:hAnsi="Times New Roman"/>
          <w:bCs/>
          <w:color w:val="000000"/>
          <w:spacing w:val="-1"/>
          <w:sz w:val="26"/>
          <w:szCs w:val="26"/>
          <w:lang w:val="uk-UA" w:eastAsia="ru-RU"/>
        </w:rPr>
        <w:t xml:space="preserve"> </w:t>
      </w:r>
      <w:r>
        <w:rPr>
          <w:rFonts w:ascii="Times New Roman" w:eastAsia="Times New Roman" w:hAnsi="Times New Roman"/>
          <w:color w:val="000000"/>
          <w:spacing w:val="-1"/>
          <w:sz w:val="26"/>
          <w:szCs w:val="26"/>
          <w:lang w:val="uk-UA" w:eastAsia="ru-RU"/>
        </w:rPr>
        <w:t>Система індикаторів </w:t>
      </w:r>
      <w:hyperlink r:id="rId14" w:history="1">
        <w:r>
          <w:rPr>
            <w:rStyle w:val="a3"/>
            <w:rFonts w:ascii="Times New Roman" w:eastAsia="Times New Roman" w:hAnsi="Times New Roman"/>
            <w:spacing w:val="-1"/>
            <w:sz w:val="26"/>
            <w:szCs w:val="26"/>
            <w:lang w:val="uk-UA" w:eastAsia="ru-RU"/>
          </w:rPr>
          <w:t>ОЕСР</w:t>
        </w:r>
      </w:hyperlink>
      <w:r>
        <w:rPr>
          <w:rFonts w:ascii="Times New Roman" w:eastAsia="Times New Roman" w:hAnsi="Times New Roman"/>
          <w:color w:val="000000"/>
          <w:spacing w:val="-1"/>
          <w:sz w:val="26"/>
          <w:szCs w:val="26"/>
          <w:lang w:val="uk-UA" w:eastAsia="ru-RU"/>
        </w:rPr>
        <w:t> являє собою модель «тиск-стан-реакція» (ТСР). Модель ТСР працює таким чином: людина своєю діяльністю завдає «тиск» на навколишнє середовище і змінює кількість і якість природних ресурсів («стан»); суспільство реагує на ці зміни шляхом зміни державної політики, змінами громадської свідомості і поведінки («реакція на тиск»). Система індикаторів </w:t>
      </w:r>
      <w:hyperlink r:id="rId15" w:history="1">
        <w:r>
          <w:rPr>
            <w:rStyle w:val="a3"/>
            <w:rFonts w:ascii="Times New Roman" w:eastAsia="Times New Roman" w:hAnsi="Times New Roman"/>
            <w:spacing w:val="-1"/>
            <w:sz w:val="26"/>
            <w:szCs w:val="26"/>
            <w:lang w:val="uk-UA" w:eastAsia="ru-RU"/>
          </w:rPr>
          <w:t>ОЕСР</w:t>
        </w:r>
      </w:hyperlink>
      <w:r>
        <w:rPr>
          <w:rFonts w:ascii="Times New Roman" w:eastAsia="Times New Roman" w:hAnsi="Times New Roman"/>
          <w:color w:val="000000"/>
          <w:spacing w:val="-1"/>
          <w:sz w:val="26"/>
          <w:szCs w:val="26"/>
          <w:lang w:val="uk-UA" w:eastAsia="ru-RU"/>
        </w:rPr>
        <w:t xml:space="preserve"> пояснює взаємозв'язки між економікою і захистом навколишнього </w:t>
      </w:r>
      <w:r>
        <w:rPr>
          <w:rFonts w:ascii="Times New Roman" w:eastAsia="Times New Roman" w:hAnsi="Times New Roman"/>
          <w:color w:val="000000"/>
          <w:spacing w:val="-1"/>
          <w:sz w:val="26"/>
          <w:szCs w:val="26"/>
          <w:lang w:val="uk-UA" w:eastAsia="ru-RU"/>
        </w:rPr>
        <w:lastRenderedPageBreak/>
        <w:t>природного середовища, виявляє економіко-екологічні та соціально-екологічні взаємозв'язки.</w:t>
      </w:r>
    </w:p>
    <w:p w14:paraId="4131D932" w14:textId="77777777" w:rsidR="001125D0" w:rsidRDefault="001125D0" w:rsidP="001125D0">
      <w:pPr>
        <w:spacing w:after="0" w:line="240" w:lineRule="auto"/>
        <w:ind w:firstLine="709"/>
        <w:jc w:val="both"/>
        <w:rPr>
          <w:rFonts w:ascii="Times New Roman" w:hAnsi="Times New Roman"/>
          <w:color w:val="000000"/>
          <w:spacing w:val="-1"/>
          <w:sz w:val="26"/>
          <w:szCs w:val="26"/>
        </w:rPr>
      </w:pPr>
      <w:r>
        <w:rPr>
          <w:rFonts w:ascii="Times New Roman" w:eastAsia="Times New Roman" w:hAnsi="Times New Roman"/>
          <w:bCs/>
          <w:i/>
          <w:color w:val="000000"/>
          <w:spacing w:val="-1"/>
          <w:sz w:val="26"/>
          <w:szCs w:val="26"/>
          <w:u w:val="single"/>
          <w:lang w:val="uk-UA" w:eastAsia="ru-RU"/>
        </w:rPr>
        <w:t>Система індикаторів КСР ООН (</w:t>
      </w:r>
      <w:r>
        <w:rPr>
          <w:rFonts w:ascii="Times New Roman" w:eastAsia="Times New Roman" w:hAnsi="Times New Roman"/>
          <w:bCs/>
          <w:i/>
          <w:color w:val="000000"/>
          <w:spacing w:val="-1"/>
          <w:sz w:val="26"/>
          <w:szCs w:val="26"/>
          <w:u w:val="single"/>
          <w:lang w:eastAsia="ru-RU"/>
        </w:rPr>
        <w:t>Комісії ООН зі сталого розвитку</w:t>
      </w:r>
      <w:r>
        <w:rPr>
          <w:rFonts w:ascii="Times New Roman" w:eastAsia="Times New Roman" w:hAnsi="Times New Roman"/>
          <w:bCs/>
          <w:i/>
          <w:color w:val="000000"/>
          <w:spacing w:val="-1"/>
          <w:sz w:val="26"/>
          <w:szCs w:val="26"/>
          <w:u w:val="single"/>
          <w:lang w:val="uk-UA" w:eastAsia="ru-RU"/>
        </w:rPr>
        <w:t>)</w:t>
      </w:r>
      <w:r>
        <w:rPr>
          <w:rFonts w:ascii="Times New Roman" w:eastAsia="Times New Roman" w:hAnsi="Times New Roman"/>
          <w:i/>
          <w:color w:val="000000"/>
          <w:spacing w:val="-1"/>
          <w:sz w:val="26"/>
          <w:szCs w:val="26"/>
          <w:u w:val="single"/>
          <w:lang w:val="uk-UA" w:eastAsia="ru-RU"/>
        </w:rPr>
        <w:t xml:space="preserve">. </w:t>
      </w:r>
      <w:r>
        <w:rPr>
          <w:rFonts w:ascii="Times New Roman" w:eastAsia="+mn-ea" w:hAnsi="Times New Roman"/>
          <w:color w:val="252525"/>
          <w:kern w:val="24"/>
          <w:sz w:val="26"/>
          <w:szCs w:val="26"/>
          <w:lang w:val="uk-UA" w:eastAsia="ru-RU"/>
        </w:rPr>
        <w:t xml:space="preserve"> </w:t>
      </w:r>
      <w:r>
        <w:rPr>
          <w:rFonts w:ascii="Times New Roman" w:eastAsia="Times New Roman" w:hAnsi="Times New Roman"/>
          <w:color w:val="000000"/>
          <w:spacing w:val="-1"/>
          <w:sz w:val="26"/>
          <w:szCs w:val="26"/>
          <w:lang w:val="uk-UA"/>
        </w:rPr>
        <w:t>Відповідно цієї системи індикатори розбиті на основні групи:</w:t>
      </w:r>
    </w:p>
    <w:p w14:paraId="306637A5" w14:textId="77777777" w:rsidR="001125D0" w:rsidRDefault="001125D0" w:rsidP="001125D0">
      <w:pPr>
        <w:numPr>
          <w:ilvl w:val="0"/>
          <w:numId w:val="3"/>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індикатори соціальних аспектів сталого розвитку;</w:t>
      </w:r>
    </w:p>
    <w:p w14:paraId="5C717EAB" w14:textId="77777777" w:rsidR="001125D0" w:rsidRDefault="001125D0" w:rsidP="001125D0">
      <w:pPr>
        <w:numPr>
          <w:ilvl w:val="0"/>
          <w:numId w:val="3"/>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індикатори економічних аспектів сталого розвитку;</w:t>
      </w:r>
    </w:p>
    <w:p w14:paraId="09155C23" w14:textId="77777777" w:rsidR="001125D0" w:rsidRDefault="001125D0" w:rsidP="001125D0">
      <w:pPr>
        <w:numPr>
          <w:ilvl w:val="0"/>
          <w:numId w:val="3"/>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індикатори екологічних аспектів сталого розвитку (включаючи характеристики води, суші, атмосфери, інших природних ресурсів, а також відходів);</w:t>
      </w:r>
    </w:p>
    <w:p w14:paraId="137C616A" w14:textId="77777777" w:rsidR="001125D0" w:rsidRDefault="001125D0" w:rsidP="001125D0">
      <w:pPr>
        <w:numPr>
          <w:ilvl w:val="0"/>
          <w:numId w:val="3"/>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індикатори інституційних аспектів сталого розвитку (програмування та планування політики, наукові розробки, міжнародні правові інструменти, інформаційне забезпечення, посилення ролі основних груп населення).</w:t>
      </w:r>
    </w:p>
    <w:p w14:paraId="25B1E9EA"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i/>
          <w:iCs/>
          <w:color w:val="000000"/>
          <w:spacing w:val="-1"/>
          <w:sz w:val="26"/>
          <w:szCs w:val="26"/>
          <w:lang w:val="uk-UA" w:eastAsia="ru-RU"/>
        </w:rPr>
        <w:t>З урахуванням їх цільової спрямованості</w:t>
      </w:r>
      <w:r>
        <w:rPr>
          <w:rFonts w:ascii="Times New Roman" w:eastAsia="Times New Roman" w:hAnsi="Times New Roman"/>
          <w:color w:val="000000"/>
          <w:spacing w:val="-1"/>
          <w:sz w:val="26"/>
          <w:szCs w:val="26"/>
          <w:lang w:val="uk-UA" w:eastAsia="ru-RU"/>
        </w:rPr>
        <w:t xml:space="preserve">, індикатори розбито на </w:t>
      </w:r>
      <w:r>
        <w:rPr>
          <w:rFonts w:ascii="Times New Roman" w:eastAsia="Times New Roman" w:hAnsi="Times New Roman"/>
          <w:bCs/>
          <w:color w:val="000000"/>
          <w:spacing w:val="-1"/>
          <w:sz w:val="26"/>
          <w:szCs w:val="26"/>
          <w:lang w:val="uk-UA" w:eastAsia="ru-RU"/>
        </w:rPr>
        <w:t xml:space="preserve">три категорії </w:t>
      </w:r>
      <w:r>
        <w:rPr>
          <w:rFonts w:ascii="Times New Roman" w:eastAsia="Times New Roman" w:hAnsi="Times New Roman"/>
          <w:color w:val="000000"/>
          <w:spacing w:val="-1"/>
          <w:sz w:val="26"/>
          <w:szCs w:val="26"/>
          <w:lang w:val="uk-UA" w:eastAsia="ru-RU"/>
        </w:rPr>
        <w:t>:</w:t>
      </w:r>
    </w:p>
    <w:p w14:paraId="356777A5" w14:textId="77777777" w:rsidR="001125D0" w:rsidRDefault="001125D0" w:rsidP="001125D0">
      <w:pPr>
        <w:numPr>
          <w:ilvl w:val="0"/>
          <w:numId w:val="4"/>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індикатори — рушійна сила, що характеризують людську діяльність, процеси і характеристики, які впливають на сталий розвиток;</w:t>
      </w:r>
    </w:p>
    <w:p w14:paraId="5D65D346" w14:textId="77777777" w:rsidR="001125D0" w:rsidRDefault="001125D0" w:rsidP="001125D0">
      <w:pPr>
        <w:numPr>
          <w:ilvl w:val="0"/>
          <w:numId w:val="4"/>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індикатори стану, що характеризують поточний стан різних аспектів сталого розвитку;</w:t>
      </w:r>
    </w:p>
    <w:p w14:paraId="26671892" w14:textId="77777777" w:rsidR="001125D0" w:rsidRDefault="001125D0" w:rsidP="001125D0">
      <w:pPr>
        <w:numPr>
          <w:ilvl w:val="0"/>
          <w:numId w:val="4"/>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індикатори реагування, дозволяють здійснювати політичний чи якийсь інший спосіб реагування для зміни поточного стану.</w:t>
      </w:r>
    </w:p>
    <w:p w14:paraId="5C266158" w14:textId="77777777" w:rsidR="001125D0" w:rsidRDefault="001125D0" w:rsidP="001125D0">
      <w:pPr>
        <w:spacing w:after="0" w:line="240" w:lineRule="auto"/>
        <w:ind w:firstLine="709"/>
        <w:jc w:val="both"/>
        <w:rPr>
          <w:rFonts w:ascii="Times New Roman" w:eastAsia="+mj-ea" w:hAnsi="Times New Roman"/>
          <w:bCs/>
          <w:color w:val="000000"/>
          <w:kern w:val="24"/>
          <w:sz w:val="26"/>
          <w:szCs w:val="26"/>
          <w:lang w:val="uk-UA"/>
        </w:rPr>
      </w:pPr>
      <w:r>
        <w:rPr>
          <w:rFonts w:ascii="Times New Roman" w:eastAsia="Times New Roman" w:hAnsi="Times New Roman"/>
          <w:iCs/>
          <w:color w:val="000000"/>
          <w:spacing w:val="-1"/>
          <w:sz w:val="26"/>
          <w:szCs w:val="26"/>
          <w:lang w:val="uk-UA" w:eastAsia="ru-RU"/>
        </w:rPr>
        <w:t>Данні групи та категорії індикаторів вимагають спеціальних перетворень, пристосування до конкретних умов, а в деяких випадках — розширення для окремих країн.</w:t>
      </w:r>
      <w:r>
        <w:rPr>
          <w:rFonts w:ascii="Times New Roman" w:eastAsia="+mj-ea" w:hAnsi="Times New Roman"/>
          <w:bCs/>
          <w:color w:val="000000"/>
          <w:kern w:val="24"/>
          <w:sz w:val="26"/>
          <w:szCs w:val="26"/>
          <w:lang w:val="uk-UA"/>
        </w:rPr>
        <w:t xml:space="preserve"> </w:t>
      </w:r>
    </w:p>
    <w:p w14:paraId="477151AC" w14:textId="217707AC" w:rsidR="001125D0" w:rsidRDefault="001125D0" w:rsidP="001125D0">
      <w:pPr>
        <w:spacing w:after="0" w:line="240" w:lineRule="auto"/>
        <w:ind w:firstLine="709"/>
        <w:jc w:val="both"/>
        <w:rPr>
          <w:rFonts w:ascii="Times New Roman" w:eastAsia="Times New Roman" w:hAnsi="Times New Roman"/>
          <w:bCs/>
          <w:color w:val="000000"/>
          <w:spacing w:val="-1"/>
          <w:sz w:val="26"/>
          <w:szCs w:val="26"/>
          <w:lang w:val="uk-UA"/>
        </w:rPr>
      </w:pPr>
      <w:r>
        <w:rPr>
          <w:rFonts w:ascii="Times New Roman" w:eastAsia="Times New Roman" w:hAnsi="Times New Roman"/>
          <w:bCs/>
          <w:i/>
          <w:iCs/>
          <w:color w:val="000000"/>
          <w:spacing w:val="-1"/>
          <w:sz w:val="26"/>
          <w:szCs w:val="26"/>
          <w:u w:val="single"/>
          <w:lang w:eastAsia="ru-RU"/>
        </w:rPr>
        <w:t>Система індикаторів для поліпшення керування природокористуванням у Центральній Америці</w:t>
      </w:r>
      <w:r>
        <w:rPr>
          <w:rFonts w:ascii="Times New Roman" w:eastAsia="Times New Roman" w:hAnsi="Times New Roman"/>
          <w:bCs/>
          <w:i/>
          <w:iCs/>
          <w:color w:val="000000"/>
          <w:spacing w:val="-1"/>
          <w:sz w:val="26"/>
          <w:szCs w:val="26"/>
          <w:u w:val="single"/>
          <w:lang w:val="uk-UA" w:eastAsia="ru-RU"/>
        </w:rPr>
        <w:t>.</w:t>
      </w:r>
      <w:r>
        <w:rPr>
          <w:rFonts w:ascii="Times New Roman" w:eastAsia="Times New Roman" w:hAnsi="Times New Roman"/>
          <w:bCs/>
          <w:i/>
          <w:iCs/>
          <w:color w:val="000000"/>
          <w:spacing w:val="-1"/>
          <w:sz w:val="26"/>
          <w:szCs w:val="26"/>
          <w:lang w:val="uk-UA" w:eastAsia="ru-RU"/>
        </w:rPr>
        <w:t xml:space="preserve">  </w:t>
      </w:r>
      <w:r>
        <w:rPr>
          <w:rFonts w:ascii="Times New Roman" w:eastAsia="Times New Roman" w:hAnsi="Times New Roman"/>
          <w:bCs/>
          <w:iCs/>
          <w:spacing w:val="-1"/>
          <w:sz w:val="26"/>
          <w:szCs w:val="26"/>
        </w:rPr>
        <w:t xml:space="preserve">Дана система розроблена для поліпшення управління природокористуванням в Центральній Америці спільно з </w:t>
      </w:r>
      <w:hyperlink r:id="rId16" w:history="1">
        <w:r>
          <w:rPr>
            <w:rStyle w:val="a3"/>
            <w:rFonts w:ascii="Times New Roman" w:eastAsia="Times New Roman" w:hAnsi="Times New Roman"/>
            <w:bCs/>
            <w:iCs/>
            <w:spacing w:val="-1"/>
            <w:sz w:val="26"/>
            <w:szCs w:val="26"/>
          </w:rPr>
          <w:t>Світовим</w:t>
        </w:r>
      </w:hyperlink>
      <w:hyperlink r:id="rId17" w:history="1">
        <w:r>
          <w:rPr>
            <w:rStyle w:val="a3"/>
            <w:rFonts w:ascii="Times New Roman" w:eastAsia="Times New Roman" w:hAnsi="Times New Roman"/>
            <w:bCs/>
            <w:iCs/>
            <w:spacing w:val="-1"/>
            <w:sz w:val="26"/>
            <w:szCs w:val="26"/>
          </w:rPr>
          <w:t xml:space="preserve"> банком</w:t>
        </w:r>
      </w:hyperlink>
      <w:r>
        <w:rPr>
          <w:rFonts w:ascii="Times New Roman" w:eastAsia="Times New Roman" w:hAnsi="Times New Roman"/>
          <w:bCs/>
          <w:iCs/>
          <w:spacing w:val="-1"/>
          <w:sz w:val="26"/>
          <w:szCs w:val="26"/>
        </w:rPr>
        <w:t>, </w:t>
      </w:r>
      <w:hyperlink r:id="rId18" w:history="1">
        <w:r>
          <w:rPr>
            <w:rStyle w:val="a3"/>
            <w:rFonts w:ascii="Times New Roman" w:eastAsia="Times New Roman" w:hAnsi="Times New Roman"/>
            <w:bCs/>
            <w:iCs/>
            <w:spacing w:val="-1"/>
            <w:sz w:val="26"/>
            <w:szCs w:val="26"/>
          </w:rPr>
          <w:t>Програмою</w:t>
        </w:r>
      </w:hyperlink>
      <w:hyperlink r:id="rId19" w:history="1">
        <w:r>
          <w:rPr>
            <w:rStyle w:val="a3"/>
            <w:rFonts w:ascii="Times New Roman" w:eastAsia="Times New Roman" w:hAnsi="Times New Roman"/>
            <w:bCs/>
            <w:iCs/>
            <w:spacing w:val="-1"/>
            <w:sz w:val="26"/>
            <w:szCs w:val="26"/>
          </w:rPr>
          <w:t xml:space="preserve"> ООН з </w:t>
        </w:r>
      </w:hyperlink>
      <w:hyperlink r:id="rId20" w:history="1">
        <w:r>
          <w:rPr>
            <w:rStyle w:val="a3"/>
            <w:rFonts w:ascii="Times New Roman" w:eastAsia="Times New Roman" w:hAnsi="Times New Roman"/>
            <w:bCs/>
            <w:iCs/>
            <w:spacing w:val="-1"/>
            <w:sz w:val="26"/>
            <w:szCs w:val="26"/>
          </w:rPr>
          <w:t>навколишнього</w:t>
        </w:r>
      </w:hyperlink>
      <w:hyperlink r:id="rId21" w:history="1">
        <w:r>
          <w:rPr>
            <w:rStyle w:val="a3"/>
            <w:rFonts w:ascii="Times New Roman" w:eastAsia="Times New Roman" w:hAnsi="Times New Roman"/>
            <w:bCs/>
            <w:iCs/>
            <w:spacing w:val="-1"/>
            <w:sz w:val="26"/>
            <w:szCs w:val="26"/>
          </w:rPr>
          <w:t xml:space="preserve"> </w:t>
        </w:r>
      </w:hyperlink>
      <w:hyperlink r:id="rId22" w:history="1">
        <w:r>
          <w:rPr>
            <w:rStyle w:val="a3"/>
            <w:rFonts w:ascii="Times New Roman" w:eastAsia="Times New Roman" w:hAnsi="Times New Roman"/>
            <w:bCs/>
            <w:iCs/>
            <w:spacing w:val="-1"/>
            <w:sz w:val="26"/>
            <w:szCs w:val="26"/>
          </w:rPr>
          <w:t>середовища</w:t>
        </w:r>
      </w:hyperlink>
      <w:r>
        <w:rPr>
          <w:rFonts w:ascii="Times New Roman" w:eastAsia="Times New Roman" w:hAnsi="Times New Roman"/>
          <w:bCs/>
          <w:iCs/>
          <w:spacing w:val="-1"/>
          <w:sz w:val="26"/>
          <w:szCs w:val="26"/>
        </w:rPr>
        <w:t> і Міжнародним Центром тропічного сільського господарства.</w:t>
      </w:r>
      <w:r>
        <w:rPr>
          <w:rFonts w:ascii="Times New Roman" w:eastAsia="Times New Roman" w:hAnsi="Times New Roman"/>
          <w:bCs/>
          <w:iCs/>
          <w:spacing w:val="-1"/>
          <w:sz w:val="26"/>
          <w:szCs w:val="26"/>
          <w:lang w:val="uk-UA"/>
        </w:rPr>
        <w:t xml:space="preserve"> </w:t>
      </w:r>
      <w:r>
        <w:rPr>
          <w:rFonts w:ascii="Times New Roman" w:eastAsia="Times New Roman" w:hAnsi="Times New Roman"/>
          <w:color w:val="000000"/>
          <w:spacing w:val="-1"/>
          <w:sz w:val="26"/>
          <w:szCs w:val="26"/>
          <w:lang w:eastAsia="ru-RU"/>
        </w:rPr>
        <w:t>Застосування системи можливе на глобальному, регіональному та локальних рівнях.</w:t>
      </w:r>
      <w:r>
        <w:rPr>
          <w:rFonts w:ascii="Times New Roman" w:eastAsia="Times New Roman" w:hAnsi="Times New Roman"/>
          <w:color w:val="000000"/>
          <w:spacing w:val="-1"/>
          <w:sz w:val="26"/>
          <w:szCs w:val="26"/>
          <w:lang w:val="uk-UA" w:eastAsia="ru-RU"/>
        </w:rPr>
        <w:t xml:space="preserve"> </w:t>
      </w:r>
      <w:r>
        <w:rPr>
          <w:rFonts w:ascii="Times New Roman" w:eastAsia="Times New Roman" w:hAnsi="Times New Roman"/>
          <w:bCs/>
          <w:color w:val="000000"/>
          <w:spacing w:val="-1"/>
          <w:sz w:val="26"/>
          <w:szCs w:val="26"/>
          <w:lang w:eastAsia="ru-RU"/>
        </w:rPr>
        <w:t xml:space="preserve">Відмінною рисою </w:t>
      </w:r>
      <w:r>
        <w:rPr>
          <w:rFonts w:ascii="Times New Roman" w:eastAsia="Times New Roman" w:hAnsi="Times New Roman"/>
          <w:color w:val="000000"/>
          <w:spacing w:val="-1"/>
          <w:sz w:val="26"/>
          <w:szCs w:val="26"/>
          <w:lang w:eastAsia="ru-RU"/>
        </w:rPr>
        <w:t xml:space="preserve">даної системи </w:t>
      </w:r>
      <w:r>
        <w:rPr>
          <w:rFonts w:ascii="Times New Roman" w:eastAsia="Times New Roman" w:hAnsi="Times New Roman"/>
          <w:color w:val="000000"/>
          <w:spacing w:val="-1"/>
          <w:sz w:val="26"/>
          <w:szCs w:val="26"/>
          <w:lang w:val="uk-UA" w:eastAsia="ru-RU"/>
        </w:rPr>
        <w:t xml:space="preserve">є </w:t>
      </w:r>
      <w:r>
        <w:rPr>
          <w:rFonts w:ascii="Times New Roman" w:eastAsia="Times New Roman" w:hAnsi="Times New Roman"/>
          <w:color w:val="000000"/>
          <w:spacing w:val="-1"/>
          <w:sz w:val="26"/>
          <w:szCs w:val="26"/>
          <w:lang w:eastAsia="ru-RU"/>
        </w:rPr>
        <w:t xml:space="preserve">наочність результатів, так як уявлення індикаторів велося </w:t>
      </w:r>
      <w:r>
        <w:rPr>
          <w:rFonts w:ascii="Times New Roman" w:eastAsia="Times New Roman" w:hAnsi="Times New Roman"/>
          <w:spacing w:val="-1"/>
          <w:sz w:val="26"/>
          <w:szCs w:val="26"/>
          <w:lang w:eastAsia="ru-RU"/>
        </w:rPr>
        <w:t>у вигляді </w:t>
      </w:r>
      <w:hyperlink r:id="rId23" w:history="1">
        <w:r>
          <w:rPr>
            <w:rStyle w:val="a3"/>
            <w:rFonts w:ascii="Times New Roman" w:eastAsia="Times New Roman" w:hAnsi="Times New Roman"/>
            <w:spacing w:val="-1"/>
            <w:sz w:val="26"/>
            <w:szCs w:val="26"/>
            <w:lang w:eastAsia="ru-RU"/>
          </w:rPr>
          <w:t>геоінформаційних</w:t>
        </w:r>
      </w:hyperlink>
      <w:hyperlink r:id="rId24" w:history="1">
        <w:r>
          <w:rPr>
            <w:rStyle w:val="a3"/>
            <w:rFonts w:ascii="Times New Roman" w:eastAsia="Times New Roman" w:hAnsi="Times New Roman"/>
            <w:spacing w:val="-1"/>
            <w:sz w:val="26"/>
            <w:szCs w:val="26"/>
            <w:lang w:eastAsia="ru-RU"/>
          </w:rPr>
          <w:t xml:space="preserve"> систем</w:t>
        </w:r>
      </w:hyperlink>
      <w:r>
        <w:rPr>
          <w:rFonts w:ascii="Times New Roman" w:eastAsia="Times New Roman" w:hAnsi="Times New Roman"/>
          <w:spacing w:val="-1"/>
          <w:sz w:val="26"/>
          <w:szCs w:val="26"/>
          <w:lang w:eastAsia="ru-RU"/>
        </w:rPr>
        <w:t>.</w:t>
      </w:r>
      <w:r>
        <w:rPr>
          <w:rFonts w:ascii="Times New Roman" w:eastAsia="+mn-ea" w:hAnsi="Times New Roman"/>
          <w:bCs/>
          <w:color w:val="252525"/>
          <w:kern w:val="24"/>
          <w:sz w:val="26"/>
          <w:szCs w:val="26"/>
          <w:lang w:val="vi-VN" w:eastAsia="ru-RU"/>
        </w:rPr>
        <w:t xml:space="preserve"> </w:t>
      </w:r>
    </w:p>
    <w:p w14:paraId="6157121E" w14:textId="415810C6" w:rsidR="001125D0" w:rsidRDefault="001125D0" w:rsidP="001125D0">
      <w:pPr>
        <w:spacing w:after="0" w:line="240" w:lineRule="auto"/>
        <w:jc w:val="both"/>
        <w:rPr>
          <w:rFonts w:ascii="Times New Roman" w:eastAsia="Times New Roman" w:hAnsi="Times New Roman"/>
          <w:bCs/>
          <w:color w:val="000000"/>
          <w:spacing w:val="-1"/>
          <w:sz w:val="26"/>
          <w:szCs w:val="26"/>
          <w:lang w:val="uk-UA"/>
        </w:rPr>
      </w:pPr>
      <w:r>
        <w:rPr>
          <w:rFonts w:ascii="Times New Roman" w:hAnsi="Times New Roman"/>
          <w:noProof/>
          <w:sz w:val="26"/>
          <w:szCs w:val="26"/>
        </w:rPr>
        <mc:AlternateContent>
          <mc:Choice Requires="wpc">
            <w:drawing>
              <wp:inline distT="0" distB="0" distL="0" distR="0" wp14:anchorId="159BBA7A" wp14:editId="210E6C28">
                <wp:extent cx="5346700" cy="1924685"/>
                <wp:effectExtent l="0" t="0" r="6350" b="8890"/>
                <wp:docPr id="2042727610" name="Полотно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97448946" name="AutoShape 7"/>
                        <wps:cNvSpPr>
                          <a:spLocks noChangeArrowheads="1"/>
                        </wps:cNvSpPr>
                        <wps:spPr bwMode="auto">
                          <a:xfrm>
                            <a:off x="184106" y="80323"/>
                            <a:ext cx="5162594" cy="1844362"/>
                          </a:xfrm>
                          <a:prstGeom prst="roundRect">
                            <a:avLst>
                              <a:gd name="adj" fmla="val 16667"/>
                            </a:avLst>
                          </a:prstGeom>
                          <a:solidFill>
                            <a:srgbClr val="FFFFFF"/>
                          </a:solidFill>
                          <a:ln w="9525">
                            <a:solidFill>
                              <a:srgbClr val="000000"/>
                            </a:solidFill>
                            <a:round/>
                            <a:headEnd/>
                            <a:tailEnd/>
                          </a:ln>
                        </wps:spPr>
                        <wps:txbx>
                          <w:txbxContent>
                            <w:p w14:paraId="41AEE06B" w14:textId="77777777" w:rsidR="001125D0" w:rsidRDefault="001125D0" w:rsidP="001125D0">
                              <w:pPr>
                                <w:spacing w:after="0" w:line="240" w:lineRule="auto"/>
                                <w:jc w:val="both"/>
                                <w:rPr>
                                  <w:sz w:val="24"/>
                                  <w:szCs w:val="24"/>
                                  <w:lang w:val="vi-VN"/>
                                </w:rPr>
                              </w:pPr>
                              <w:r>
                                <w:rPr>
                                  <w:rFonts w:ascii="Times New Roman" w:eastAsia="Times New Roman" w:hAnsi="Times New Roman"/>
                                  <w:b/>
                                  <w:bCs/>
                                  <w:color w:val="000000"/>
                                  <w:spacing w:val="-1"/>
                                  <w:sz w:val="24"/>
                                  <w:szCs w:val="24"/>
                                  <w:lang w:val="vi-VN"/>
                                </w:rPr>
                                <w:t>Геоінформаці́йна систе́ма</w:t>
                              </w:r>
                              <w:r>
                                <w:rPr>
                                  <w:rFonts w:ascii="Times New Roman" w:eastAsia="Times New Roman" w:hAnsi="Times New Roman"/>
                                  <w:b/>
                                  <w:color w:val="000000"/>
                                  <w:spacing w:val="-1"/>
                                  <w:sz w:val="24"/>
                                  <w:szCs w:val="24"/>
                                  <w:lang w:val="vi-VN"/>
                                </w:rPr>
                                <w:t> </w:t>
                              </w:r>
                              <w:r>
                                <w:rPr>
                                  <w:rFonts w:ascii="Times New Roman" w:eastAsia="Times New Roman" w:hAnsi="Times New Roman"/>
                                  <w:color w:val="000000"/>
                                  <w:spacing w:val="-1"/>
                                  <w:sz w:val="24"/>
                                  <w:szCs w:val="24"/>
                                  <w:lang w:val="vi-VN"/>
                                </w:rPr>
                                <w:t>— сучасна </w:t>
                              </w:r>
                              <w:hyperlink r:id="rId25" w:history="1">
                                <w:r>
                                  <w:rPr>
                                    <w:rStyle w:val="a3"/>
                                    <w:rFonts w:ascii="Times New Roman" w:eastAsia="Times New Roman" w:hAnsi="Times New Roman"/>
                                    <w:spacing w:val="-1"/>
                                    <w:sz w:val="24"/>
                                    <w:szCs w:val="24"/>
                                    <w:lang w:val="vi-VN"/>
                                  </w:rPr>
                                  <w:t>комп'ютерна технологія</w:t>
                                </w:r>
                              </w:hyperlink>
                              <w:r>
                                <w:rPr>
                                  <w:rFonts w:ascii="Times New Roman" w:eastAsia="Times New Roman" w:hAnsi="Times New Roman"/>
                                  <w:color w:val="000000"/>
                                  <w:spacing w:val="-1"/>
                                  <w:sz w:val="24"/>
                                  <w:szCs w:val="24"/>
                                  <w:lang w:val="vi-VN"/>
                                </w:rPr>
                                <w:t>, що дозволяє поєднати модельне зображення території (електронне відображення карт, схем, космо-, аерозображень земної поверхні) з інформацією табличного типу (різноманітні статистичні дані, списки, економічні показники тощо). Також, під геоінформаційною системою розуміють систему управління просторовими даними та асоційованими з ними атрибутами. Конкретніше, це комп'ютерна система, що забезпечує можливість використання, збереження, редагування, аналізу та відображення географічних даних.</w:t>
                              </w:r>
                            </w:p>
                            <w:p w14:paraId="6CE45284" w14:textId="77777777" w:rsidR="001125D0" w:rsidRDefault="001125D0" w:rsidP="001125D0">
                              <w:pPr>
                                <w:rPr>
                                  <w:sz w:val="24"/>
                                  <w:szCs w:val="24"/>
                                  <w:lang w:val="vi-VN"/>
                                </w:rPr>
                              </w:pPr>
                            </w:p>
                          </w:txbxContent>
                        </wps:txbx>
                        <wps:bodyPr rot="0" vert="horz" wrap="square" lIns="91440" tIns="45720" rIns="91440" bIns="45720" anchor="t" anchorCtr="0" upright="1">
                          <a:noAutofit/>
                        </wps:bodyPr>
                      </wps:wsp>
                    </wpc:wpc>
                  </a:graphicData>
                </a:graphic>
              </wp:inline>
            </w:drawing>
          </mc:Choice>
          <mc:Fallback>
            <w:pict>
              <v:group w14:anchorId="159BBA7A" id="Полотно 5" o:spid="_x0000_s1047" editas="canvas" style="width:421pt;height:151.55pt;mso-position-horizontal-relative:char;mso-position-vertical-relative:line" coordsize="53467,1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">
                <v:shape id="_x0000_s1048" type="#_x0000_t75" style="position:absolute;width:53467;height:19246;visibility:visible;mso-wrap-style:square">
                  <v:fill o:detectmouseclick="t"/>
                  <v:path o:connecttype="none"/>
                </v:shape>
                <v:roundrect id="AutoShape 7" o:spid="_x0000_s1049" style="position:absolute;left:1841;top:803;width:51626;height:184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">
                  <v:textbox>
                    <w:txbxContent>
                      <w:p w14:paraId="41AEE06B" w14:textId="77777777" w:rsidR="001125D0" w:rsidRDefault="001125D0" w:rsidP="001125D0">
                        <w:pPr>
                          <w:spacing w:after="0" w:line="240" w:lineRule="auto"/>
                          <w:jc w:val="both"/>
                          <w:rPr>
                            <w:sz w:val="24"/>
                            <w:szCs w:val="24"/>
                            <w:lang w:val="vi-VN"/>
                          </w:rPr>
                        </w:pPr>
                        <w:r>
                          <w:rPr>
                            <w:rFonts w:ascii="Times New Roman" w:eastAsia="Times New Roman" w:hAnsi="Times New Roman"/>
                            <w:b/>
                            <w:bCs/>
                            <w:color w:val="000000"/>
                            <w:spacing w:val="-1"/>
                            <w:sz w:val="24"/>
                            <w:szCs w:val="24"/>
                            <w:lang w:val="vi-VN"/>
                          </w:rPr>
                          <w:t>Геоінформаці́йна систе́ма</w:t>
                        </w:r>
                        <w:r>
                          <w:rPr>
                            <w:rFonts w:ascii="Times New Roman" w:eastAsia="Times New Roman" w:hAnsi="Times New Roman"/>
                            <w:b/>
                            <w:color w:val="000000"/>
                            <w:spacing w:val="-1"/>
                            <w:sz w:val="24"/>
                            <w:szCs w:val="24"/>
                            <w:lang w:val="vi-VN"/>
                          </w:rPr>
                          <w:t> </w:t>
                        </w:r>
                        <w:r>
                          <w:rPr>
                            <w:rFonts w:ascii="Times New Roman" w:eastAsia="Times New Roman" w:hAnsi="Times New Roman"/>
                            <w:color w:val="000000"/>
                            <w:spacing w:val="-1"/>
                            <w:sz w:val="24"/>
                            <w:szCs w:val="24"/>
                            <w:lang w:val="vi-VN"/>
                          </w:rPr>
                          <w:t>— сучасна </w:t>
                        </w:r>
                        <w:r>
                          <w:rPr>
                            <w:rFonts w:ascii="Times New Roman" w:eastAsia="Times New Roman" w:hAnsi="Times New Roman"/>
                            <w:color w:val="000000"/>
                            <w:spacing w:val="-1"/>
                            <w:sz w:val="24"/>
                            <w:szCs w:val="24"/>
                            <w:lang w:val="vi-VN"/>
                          </w:rPr>
                          <w:fldChar w:fldCharType="begin"/>
                        </w:r>
                        <w:r>
                          <w:rPr>
                            <w:rFonts w:ascii="Times New Roman" w:eastAsia="Times New Roman" w:hAnsi="Times New Roman"/>
                            <w:color w:val="000000"/>
                            <w:spacing w:val="-1"/>
                            <w:sz w:val="24"/>
                            <w:szCs w:val="24"/>
                            <w:lang w:val="vi-VN"/>
                          </w:rPr>
                          <w:instrText>HYPERLINK "https://uk.wikipedia.org/w/index.php?title=%D0%9A%D0%BE%D0%BC%D0%BF%27%D1%8E%D1%82%D0%B5%D1%80%D0%BD%D0%B0_%D1%82%D0%B5%D1%85%D0%BD%D0%BE%D0%BB%D0%BE%D0%B3%D1%96%D1%8F&amp;action=edit&amp;redlink=1"</w:instrText>
                        </w:r>
                        <w:r>
                          <w:rPr>
                            <w:rFonts w:ascii="Times New Roman" w:eastAsia="Times New Roman" w:hAnsi="Times New Roman"/>
                            <w:color w:val="000000"/>
                            <w:spacing w:val="-1"/>
                            <w:sz w:val="24"/>
                            <w:szCs w:val="24"/>
                            <w:lang w:val="vi-VN"/>
                          </w:rPr>
                        </w:r>
                        <w:r>
                          <w:rPr>
                            <w:rFonts w:ascii="Times New Roman" w:eastAsia="Times New Roman" w:hAnsi="Times New Roman"/>
                            <w:color w:val="000000"/>
                            <w:spacing w:val="-1"/>
                            <w:sz w:val="24"/>
                            <w:szCs w:val="24"/>
                            <w:lang w:val="vi-VN"/>
                          </w:rPr>
                          <w:fldChar w:fldCharType="separate"/>
                        </w:r>
                        <w:r>
                          <w:rPr>
                            <w:rStyle w:val="a3"/>
                            <w:rFonts w:ascii="Times New Roman" w:eastAsia="Times New Roman" w:hAnsi="Times New Roman"/>
                            <w:spacing w:val="-1"/>
                            <w:sz w:val="24"/>
                            <w:szCs w:val="24"/>
                            <w:lang w:val="vi-VN"/>
                          </w:rPr>
                          <w:t>комп'ютерна технологія</w:t>
                        </w:r>
                        <w:r>
                          <w:rPr>
                            <w:rFonts w:ascii="Times New Roman" w:eastAsia="Times New Roman" w:hAnsi="Times New Roman"/>
                            <w:color w:val="000000"/>
                            <w:spacing w:val="-1"/>
                            <w:sz w:val="24"/>
                            <w:szCs w:val="24"/>
                            <w:lang w:val="vi-VN"/>
                          </w:rPr>
                          <w:fldChar w:fldCharType="end"/>
                        </w:r>
                        <w:r>
                          <w:rPr>
                            <w:rFonts w:ascii="Times New Roman" w:eastAsia="Times New Roman" w:hAnsi="Times New Roman"/>
                            <w:color w:val="000000"/>
                            <w:spacing w:val="-1"/>
                            <w:sz w:val="24"/>
                            <w:szCs w:val="24"/>
                            <w:lang w:val="vi-VN"/>
                          </w:rPr>
                          <w:t>, що дозволяє поєднати модельне зображення території (електронне відображення карт, схем, космо-, аерозображень земної поверхні) з інформацією табличного типу (різноманітні статистичні дані, списки, економічні показники тощо). Також, під геоінформаційною системою розуміють систему управління просторовими даними та асоційованими з ними атрибутами. Конкретніше, це комп'ютерна система, що забезпечує можливість використання, збереження, редагування, аналізу та відображення географічних даних.</w:t>
                        </w:r>
                      </w:p>
                      <w:p w14:paraId="6CE45284" w14:textId="77777777" w:rsidR="001125D0" w:rsidRDefault="001125D0" w:rsidP="001125D0">
                        <w:pPr>
                          <w:rPr>
                            <w:sz w:val="24"/>
                            <w:szCs w:val="24"/>
                            <w:lang w:val="vi-VN"/>
                          </w:rPr>
                        </w:pPr>
                      </w:p>
                    </w:txbxContent>
                  </v:textbox>
                </v:roundrect>
                <w10:anchorlock/>
              </v:group>
            </w:pict>
          </mc:Fallback>
        </mc:AlternateContent>
      </w:r>
    </w:p>
    <w:p w14:paraId="645EF28C" w14:textId="77777777" w:rsidR="001125D0" w:rsidRDefault="001125D0" w:rsidP="001125D0">
      <w:pPr>
        <w:spacing w:after="0" w:line="240" w:lineRule="auto"/>
        <w:ind w:firstLine="709"/>
        <w:jc w:val="both"/>
        <w:rPr>
          <w:rFonts w:ascii="Times New Roman" w:eastAsia="Times New Roman" w:hAnsi="Times New Roman"/>
          <w:bCs/>
          <w:iCs/>
          <w:spacing w:val="-1"/>
          <w:sz w:val="26"/>
          <w:szCs w:val="26"/>
          <w:lang w:val="uk-UA" w:eastAsia="ru-RU"/>
        </w:rPr>
      </w:pPr>
    </w:p>
    <w:p w14:paraId="298BC30C" w14:textId="77777777" w:rsidR="001125D0" w:rsidRDefault="001125D0" w:rsidP="001125D0">
      <w:pPr>
        <w:spacing w:after="0" w:line="240" w:lineRule="auto"/>
        <w:ind w:firstLine="567"/>
        <w:jc w:val="both"/>
        <w:rPr>
          <w:rFonts w:ascii="Times New Roman" w:hAnsi="Times New Roman"/>
          <w:color w:val="000000"/>
          <w:spacing w:val="-1"/>
          <w:sz w:val="26"/>
          <w:szCs w:val="26"/>
        </w:rPr>
      </w:pPr>
      <w:r>
        <w:rPr>
          <w:rFonts w:ascii="Times New Roman" w:eastAsia="Times New Roman" w:hAnsi="Times New Roman"/>
          <w:i/>
          <w:color w:val="000000"/>
          <w:spacing w:val="-1"/>
          <w:sz w:val="26"/>
          <w:szCs w:val="26"/>
          <w:u w:val="single"/>
          <w:lang w:val="uk-UA" w:eastAsia="ru-RU"/>
        </w:rPr>
        <w:t>Система еколого-економічного обліку (СЕЕО)</w:t>
      </w:r>
      <w:r>
        <w:rPr>
          <w:rFonts w:ascii="Times New Roman" w:eastAsia="+mn-ea" w:hAnsi="Times New Roman"/>
          <w:color w:val="252525"/>
          <w:kern w:val="24"/>
          <w:sz w:val="26"/>
          <w:szCs w:val="26"/>
          <w:lang w:val="uk-UA" w:eastAsia="ru-RU"/>
        </w:rPr>
        <w:t>. З</w:t>
      </w:r>
      <w:r>
        <w:rPr>
          <w:rFonts w:ascii="Times New Roman" w:eastAsia="Times New Roman" w:hAnsi="Times New Roman"/>
          <w:color w:val="000000"/>
          <w:spacing w:val="-1"/>
          <w:sz w:val="26"/>
          <w:szCs w:val="26"/>
        </w:rPr>
        <w:t xml:space="preserve">апропонована Статистичним відділом Секретаріату ООН у 1993 році. </w:t>
      </w:r>
      <w:r>
        <w:rPr>
          <w:rFonts w:ascii="Times New Roman" w:eastAsia="Times New Roman" w:hAnsi="Times New Roman"/>
          <w:bCs/>
          <w:color w:val="000000"/>
          <w:spacing w:val="-1"/>
          <w:sz w:val="26"/>
          <w:szCs w:val="26"/>
          <w:lang w:eastAsia="ru-RU"/>
        </w:rPr>
        <w:t xml:space="preserve">Метою </w:t>
      </w:r>
      <w:r>
        <w:rPr>
          <w:rFonts w:ascii="Times New Roman" w:eastAsia="Times New Roman" w:hAnsi="Times New Roman"/>
          <w:color w:val="000000"/>
          <w:spacing w:val="-1"/>
          <w:sz w:val="26"/>
          <w:szCs w:val="26"/>
          <w:lang w:eastAsia="ru-RU"/>
        </w:rPr>
        <w:t>системи еколого-економічного обліку є врахування екологічного чинника в національних статистиках.</w:t>
      </w:r>
      <w:r>
        <w:rPr>
          <w:rFonts w:ascii="Times New Roman" w:eastAsia="Times New Roman" w:hAnsi="Times New Roman"/>
          <w:color w:val="000000"/>
          <w:spacing w:val="-1"/>
          <w:sz w:val="26"/>
          <w:szCs w:val="26"/>
          <w:lang w:val="uk-UA" w:eastAsia="ru-RU"/>
        </w:rPr>
        <w:t xml:space="preserve"> </w:t>
      </w:r>
    </w:p>
    <w:p w14:paraId="71C66332"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Природоохоронною спрямованістю СЕЕО пояснюються її деякі особливості:</w:t>
      </w:r>
    </w:p>
    <w:p w14:paraId="62D86C13" w14:textId="77777777" w:rsidR="001125D0" w:rsidRDefault="001125D0" w:rsidP="001125D0">
      <w:pPr>
        <w:numPr>
          <w:ilvl w:val="0"/>
          <w:numId w:val="5"/>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використання даних в натуральному вигляді;</w:t>
      </w:r>
    </w:p>
    <w:p w14:paraId="23B6F8EF" w14:textId="77777777" w:rsidR="001125D0" w:rsidRDefault="001125D0" w:rsidP="001125D0">
      <w:pPr>
        <w:numPr>
          <w:ilvl w:val="0"/>
          <w:numId w:val="5"/>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самостійний, хоча і взаємопов'язаний по відношенню до традиційної системи національних рахунків, характер; </w:t>
      </w:r>
    </w:p>
    <w:p w14:paraId="3D78AF1C" w14:textId="77777777" w:rsidR="001125D0" w:rsidRDefault="001125D0" w:rsidP="001125D0">
      <w:pPr>
        <w:numPr>
          <w:ilvl w:val="0"/>
          <w:numId w:val="5"/>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застосування, поряд з ринковими, неринкових оцінок;</w:t>
      </w:r>
    </w:p>
    <w:p w14:paraId="59E2872F" w14:textId="77777777" w:rsidR="001125D0" w:rsidRDefault="001125D0" w:rsidP="001125D0">
      <w:pPr>
        <w:numPr>
          <w:ilvl w:val="0"/>
          <w:numId w:val="5"/>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lastRenderedPageBreak/>
        <w:t xml:space="preserve">для розширення потенціалу національних рахунків, але не в якості заміни національного рахівництва використовується допоміжна система - </w:t>
      </w:r>
      <w:r>
        <w:rPr>
          <w:rFonts w:ascii="Times New Roman" w:eastAsia="Times New Roman" w:hAnsi="Times New Roman"/>
          <w:bCs/>
          <w:color w:val="000000"/>
          <w:spacing w:val="-1"/>
          <w:sz w:val="26"/>
          <w:szCs w:val="26"/>
          <w:lang w:val="uk-UA" w:eastAsia="ru-RU"/>
        </w:rPr>
        <w:t>еколого-економічний облік;</w:t>
      </w:r>
    </w:p>
    <w:p w14:paraId="6268F0E3" w14:textId="77777777" w:rsidR="001125D0" w:rsidRDefault="001125D0" w:rsidP="001125D0">
      <w:pPr>
        <w:numPr>
          <w:ilvl w:val="0"/>
          <w:numId w:val="5"/>
        </w:numPr>
        <w:spacing w:after="0" w:line="240" w:lineRule="auto"/>
        <w:ind w:left="0" w:firstLine="709"/>
        <w:jc w:val="both"/>
        <w:rPr>
          <w:rFonts w:ascii="Times New Roman" w:eastAsia="Times New Roman" w:hAnsi="Times New Roman"/>
          <w:color w:val="000000"/>
          <w:spacing w:val="-1"/>
          <w:sz w:val="26"/>
          <w:szCs w:val="26"/>
          <w:lang w:val="uk-UA" w:eastAsia="ru-RU"/>
        </w:rPr>
      </w:pPr>
      <w:r>
        <w:rPr>
          <w:rFonts w:ascii="Times New Roman" w:eastAsia="Times New Roman" w:hAnsi="Times New Roman"/>
          <w:color w:val="000000"/>
          <w:spacing w:val="-1"/>
          <w:sz w:val="26"/>
          <w:szCs w:val="26"/>
          <w:lang w:val="uk-UA" w:eastAsia="ru-RU"/>
        </w:rPr>
        <w:t xml:space="preserve">еколого-економічний облік зачіпає питання включення в національне багатство поряд з капіталом, виробленим людською працею, природного капіталу, а також дає можливість оцінити екологічні витрати (виснаження і вплив на якість природних ресурсів). Природний капітал включає відновлювані ресурси (наприклад, ліси), і невідновні (грунт і підгрунтові активи), а також екологічні послуги; </w:t>
      </w:r>
    </w:p>
    <w:p w14:paraId="6EEE13FF" w14:textId="77777777" w:rsidR="001125D0" w:rsidRDefault="001125D0" w:rsidP="001125D0">
      <w:pPr>
        <w:numPr>
          <w:ilvl w:val="0"/>
          <w:numId w:val="5"/>
        </w:numPr>
        <w:spacing w:after="0" w:line="240" w:lineRule="auto"/>
        <w:ind w:left="0" w:firstLine="709"/>
        <w:jc w:val="both"/>
        <w:rPr>
          <w:rFonts w:ascii="Times New Roman" w:eastAsia="Times New Roman" w:hAnsi="Times New Roman"/>
          <w:color w:val="000000"/>
          <w:spacing w:val="-1"/>
          <w:sz w:val="26"/>
          <w:szCs w:val="26"/>
          <w:lang w:val="uk-UA" w:eastAsia="ru-RU"/>
        </w:rPr>
      </w:pPr>
      <w:r>
        <w:rPr>
          <w:rFonts w:ascii="Times New Roman" w:eastAsia="Times New Roman" w:hAnsi="Times New Roman"/>
          <w:color w:val="000000"/>
          <w:spacing w:val="-1"/>
          <w:sz w:val="26"/>
          <w:szCs w:val="26"/>
          <w:lang w:val="uk-UA" w:eastAsia="ru-RU"/>
        </w:rPr>
        <w:t>розширення екологічно скоригованих макроекономічних агрегатів відбувається за рахунок розгляду природних активів: можливе коректування не тільки ВВП, але й чистої доданої вартості та національного багатства.</w:t>
      </w:r>
    </w:p>
    <w:p w14:paraId="3E820E2E"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val="uk-UA" w:eastAsia="ru-RU"/>
        </w:rPr>
      </w:pPr>
      <w:r>
        <w:rPr>
          <w:rFonts w:ascii="Times New Roman" w:eastAsia="Times New Roman" w:hAnsi="Times New Roman"/>
          <w:color w:val="000000"/>
          <w:spacing w:val="-1"/>
          <w:sz w:val="26"/>
          <w:szCs w:val="26"/>
          <w:lang w:eastAsia="ru-RU"/>
        </w:rPr>
        <w:t>Основним показником еколого-економічного обліку є показник «істинних заощаджень», я</w:t>
      </w:r>
      <w:r>
        <w:rPr>
          <w:rFonts w:ascii="Times New Roman" w:eastAsia="Times New Roman" w:hAnsi="Times New Roman"/>
          <w:color w:val="000000"/>
          <w:spacing w:val="-1"/>
          <w:sz w:val="26"/>
          <w:szCs w:val="26"/>
          <w:lang w:val="uk-UA" w:eastAsia="ru-RU"/>
        </w:rPr>
        <w:t>к</w:t>
      </w:r>
      <w:r>
        <w:rPr>
          <w:rFonts w:ascii="Times New Roman" w:eastAsia="Times New Roman" w:hAnsi="Times New Roman"/>
          <w:color w:val="000000"/>
          <w:spacing w:val="-1"/>
          <w:sz w:val="26"/>
          <w:szCs w:val="26"/>
          <w:lang w:eastAsia="ru-RU"/>
        </w:rPr>
        <w:t xml:space="preserve">ий був запропонований Світовим банком. </w:t>
      </w:r>
    </w:p>
    <w:p w14:paraId="1E66CDF5" w14:textId="65160B9E" w:rsidR="001125D0" w:rsidRDefault="001125D0" w:rsidP="001125D0">
      <w:pPr>
        <w:spacing w:after="0" w:line="240" w:lineRule="auto"/>
        <w:jc w:val="both"/>
        <w:rPr>
          <w:rFonts w:ascii="Times New Roman" w:eastAsia="Times New Roman" w:hAnsi="Times New Roman"/>
          <w:color w:val="000000"/>
          <w:spacing w:val="-1"/>
          <w:sz w:val="26"/>
          <w:szCs w:val="26"/>
          <w:lang w:val="uk-UA" w:eastAsia="ru-RU"/>
        </w:rPr>
      </w:pPr>
      <w:r>
        <w:rPr>
          <w:rFonts w:ascii="Times New Roman" w:hAnsi="Times New Roman"/>
          <w:noProof/>
          <w:sz w:val="26"/>
          <w:szCs w:val="26"/>
        </w:rPr>
        <mc:AlternateContent>
          <mc:Choice Requires="wpc">
            <w:drawing>
              <wp:inline distT="0" distB="0" distL="0" distR="0" wp14:anchorId="124D9BD0" wp14:editId="6ACA11B4">
                <wp:extent cx="5346700" cy="1151255"/>
                <wp:effectExtent l="0" t="0" r="6350" b="1270"/>
                <wp:docPr id="1335207249"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45533026" name="AutoShape 4"/>
                        <wps:cNvSpPr>
                          <a:spLocks noChangeArrowheads="1"/>
                        </wps:cNvSpPr>
                        <wps:spPr bwMode="auto">
                          <a:xfrm>
                            <a:off x="184106" y="84145"/>
                            <a:ext cx="5162594" cy="981435"/>
                          </a:xfrm>
                          <a:prstGeom prst="roundRect">
                            <a:avLst>
                              <a:gd name="adj" fmla="val 16667"/>
                            </a:avLst>
                          </a:prstGeom>
                          <a:solidFill>
                            <a:srgbClr val="FFFFFF"/>
                          </a:solidFill>
                          <a:ln w="9525">
                            <a:solidFill>
                              <a:srgbClr val="000000"/>
                            </a:solidFill>
                            <a:round/>
                            <a:headEnd/>
                            <a:tailEnd/>
                          </a:ln>
                        </wps:spPr>
                        <wps:txbx>
                          <w:txbxContent>
                            <w:p w14:paraId="122092C8" w14:textId="77777777" w:rsidR="001125D0" w:rsidRDefault="001125D0" w:rsidP="001125D0">
                              <w:pPr>
                                <w:jc w:val="both"/>
                              </w:pPr>
                              <w:r>
                                <w:rPr>
                                  <w:rFonts w:ascii="Times New Roman" w:hAnsi="Times New Roman"/>
                                  <w:b/>
                                  <w:sz w:val="24"/>
                                  <w:szCs w:val="24"/>
                                  <w:lang w:val="uk-UA"/>
                                </w:rPr>
                                <w:t>Істинні (дійсні)</w:t>
                              </w:r>
                              <w:r>
                                <w:rPr>
                                  <w:rFonts w:ascii="Times New Roman" w:hAnsi="Times New Roman"/>
                                  <w:b/>
                                  <w:sz w:val="24"/>
                                  <w:szCs w:val="24"/>
                                </w:rPr>
                                <w:t xml:space="preserve"> заощадження (англ. genuine (domestic) savings) — </w:t>
                              </w:r>
                              <w:r>
                                <w:rPr>
                                  <w:rFonts w:ascii="Times New Roman" w:hAnsi="Times New Roman"/>
                                  <w:sz w:val="24"/>
                                  <w:szCs w:val="24"/>
                                </w:rPr>
                                <w:t xml:space="preserve">це швидкість накопичення національних заощаджень після належного обліку виснаження природних ресурсів і збитку від забруднення навколишнього середовища. </w:t>
                              </w:r>
                            </w:p>
                            <w:p w14:paraId="06ABB3D0" w14:textId="77777777" w:rsidR="001125D0" w:rsidRDefault="001125D0" w:rsidP="001125D0"/>
                          </w:txbxContent>
                        </wps:txbx>
                        <wps:bodyPr rot="0" vert="horz" wrap="square" lIns="91440" tIns="45720" rIns="91440" bIns="45720" anchor="t" anchorCtr="0" upright="1">
                          <a:noAutofit/>
                        </wps:bodyPr>
                      </wps:wsp>
                    </wpc:wpc>
                  </a:graphicData>
                </a:graphic>
              </wp:inline>
            </w:drawing>
          </mc:Choice>
          <mc:Fallback>
            <w:pict>
              <v:group w14:anchorId="124D9BD0" id="Полотно 4" o:spid="_x0000_s1050" editas="canvas" style="width:421pt;height:90.65pt;mso-position-horizontal-relative:char;mso-position-vertical-relative:line" coordsize="53467,1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">
                <v:shape id="_x0000_s1051" type="#_x0000_t75" style="position:absolute;width:53467;height:11512;visibility:visible;mso-wrap-style:square">
                  <v:fill o:detectmouseclick="t"/>
                  <v:path o:connecttype="none"/>
                </v:shape>
                <v:roundrect id="AutoShape 4" o:spid="_x0000_s1052" style="position:absolute;left:1841;top:841;width:51626;height:98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">
                  <v:textbox>
                    <w:txbxContent>
                      <w:p w14:paraId="122092C8" w14:textId="77777777" w:rsidR="001125D0" w:rsidRDefault="001125D0" w:rsidP="001125D0">
                        <w:pPr>
                          <w:jc w:val="both"/>
                        </w:pPr>
                        <w:r>
                          <w:rPr>
                            <w:rFonts w:ascii="Times New Roman" w:hAnsi="Times New Roman"/>
                            <w:b/>
                            <w:sz w:val="24"/>
                            <w:szCs w:val="24"/>
                            <w:lang w:val="uk-UA"/>
                          </w:rPr>
                          <w:t>Істинні (дійсні)</w:t>
                        </w:r>
                        <w:r>
                          <w:rPr>
                            <w:rFonts w:ascii="Times New Roman" w:hAnsi="Times New Roman"/>
                            <w:b/>
                            <w:sz w:val="24"/>
                            <w:szCs w:val="24"/>
                          </w:rPr>
                          <w:t xml:space="preserve"> </w:t>
                        </w:r>
                        <w:proofErr w:type="spellStart"/>
                        <w:r>
                          <w:rPr>
                            <w:rFonts w:ascii="Times New Roman" w:hAnsi="Times New Roman"/>
                            <w:b/>
                            <w:sz w:val="24"/>
                            <w:szCs w:val="24"/>
                          </w:rPr>
                          <w:t>заощадження</w:t>
                        </w:r>
                        <w:proofErr w:type="spellEnd"/>
                        <w:r>
                          <w:rPr>
                            <w:rFonts w:ascii="Times New Roman" w:hAnsi="Times New Roman"/>
                            <w:b/>
                            <w:sz w:val="24"/>
                            <w:szCs w:val="24"/>
                          </w:rPr>
                          <w:t xml:space="preserve"> (англ. </w:t>
                        </w:r>
                        <w:proofErr w:type="spellStart"/>
                        <w:r>
                          <w:rPr>
                            <w:rFonts w:ascii="Times New Roman" w:hAnsi="Times New Roman"/>
                            <w:b/>
                            <w:sz w:val="24"/>
                            <w:szCs w:val="24"/>
                          </w:rPr>
                          <w:t>genuine</w:t>
                        </w:r>
                        <w:proofErr w:type="spellEnd"/>
                        <w:r>
                          <w:rPr>
                            <w:rFonts w:ascii="Times New Roman" w:hAnsi="Times New Roman"/>
                            <w:b/>
                            <w:sz w:val="24"/>
                            <w:szCs w:val="24"/>
                          </w:rPr>
                          <w:t xml:space="preserve"> (</w:t>
                        </w:r>
                        <w:proofErr w:type="spellStart"/>
                        <w:r>
                          <w:rPr>
                            <w:rFonts w:ascii="Times New Roman" w:hAnsi="Times New Roman"/>
                            <w:b/>
                            <w:sz w:val="24"/>
                            <w:szCs w:val="24"/>
                          </w:rPr>
                          <w:t>domestic</w:t>
                        </w:r>
                        <w:proofErr w:type="spellEnd"/>
                        <w:r>
                          <w:rPr>
                            <w:rFonts w:ascii="Times New Roman" w:hAnsi="Times New Roman"/>
                            <w:b/>
                            <w:sz w:val="24"/>
                            <w:szCs w:val="24"/>
                          </w:rPr>
                          <w:t xml:space="preserve">) </w:t>
                        </w:r>
                        <w:proofErr w:type="spellStart"/>
                        <w:r>
                          <w:rPr>
                            <w:rFonts w:ascii="Times New Roman" w:hAnsi="Times New Roman"/>
                            <w:b/>
                            <w:sz w:val="24"/>
                            <w:szCs w:val="24"/>
                          </w:rPr>
                          <w:t>savings</w:t>
                        </w:r>
                        <w:proofErr w:type="spellEnd"/>
                        <w:r>
                          <w:rPr>
                            <w:rFonts w:ascii="Times New Roman" w:hAnsi="Times New Roman"/>
                            <w:b/>
                            <w:sz w:val="24"/>
                            <w:szCs w:val="24"/>
                          </w:rPr>
                          <w:t xml:space="preserve">) — </w:t>
                        </w:r>
                        <w:proofErr w:type="spellStart"/>
                        <w:r>
                          <w:rPr>
                            <w:rFonts w:ascii="Times New Roman" w:hAnsi="Times New Roman"/>
                            <w:sz w:val="24"/>
                            <w:szCs w:val="24"/>
                          </w:rPr>
                          <w:t>це</w:t>
                        </w:r>
                        <w:proofErr w:type="spellEnd"/>
                        <w:r>
                          <w:rPr>
                            <w:rFonts w:ascii="Times New Roman" w:hAnsi="Times New Roman"/>
                            <w:sz w:val="24"/>
                            <w:szCs w:val="24"/>
                          </w:rPr>
                          <w:t xml:space="preserve"> </w:t>
                        </w:r>
                        <w:proofErr w:type="spellStart"/>
                        <w:r>
                          <w:rPr>
                            <w:rFonts w:ascii="Times New Roman" w:hAnsi="Times New Roman"/>
                            <w:sz w:val="24"/>
                            <w:szCs w:val="24"/>
                          </w:rPr>
                          <w:t>швидкість</w:t>
                        </w:r>
                        <w:proofErr w:type="spellEnd"/>
                        <w:r>
                          <w:rPr>
                            <w:rFonts w:ascii="Times New Roman" w:hAnsi="Times New Roman"/>
                            <w:sz w:val="24"/>
                            <w:szCs w:val="24"/>
                          </w:rPr>
                          <w:t xml:space="preserve"> </w:t>
                        </w:r>
                        <w:proofErr w:type="spellStart"/>
                        <w:r>
                          <w:rPr>
                            <w:rFonts w:ascii="Times New Roman" w:hAnsi="Times New Roman"/>
                            <w:sz w:val="24"/>
                            <w:szCs w:val="24"/>
                          </w:rPr>
                          <w:t>накопичення</w:t>
                        </w:r>
                        <w:proofErr w:type="spellEnd"/>
                        <w:r>
                          <w:rPr>
                            <w:rFonts w:ascii="Times New Roman" w:hAnsi="Times New Roman"/>
                            <w:sz w:val="24"/>
                            <w:szCs w:val="24"/>
                          </w:rPr>
                          <w:t xml:space="preserve"> </w:t>
                        </w:r>
                        <w:proofErr w:type="spellStart"/>
                        <w:r>
                          <w:rPr>
                            <w:rFonts w:ascii="Times New Roman" w:hAnsi="Times New Roman"/>
                            <w:sz w:val="24"/>
                            <w:szCs w:val="24"/>
                          </w:rPr>
                          <w:t>національних</w:t>
                        </w:r>
                        <w:proofErr w:type="spellEnd"/>
                        <w:r>
                          <w:rPr>
                            <w:rFonts w:ascii="Times New Roman" w:hAnsi="Times New Roman"/>
                            <w:sz w:val="24"/>
                            <w:szCs w:val="24"/>
                          </w:rPr>
                          <w:t xml:space="preserve"> </w:t>
                        </w:r>
                        <w:proofErr w:type="spellStart"/>
                        <w:r>
                          <w:rPr>
                            <w:rFonts w:ascii="Times New Roman" w:hAnsi="Times New Roman"/>
                            <w:sz w:val="24"/>
                            <w:szCs w:val="24"/>
                          </w:rPr>
                          <w:t>заощаджень</w:t>
                        </w:r>
                        <w:proofErr w:type="spellEnd"/>
                        <w:r>
                          <w:rPr>
                            <w:rFonts w:ascii="Times New Roman" w:hAnsi="Times New Roman"/>
                            <w:sz w:val="24"/>
                            <w:szCs w:val="24"/>
                          </w:rPr>
                          <w:t xml:space="preserve"> </w:t>
                        </w:r>
                        <w:proofErr w:type="spellStart"/>
                        <w:r>
                          <w:rPr>
                            <w:rFonts w:ascii="Times New Roman" w:hAnsi="Times New Roman"/>
                            <w:sz w:val="24"/>
                            <w:szCs w:val="24"/>
                          </w:rPr>
                          <w:t>після</w:t>
                        </w:r>
                        <w:proofErr w:type="spellEnd"/>
                        <w:r>
                          <w:rPr>
                            <w:rFonts w:ascii="Times New Roman" w:hAnsi="Times New Roman"/>
                            <w:sz w:val="24"/>
                            <w:szCs w:val="24"/>
                          </w:rPr>
                          <w:t xml:space="preserve"> </w:t>
                        </w:r>
                        <w:proofErr w:type="spellStart"/>
                        <w:r>
                          <w:rPr>
                            <w:rFonts w:ascii="Times New Roman" w:hAnsi="Times New Roman"/>
                            <w:sz w:val="24"/>
                            <w:szCs w:val="24"/>
                          </w:rPr>
                          <w:t>належного</w:t>
                        </w:r>
                        <w:proofErr w:type="spellEnd"/>
                        <w:r>
                          <w:rPr>
                            <w:rFonts w:ascii="Times New Roman" w:hAnsi="Times New Roman"/>
                            <w:sz w:val="24"/>
                            <w:szCs w:val="24"/>
                          </w:rPr>
                          <w:t xml:space="preserve"> </w:t>
                        </w:r>
                        <w:proofErr w:type="spellStart"/>
                        <w:r>
                          <w:rPr>
                            <w:rFonts w:ascii="Times New Roman" w:hAnsi="Times New Roman"/>
                            <w:sz w:val="24"/>
                            <w:szCs w:val="24"/>
                          </w:rPr>
                          <w:t>обліку</w:t>
                        </w:r>
                        <w:proofErr w:type="spellEnd"/>
                        <w:r>
                          <w:rPr>
                            <w:rFonts w:ascii="Times New Roman" w:hAnsi="Times New Roman"/>
                            <w:sz w:val="24"/>
                            <w:szCs w:val="24"/>
                          </w:rPr>
                          <w:t xml:space="preserve"> </w:t>
                        </w:r>
                        <w:proofErr w:type="spellStart"/>
                        <w:r>
                          <w:rPr>
                            <w:rFonts w:ascii="Times New Roman" w:hAnsi="Times New Roman"/>
                            <w:sz w:val="24"/>
                            <w:szCs w:val="24"/>
                          </w:rPr>
                          <w:t>виснаження</w:t>
                        </w:r>
                        <w:proofErr w:type="spellEnd"/>
                        <w:r>
                          <w:rPr>
                            <w:rFonts w:ascii="Times New Roman" w:hAnsi="Times New Roman"/>
                            <w:sz w:val="24"/>
                            <w:szCs w:val="24"/>
                          </w:rPr>
                          <w:t xml:space="preserve"> </w:t>
                        </w:r>
                        <w:proofErr w:type="spellStart"/>
                        <w:r>
                          <w:rPr>
                            <w:rFonts w:ascii="Times New Roman" w:hAnsi="Times New Roman"/>
                            <w:sz w:val="24"/>
                            <w:szCs w:val="24"/>
                          </w:rPr>
                          <w:t>природних</w:t>
                        </w:r>
                        <w:proofErr w:type="spellEnd"/>
                        <w:r>
                          <w:rPr>
                            <w:rFonts w:ascii="Times New Roman" w:hAnsi="Times New Roman"/>
                            <w:sz w:val="24"/>
                            <w:szCs w:val="24"/>
                          </w:rPr>
                          <w:t xml:space="preserve"> </w:t>
                        </w:r>
                        <w:proofErr w:type="spellStart"/>
                        <w:r>
                          <w:rPr>
                            <w:rFonts w:ascii="Times New Roman" w:hAnsi="Times New Roman"/>
                            <w:sz w:val="24"/>
                            <w:szCs w:val="24"/>
                          </w:rPr>
                          <w:t>ресурсів</w:t>
                        </w:r>
                        <w:proofErr w:type="spellEnd"/>
                        <w:r>
                          <w:rPr>
                            <w:rFonts w:ascii="Times New Roman" w:hAnsi="Times New Roman"/>
                            <w:sz w:val="24"/>
                            <w:szCs w:val="24"/>
                          </w:rPr>
                          <w:t xml:space="preserve"> і </w:t>
                        </w:r>
                        <w:proofErr w:type="spellStart"/>
                        <w:r>
                          <w:rPr>
                            <w:rFonts w:ascii="Times New Roman" w:hAnsi="Times New Roman"/>
                            <w:sz w:val="24"/>
                            <w:szCs w:val="24"/>
                          </w:rPr>
                          <w:t>збитку</w:t>
                        </w:r>
                        <w:proofErr w:type="spellEnd"/>
                        <w:r>
                          <w:rPr>
                            <w:rFonts w:ascii="Times New Roman" w:hAnsi="Times New Roman"/>
                            <w:sz w:val="24"/>
                            <w:szCs w:val="24"/>
                          </w:rPr>
                          <w:t xml:space="preserve"> </w:t>
                        </w:r>
                        <w:proofErr w:type="spellStart"/>
                        <w:r>
                          <w:rPr>
                            <w:rFonts w:ascii="Times New Roman" w:hAnsi="Times New Roman"/>
                            <w:sz w:val="24"/>
                            <w:szCs w:val="24"/>
                          </w:rPr>
                          <w:t>від</w:t>
                        </w:r>
                        <w:proofErr w:type="spellEnd"/>
                        <w:r>
                          <w:rPr>
                            <w:rFonts w:ascii="Times New Roman" w:hAnsi="Times New Roman"/>
                            <w:sz w:val="24"/>
                            <w:szCs w:val="24"/>
                          </w:rPr>
                          <w:t xml:space="preserve"> </w:t>
                        </w:r>
                        <w:proofErr w:type="spellStart"/>
                        <w:r>
                          <w:rPr>
                            <w:rFonts w:ascii="Times New Roman" w:hAnsi="Times New Roman"/>
                            <w:sz w:val="24"/>
                            <w:szCs w:val="24"/>
                          </w:rPr>
                          <w:t>забруднення</w:t>
                        </w:r>
                        <w:proofErr w:type="spellEnd"/>
                        <w:r>
                          <w:rPr>
                            <w:rFonts w:ascii="Times New Roman" w:hAnsi="Times New Roman"/>
                            <w:sz w:val="24"/>
                            <w:szCs w:val="24"/>
                          </w:rPr>
                          <w:t xml:space="preserve"> </w:t>
                        </w:r>
                        <w:proofErr w:type="spellStart"/>
                        <w:r>
                          <w:rPr>
                            <w:rFonts w:ascii="Times New Roman" w:hAnsi="Times New Roman"/>
                            <w:sz w:val="24"/>
                            <w:szCs w:val="24"/>
                          </w:rPr>
                          <w:t>навколишнього</w:t>
                        </w:r>
                        <w:proofErr w:type="spellEnd"/>
                        <w:r>
                          <w:rPr>
                            <w:rFonts w:ascii="Times New Roman" w:hAnsi="Times New Roman"/>
                            <w:sz w:val="24"/>
                            <w:szCs w:val="24"/>
                          </w:rPr>
                          <w:t xml:space="preserve"> </w:t>
                        </w:r>
                        <w:proofErr w:type="spellStart"/>
                        <w:r>
                          <w:rPr>
                            <w:rFonts w:ascii="Times New Roman" w:hAnsi="Times New Roman"/>
                            <w:sz w:val="24"/>
                            <w:szCs w:val="24"/>
                          </w:rPr>
                          <w:t>середовища</w:t>
                        </w:r>
                        <w:proofErr w:type="spellEnd"/>
                        <w:r>
                          <w:rPr>
                            <w:rFonts w:ascii="Times New Roman" w:hAnsi="Times New Roman"/>
                            <w:sz w:val="24"/>
                            <w:szCs w:val="24"/>
                          </w:rPr>
                          <w:t xml:space="preserve">. </w:t>
                        </w:r>
                      </w:p>
                      <w:p w14:paraId="06ABB3D0" w14:textId="77777777" w:rsidR="001125D0" w:rsidRDefault="001125D0" w:rsidP="001125D0"/>
                    </w:txbxContent>
                  </v:textbox>
                </v:roundrect>
                <w10:anchorlock/>
              </v:group>
            </w:pict>
          </mc:Fallback>
        </mc:AlternateContent>
      </w:r>
    </w:p>
    <w:p w14:paraId="68F80246"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eastAsia="ru-RU"/>
        </w:rPr>
        <w:t>Концепція «істинних заощаджень» тісно пов'язана зі спробою нового підходу до вимірювання національного багатства країн. Світовим банком розраховані величини природного, виробленого (фізичний або штучний) та соціального капіталі</w:t>
      </w:r>
      <w:r>
        <w:rPr>
          <w:rFonts w:ascii="Times New Roman" w:eastAsia="Times New Roman" w:hAnsi="Times New Roman"/>
          <w:color w:val="000000"/>
          <w:spacing w:val="-1"/>
          <w:sz w:val="26"/>
          <w:szCs w:val="26"/>
          <w:lang w:val="uk-UA" w:eastAsia="ru-RU"/>
        </w:rPr>
        <w:t>в</w:t>
      </w:r>
      <w:r>
        <w:rPr>
          <w:rFonts w:ascii="Times New Roman" w:eastAsia="Times New Roman" w:hAnsi="Times New Roman"/>
          <w:color w:val="000000"/>
          <w:spacing w:val="-1"/>
          <w:sz w:val="26"/>
          <w:szCs w:val="26"/>
          <w:lang w:eastAsia="ru-RU"/>
        </w:rPr>
        <w:t>, а також їх частка в сукупному національному багатстві країни.</w:t>
      </w:r>
      <w:r>
        <w:rPr>
          <w:rFonts w:ascii="Times New Roman" w:eastAsia="Times New Roman" w:hAnsi="Times New Roman"/>
          <w:color w:val="000000"/>
          <w:spacing w:val="-1"/>
          <w:sz w:val="26"/>
          <w:szCs w:val="26"/>
          <w:lang w:val="uk-UA" w:eastAsia="ru-RU"/>
        </w:rPr>
        <w:t xml:space="preserve"> </w:t>
      </w:r>
      <w:r>
        <w:rPr>
          <w:rFonts w:ascii="Times New Roman" w:eastAsia="Times New Roman" w:hAnsi="Times New Roman"/>
          <w:color w:val="000000"/>
          <w:spacing w:val="-1"/>
          <w:sz w:val="26"/>
          <w:szCs w:val="26"/>
          <w:lang w:eastAsia="ru-RU"/>
        </w:rPr>
        <w:t>Так, частка природного капіталу в національному багатстві в середньому для більш ніж 100 країн світу становить 2-40%, частка людського капіталу — 40-80%.</w:t>
      </w:r>
      <w:r>
        <w:rPr>
          <w:rFonts w:ascii="Times New Roman" w:eastAsia="Times New Roman" w:hAnsi="Times New Roman"/>
          <w:color w:val="000000"/>
          <w:spacing w:val="-1"/>
          <w:sz w:val="26"/>
          <w:szCs w:val="26"/>
          <w:lang w:val="uk-UA" w:eastAsia="ru-RU"/>
        </w:rPr>
        <w:t xml:space="preserve"> </w:t>
      </w:r>
      <w:r>
        <w:rPr>
          <w:rFonts w:ascii="Times New Roman" w:eastAsia="Times New Roman" w:hAnsi="Times New Roman"/>
          <w:color w:val="000000"/>
          <w:spacing w:val="-1"/>
          <w:sz w:val="26"/>
          <w:szCs w:val="26"/>
          <w:lang w:eastAsia="ru-RU"/>
        </w:rPr>
        <w:t>Крім того, в розвинених країнах частка природного капіталу в національному багатстві в середньому не перевищує 10%, в той час як частка людського капіталу становить понад 70%. Для багатьох країн з низькими доходами на душу населення питома вага сільськогосподарської компоненти в природному капіталі становить 80%, в той час як у країнах з високими доходами цей показник не перевищує 40%.</w:t>
      </w:r>
      <w:r>
        <w:rPr>
          <w:rFonts w:ascii="Times New Roman" w:eastAsia="Times New Roman" w:hAnsi="Times New Roman"/>
          <w:color w:val="000000"/>
          <w:spacing w:val="-1"/>
          <w:sz w:val="26"/>
          <w:szCs w:val="26"/>
          <w:lang w:val="uk-UA" w:eastAsia="ru-RU"/>
        </w:rPr>
        <w:t xml:space="preserve"> </w:t>
      </w:r>
    </w:p>
    <w:p w14:paraId="0D7C2235"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val="uk-UA" w:eastAsia="ru-RU"/>
        </w:rPr>
      </w:pPr>
      <w:r>
        <w:rPr>
          <w:rFonts w:ascii="Times New Roman" w:eastAsia="Times New Roman" w:hAnsi="Times New Roman"/>
          <w:i/>
          <w:color w:val="000000"/>
          <w:spacing w:val="-1"/>
          <w:sz w:val="26"/>
          <w:szCs w:val="26"/>
          <w:u w:val="single"/>
          <w:lang w:eastAsia="ru-RU"/>
        </w:rPr>
        <w:t>Система факторів (індексів і індикаторів) на основі метрики для вимірювання процесів сталого розвитку (МВСР) в Україн</w:t>
      </w:r>
      <w:r>
        <w:rPr>
          <w:rFonts w:ascii="Times New Roman" w:eastAsia="Times New Roman" w:hAnsi="Times New Roman"/>
          <w:i/>
          <w:color w:val="000000"/>
          <w:spacing w:val="-1"/>
          <w:sz w:val="26"/>
          <w:szCs w:val="26"/>
          <w:u w:val="single"/>
          <w:lang w:val="uk-UA" w:eastAsia="ru-RU"/>
        </w:rPr>
        <w:t>і.</w:t>
      </w:r>
      <w:r>
        <w:rPr>
          <w:rFonts w:ascii="Times New Roman" w:eastAsia="Times New Roman" w:hAnsi="Times New Roman"/>
          <w:color w:val="000000"/>
          <w:spacing w:val="-1"/>
          <w:sz w:val="26"/>
          <w:szCs w:val="26"/>
          <w:lang w:val="uk-UA" w:eastAsia="ru-RU"/>
        </w:rPr>
        <w:t xml:space="preserve"> </w:t>
      </w:r>
      <w:r>
        <w:rPr>
          <w:rFonts w:ascii="Times New Roman" w:eastAsia="Times New Roman" w:hAnsi="Times New Roman"/>
          <w:color w:val="000000"/>
          <w:spacing w:val="-1"/>
          <w:sz w:val="26"/>
          <w:szCs w:val="26"/>
          <w:lang w:val="uk-UA"/>
        </w:rPr>
        <w:t>Запропонована у 2009 році академіком НАН України Згуровським М.З. за підтримки і сприянням: М</w:t>
      </w:r>
      <w:r>
        <w:rPr>
          <w:rFonts w:ascii="Times New Roman" w:eastAsia="Times New Roman" w:hAnsi="Times New Roman"/>
          <w:color w:val="000000"/>
          <w:spacing w:val="-1"/>
          <w:sz w:val="26"/>
          <w:szCs w:val="26"/>
          <w:lang w:val="uk-UA" w:eastAsia="ru-RU"/>
        </w:rPr>
        <w:t>іжнародної ради з науки (</w:t>
      </w:r>
      <w:r>
        <w:rPr>
          <w:rFonts w:ascii="Times New Roman" w:eastAsia="Times New Roman" w:hAnsi="Times New Roman"/>
          <w:color w:val="000000"/>
          <w:spacing w:val="-1"/>
          <w:sz w:val="26"/>
          <w:szCs w:val="26"/>
          <w:lang w:eastAsia="ru-RU"/>
        </w:rPr>
        <w:t>ICSU</w:t>
      </w:r>
      <w:r>
        <w:rPr>
          <w:rFonts w:ascii="Times New Roman" w:eastAsia="Times New Roman" w:hAnsi="Times New Roman"/>
          <w:color w:val="000000"/>
          <w:spacing w:val="-1"/>
          <w:sz w:val="26"/>
          <w:szCs w:val="26"/>
          <w:lang w:val="uk-UA" w:eastAsia="ru-RU"/>
        </w:rPr>
        <w:t>), Світового центру даних «Геоінформатика і сталий розвиток», Інституту прикладного системного аналізу НАН України і МОН України. Згідно з метрикою для вимірювання процесів сталого розвитку (МВСР), сталий розвиток оцінюється за допомогою відповідного індексу (</w:t>
      </w:r>
      <w:r>
        <w:rPr>
          <w:rFonts w:ascii="Times New Roman" w:eastAsia="Times New Roman" w:hAnsi="Times New Roman"/>
          <w:color w:val="000000"/>
          <w:spacing w:val="-1"/>
          <w:sz w:val="26"/>
          <w:szCs w:val="26"/>
          <w:lang w:val="en-US" w:eastAsia="ru-RU"/>
        </w:rPr>
        <w:t>I</w:t>
      </w:r>
      <w:r>
        <w:rPr>
          <w:rFonts w:ascii="Times New Roman" w:eastAsia="Times New Roman" w:hAnsi="Times New Roman"/>
          <w:color w:val="000000"/>
          <w:spacing w:val="-1"/>
          <w:sz w:val="26"/>
          <w:szCs w:val="26"/>
          <w:lang w:val="uk-UA" w:eastAsia="ru-RU"/>
        </w:rPr>
        <w:t xml:space="preserve"> </w:t>
      </w:r>
      <w:r>
        <w:rPr>
          <w:rFonts w:ascii="Times New Roman" w:eastAsia="Times New Roman" w:hAnsi="Times New Roman"/>
          <w:color w:val="000000"/>
          <w:spacing w:val="-1"/>
          <w:sz w:val="26"/>
          <w:szCs w:val="26"/>
          <w:lang w:val="en-US" w:eastAsia="ru-RU"/>
        </w:rPr>
        <w:t>sd</w:t>
      </w:r>
      <w:r>
        <w:rPr>
          <w:rFonts w:ascii="Times New Roman" w:eastAsia="Times New Roman" w:hAnsi="Times New Roman"/>
          <w:color w:val="000000"/>
          <w:spacing w:val="-1"/>
          <w:sz w:val="26"/>
          <w:szCs w:val="26"/>
          <w:lang w:val="uk-UA" w:eastAsia="ru-RU"/>
        </w:rPr>
        <w:t xml:space="preserve">) </w:t>
      </w:r>
      <w:r>
        <w:rPr>
          <w:rFonts w:ascii="Times New Roman" w:eastAsia="Times New Roman" w:hAnsi="Times New Roman"/>
          <w:b/>
          <w:color w:val="000000"/>
          <w:spacing w:val="-1"/>
          <w:sz w:val="26"/>
          <w:szCs w:val="26"/>
          <w:lang w:val="uk-UA" w:eastAsia="ru-RU"/>
        </w:rPr>
        <w:t>в просторі трьох вимірів:</w:t>
      </w:r>
    </w:p>
    <w:p w14:paraId="6E38F882" w14:textId="77777777" w:rsidR="001125D0" w:rsidRDefault="001125D0" w:rsidP="001125D0">
      <w:pPr>
        <w:numPr>
          <w:ilvl w:val="0"/>
          <w:numId w:val="6"/>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 економічного (</w:t>
      </w:r>
      <w:r>
        <w:rPr>
          <w:rFonts w:ascii="Times New Roman" w:eastAsia="Times New Roman" w:hAnsi="Times New Roman"/>
          <w:color w:val="000000"/>
          <w:spacing w:val="-1"/>
          <w:sz w:val="26"/>
          <w:szCs w:val="26"/>
          <w:lang w:val="en-US" w:eastAsia="ru-RU"/>
        </w:rPr>
        <w:t xml:space="preserve">I ec), </w:t>
      </w:r>
    </w:p>
    <w:p w14:paraId="1AA28858" w14:textId="77777777" w:rsidR="001125D0" w:rsidRDefault="001125D0" w:rsidP="001125D0">
      <w:pPr>
        <w:numPr>
          <w:ilvl w:val="0"/>
          <w:numId w:val="6"/>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екологічного (</w:t>
      </w:r>
      <w:r>
        <w:rPr>
          <w:rFonts w:ascii="Times New Roman" w:eastAsia="Times New Roman" w:hAnsi="Times New Roman"/>
          <w:color w:val="000000"/>
          <w:spacing w:val="-1"/>
          <w:sz w:val="26"/>
          <w:szCs w:val="26"/>
          <w:lang w:val="en-US" w:eastAsia="ru-RU"/>
        </w:rPr>
        <w:t>I e )</w:t>
      </w:r>
      <w:r>
        <w:rPr>
          <w:rFonts w:ascii="Times New Roman" w:eastAsia="Times New Roman" w:hAnsi="Times New Roman"/>
          <w:color w:val="000000"/>
          <w:spacing w:val="-1"/>
          <w:sz w:val="26"/>
          <w:szCs w:val="26"/>
          <w:lang w:val="uk-UA" w:eastAsia="ru-RU"/>
        </w:rPr>
        <w:t xml:space="preserve">, </w:t>
      </w:r>
    </w:p>
    <w:p w14:paraId="685547D9" w14:textId="77777777" w:rsidR="001125D0" w:rsidRDefault="001125D0" w:rsidP="001125D0">
      <w:pPr>
        <w:numPr>
          <w:ilvl w:val="0"/>
          <w:numId w:val="6"/>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соціального + інституціонального (</w:t>
      </w:r>
      <w:r>
        <w:rPr>
          <w:rFonts w:ascii="Times New Roman" w:eastAsia="Times New Roman" w:hAnsi="Times New Roman"/>
          <w:color w:val="000000"/>
          <w:spacing w:val="-1"/>
          <w:sz w:val="26"/>
          <w:szCs w:val="26"/>
          <w:lang w:val="en-US" w:eastAsia="ru-RU"/>
        </w:rPr>
        <w:t xml:space="preserve">I s ), </w:t>
      </w:r>
    </w:p>
    <w:p w14:paraId="2AB22C4C" w14:textId="77777777" w:rsidR="001125D0" w:rsidRDefault="001125D0" w:rsidP="001125D0">
      <w:pPr>
        <w:spacing w:after="0" w:line="240" w:lineRule="auto"/>
        <w:ind w:firstLine="709"/>
        <w:jc w:val="both"/>
        <w:rPr>
          <w:rFonts w:ascii="Times New Roman" w:hAnsi="Times New Roman"/>
          <w:color w:val="000000"/>
          <w:spacing w:val="-1"/>
          <w:sz w:val="26"/>
          <w:szCs w:val="26"/>
        </w:rPr>
      </w:pPr>
      <w:r>
        <w:rPr>
          <w:rFonts w:ascii="Times New Roman" w:eastAsia="Times New Roman" w:hAnsi="Times New Roman"/>
          <w:b/>
          <w:color w:val="000000"/>
          <w:spacing w:val="-1"/>
          <w:sz w:val="26"/>
          <w:szCs w:val="26"/>
          <w:lang w:val="uk-UA" w:eastAsia="ru-RU"/>
        </w:rPr>
        <w:t>Індекс економічного виміру (</w:t>
      </w:r>
      <w:r>
        <w:rPr>
          <w:rFonts w:ascii="Times New Roman" w:eastAsia="Times New Roman" w:hAnsi="Times New Roman"/>
          <w:b/>
          <w:color w:val="000000"/>
          <w:spacing w:val="-1"/>
          <w:sz w:val="26"/>
          <w:szCs w:val="26"/>
          <w:lang w:val="en-US" w:eastAsia="ru-RU"/>
        </w:rPr>
        <w:t>I</w:t>
      </w:r>
      <w:r w:rsidRPr="00265DE2">
        <w:rPr>
          <w:rFonts w:ascii="Times New Roman" w:eastAsia="Times New Roman" w:hAnsi="Times New Roman"/>
          <w:b/>
          <w:color w:val="000000"/>
          <w:spacing w:val="-1"/>
          <w:sz w:val="26"/>
          <w:szCs w:val="26"/>
          <w:lang w:eastAsia="ru-RU"/>
        </w:rPr>
        <w:t xml:space="preserve"> </w:t>
      </w:r>
      <w:r>
        <w:rPr>
          <w:rFonts w:ascii="Times New Roman" w:eastAsia="Times New Roman" w:hAnsi="Times New Roman"/>
          <w:b/>
          <w:color w:val="000000"/>
          <w:spacing w:val="-1"/>
          <w:sz w:val="26"/>
          <w:szCs w:val="26"/>
          <w:lang w:val="en-US" w:eastAsia="ru-RU"/>
        </w:rPr>
        <w:t>ec</w:t>
      </w:r>
      <w:r>
        <w:rPr>
          <w:rFonts w:ascii="Times New Roman" w:eastAsia="Times New Roman" w:hAnsi="Times New Roman"/>
          <w:b/>
          <w:color w:val="000000"/>
          <w:spacing w:val="-1"/>
          <w:sz w:val="26"/>
          <w:szCs w:val="26"/>
          <w:lang w:eastAsia="ru-RU"/>
        </w:rPr>
        <w:t>)</w:t>
      </w:r>
      <w:r>
        <w:rPr>
          <w:rFonts w:ascii="Times New Roman" w:eastAsia="+mn-ea" w:hAnsi="Times New Roman"/>
          <w:b/>
          <w:color w:val="000000"/>
          <w:kern w:val="24"/>
          <w:sz w:val="26"/>
          <w:szCs w:val="26"/>
          <w:lang w:val="uk-UA" w:eastAsia="ru-RU"/>
        </w:rPr>
        <w:t xml:space="preserve"> </w:t>
      </w:r>
      <w:r>
        <w:rPr>
          <w:rFonts w:ascii="Times New Roman" w:eastAsia="Times New Roman" w:hAnsi="Times New Roman"/>
          <w:b/>
          <w:color w:val="000000"/>
          <w:spacing w:val="-1"/>
          <w:sz w:val="26"/>
          <w:szCs w:val="26"/>
          <w:lang w:val="uk-UA"/>
        </w:rPr>
        <w:t xml:space="preserve">сформовано </w:t>
      </w:r>
      <w:r>
        <w:rPr>
          <w:rFonts w:ascii="Times New Roman" w:eastAsia="Times New Roman" w:hAnsi="Times New Roman"/>
          <w:b/>
          <w:bCs/>
          <w:color w:val="000000"/>
          <w:spacing w:val="-1"/>
          <w:sz w:val="26"/>
          <w:szCs w:val="26"/>
          <w:u w:val="single"/>
          <w:lang w:val="uk-UA"/>
        </w:rPr>
        <w:t>з двох індексів</w:t>
      </w:r>
      <w:r>
        <w:rPr>
          <w:rFonts w:ascii="Times New Roman" w:eastAsia="Times New Roman" w:hAnsi="Times New Roman"/>
          <w:bCs/>
          <w:color w:val="000000"/>
          <w:spacing w:val="-1"/>
          <w:sz w:val="26"/>
          <w:szCs w:val="26"/>
          <w:u w:val="single"/>
          <w:lang w:val="uk-UA"/>
        </w:rPr>
        <w:t xml:space="preserve"> </w:t>
      </w:r>
      <w:r>
        <w:rPr>
          <w:rFonts w:ascii="Times New Roman" w:eastAsia="Times New Roman" w:hAnsi="Times New Roman"/>
          <w:color w:val="000000"/>
          <w:spacing w:val="-1"/>
          <w:sz w:val="26"/>
          <w:szCs w:val="26"/>
          <w:lang w:val="uk-UA"/>
        </w:rPr>
        <w:t xml:space="preserve">— </w:t>
      </w:r>
    </w:p>
    <w:p w14:paraId="105A18A2" w14:textId="77777777" w:rsidR="001125D0" w:rsidRDefault="001125D0" w:rsidP="001125D0">
      <w:pPr>
        <w:numPr>
          <w:ilvl w:val="0"/>
          <w:numId w:val="7"/>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bCs/>
          <w:color w:val="000000"/>
          <w:spacing w:val="-1"/>
          <w:sz w:val="26"/>
          <w:szCs w:val="26"/>
          <w:lang w:val="uk-UA" w:eastAsia="ru-RU"/>
        </w:rPr>
        <w:t>Індексу конкурентоспроможності</w:t>
      </w:r>
      <w:r>
        <w:rPr>
          <w:rFonts w:ascii="Times New Roman" w:eastAsia="Times New Roman" w:hAnsi="Times New Roman"/>
          <w:color w:val="000000"/>
          <w:spacing w:val="-1"/>
          <w:sz w:val="26"/>
          <w:szCs w:val="26"/>
          <w:lang w:val="uk-UA" w:eastAsia="ru-RU"/>
        </w:rPr>
        <w:t xml:space="preserve">, який формується з таких двох груп (категорій економічної політики) індикаторів: </w:t>
      </w:r>
    </w:p>
    <w:p w14:paraId="6B6FBB17"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 – групи індикаторів базових потреб;  в неї входять чотири </w:t>
      </w:r>
      <w:r>
        <w:rPr>
          <w:rFonts w:ascii="Times New Roman" w:eastAsia="Times New Roman" w:hAnsi="Times New Roman"/>
          <w:bCs/>
          <w:color w:val="000000"/>
          <w:spacing w:val="-1"/>
          <w:sz w:val="26"/>
          <w:szCs w:val="26"/>
          <w:lang w:val="uk-UA" w:eastAsia="ru-RU"/>
        </w:rPr>
        <w:t xml:space="preserve">індикатори: </w:t>
      </w:r>
    </w:p>
    <w:p w14:paraId="3869630F" w14:textId="77777777" w:rsidR="001125D0" w:rsidRDefault="001125D0" w:rsidP="001125D0">
      <w:pPr>
        <w:numPr>
          <w:ilvl w:val="0"/>
          <w:numId w:val="8"/>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валовий національний продукт, </w:t>
      </w:r>
    </w:p>
    <w:p w14:paraId="3E09FA1C" w14:textId="77777777" w:rsidR="001125D0" w:rsidRDefault="001125D0" w:rsidP="001125D0">
      <w:pPr>
        <w:numPr>
          <w:ilvl w:val="0"/>
          <w:numId w:val="8"/>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промислово-сільськогосподарська сфера, </w:t>
      </w:r>
    </w:p>
    <w:p w14:paraId="1FCCDED6" w14:textId="77777777" w:rsidR="001125D0" w:rsidRDefault="001125D0" w:rsidP="001125D0">
      <w:pPr>
        <w:numPr>
          <w:ilvl w:val="0"/>
          <w:numId w:val="8"/>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нематеріальна сфера, </w:t>
      </w:r>
    </w:p>
    <w:p w14:paraId="118D8958" w14:textId="77777777" w:rsidR="001125D0" w:rsidRDefault="001125D0" w:rsidP="001125D0">
      <w:pPr>
        <w:numPr>
          <w:ilvl w:val="0"/>
          <w:numId w:val="8"/>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транспортна інфраструктура. </w:t>
      </w:r>
    </w:p>
    <w:p w14:paraId="7DDAA106"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lastRenderedPageBreak/>
        <w:t xml:space="preserve">ІІ – групи індикаторів підприємницької діяльності. Містить п’ять </w:t>
      </w:r>
      <w:r>
        <w:rPr>
          <w:rFonts w:ascii="Times New Roman" w:eastAsia="Times New Roman" w:hAnsi="Times New Roman"/>
          <w:bCs/>
          <w:color w:val="000000"/>
          <w:spacing w:val="-1"/>
          <w:sz w:val="26"/>
          <w:szCs w:val="26"/>
          <w:lang w:val="uk-UA" w:eastAsia="ru-RU"/>
        </w:rPr>
        <w:t xml:space="preserve">індикаторів: </w:t>
      </w:r>
    </w:p>
    <w:p w14:paraId="47605BE4" w14:textId="77777777" w:rsidR="001125D0" w:rsidRDefault="001125D0" w:rsidP="001125D0">
      <w:pPr>
        <w:numPr>
          <w:ilvl w:val="0"/>
          <w:numId w:val="9"/>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виробничі можливості, </w:t>
      </w:r>
    </w:p>
    <w:p w14:paraId="56B20548" w14:textId="77777777" w:rsidR="001125D0" w:rsidRDefault="001125D0" w:rsidP="001125D0">
      <w:pPr>
        <w:numPr>
          <w:ilvl w:val="0"/>
          <w:numId w:val="9"/>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міжнародне торгівельне співробітництво, </w:t>
      </w:r>
    </w:p>
    <w:p w14:paraId="068171A1" w14:textId="77777777" w:rsidR="001125D0" w:rsidRDefault="001125D0" w:rsidP="001125D0">
      <w:pPr>
        <w:numPr>
          <w:ilvl w:val="0"/>
          <w:numId w:val="9"/>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малий бізнес, </w:t>
      </w:r>
    </w:p>
    <w:p w14:paraId="2EF0D221" w14:textId="77777777" w:rsidR="001125D0" w:rsidRDefault="001125D0" w:rsidP="001125D0">
      <w:pPr>
        <w:numPr>
          <w:ilvl w:val="0"/>
          <w:numId w:val="9"/>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споживчий ринок, </w:t>
      </w:r>
    </w:p>
    <w:p w14:paraId="67BA0F02" w14:textId="77777777" w:rsidR="001125D0" w:rsidRDefault="001125D0" w:rsidP="001125D0">
      <w:pPr>
        <w:numPr>
          <w:ilvl w:val="0"/>
          <w:numId w:val="9"/>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заборгованість. </w:t>
      </w:r>
    </w:p>
    <w:p w14:paraId="67DEA374" w14:textId="77777777" w:rsidR="001125D0" w:rsidRDefault="001125D0" w:rsidP="001125D0">
      <w:pPr>
        <w:numPr>
          <w:ilvl w:val="0"/>
          <w:numId w:val="10"/>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bCs/>
          <w:color w:val="000000"/>
          <w:spacing w:val="-1"/>
          <w:sz w:val="26"/>
          <w:szCs w:val="26"/>
          <w:lang w:val="uk-UA" w:eastAsia="ru-RU"/>
        </w:rPr>
        <w:t>Індексу інноваційно-кадрового потенціалу</w:t>
      </w:r>
      <w:r>
        <w:rPr>
          <w:rFonts w:ascii="Times New Roman" w:eastAsia="Times New Roman" w:hAnsi="Times New Roman"/>
          <w:color w:val="000000"/>
          <w:spacing w:val="-1"/>
          <w:sz w:val="26"/>
          <w:szCs w:val="26"/>
          <w:lang w:val="uk-UA" w:eastAsia="ru-RU"/>
        </w:rPr>
        <w:t xml:space="preserve">, який формується з таких двох груп (категорій економічної політики) індикаторів: </w:t>
      </w:r>
    </w:p>
    <w:p w14:paraId="63319046"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ІІІ – групи індикаторів ринку праці, у яку входять три </w:t>
      </w:r>
      <w:r>
        <w:rPr>
          <w:rFonts w:ascii="Times New Roman" w:eastAsia="Times New Roman" w:hAnsi="Times New Roman"/>
          <w:bCs/>
          <w:color w:val="000000"/>
          <w:spacing w:val="-1"/>
          <w:sz w:val="26"/>
          <w:szCs w:val="26"/>
          <w:lang w:val="uk-UA" w:eastAsia="ru-RU"/>
        </w:rPr>
        <w:t xml:space="preserve">індикатори: </w:t>
      </w:r>
    </w:p>
    <w:p w14:paraId="7F78C649" w14:textId="77777777" w:rsidR="001125D0" w:rsidRDefault="001125D0" w:rsidP="001125D0">
      <w:pPr>
        <w:numPr>
          <w:ilvl w:val="0"/>
          <w:numId w:val="11"/>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ефективність ринку праці, </w:t>
      </w:r>
    </w:p>
    <w:p w14:paraId="575BDE32" w14:textId="77777777" w:rsidR="001125D0" w:rsidRDefault="001125D0" w:rsidP="001125D0">
      <w:pPr>
        <w:numPr>
          <w:ilvl w:val="0"/>
          <w:numId w:val="11"/>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можливості ринку праці, </w:t>
      </w:r>
    </w:p>
    <w:p w14:paraId="7A6811C8" w14:textId="77777777" w:rsidR="001125D0" w:rsidRDefault="001125D0" w:rsidP="001125D0">
      <w:pPr>
        <w:numPr>
          <w:ilvl w:val="0"/>
          <w:numId w:val="11"/>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доходно-витратний баланс. </w:t>
      </w:r>
    </w:p>
    <w:p w14:paraId="057F1BE6"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І</w:t>
      </w:r>
      <w:r>
        <w:rPr>
          <w:rFonts w:ascii="Times New Roman" w:eastAsia="Times New Roman" w:hAnsi="Times New Roman"/>
          <w:color w:val="000000"/>
          <w:spacing w:val="-1"/>
          <w:sz w:val="26"/>
          <w:szCs w:val="26"/>
          <w:lang w:val="en-US" w:eastAsia="ru-RU"/>
        </w:rPr>
        <w:t>V</w:t>
      </w:r>
      <w:r>
        <w:rPr>
          <w:rFonts w:ascii="Times New Roman" w:eastAsia="Times New Roman" w:hAnsi="Times New Roman"/>
          <w:color w:val="000000"/>
          <w:spacing w:val="-1"/>
          <w:sz w:val="26"/>
          <w:szCs w:val="26"/>
          <w:lang w:eastAsia="ru-RU"/>
        </w:rPr>
        <w:t xml:space="preserve"> – </w:t>
      </w:r>
      <w:r>
        <w:rPr>
          <w:rFonts w:ascii="Times New Roman" w:eastAsia="Times New Roman" w:hAnsi="Times New Roman"/>
          <w:color w:val="000000"/>
          <w:spacing w:val="-1"/>
          <w:sz w:val="26"/>
          <w:szCs w:val="26"/>
          <w:lang w:val="uk-UA" w:eastAsia="ru-RU"/>
        </w:rPr>
        <w:t xml:space="preserve">групи індикаторів інноваційно-інвестиційних можливостей. Четверта група формується з трьох </w:t>
      </w:r>
      <w:r>
        <w:rPr>
          <w:rFonts w:ascii="Times New Roman" w:eastAsia="Times New Roman" w:hAnsi="Times New Roman"/>
          <w:bCs/>
          <w:color w:val="000000"/>
          <w:spacing w:val="-1"/>
          <w:sz w:val="26"/>
          <w:szCs w:val="26"/>
          <w:lang w:val="uk-UA" w:eastAsia="ru-RU"/>
        </w:rPr>
        <w:t xml:space="preserve">індикаторів: </w:t>
      </w:r>
    </w:p>
    <w:p w14:paraId="785DEBF1" w14:textId="77777777" w:rsidR="001125D0" w:rsidRDefault="001125D0" w:rsidP="001125D0">
      <w:pPr>
        <w:numPr>
          <w:ilvl w:val="0"/>
          <w:numId w:val="12"/>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наукова діяльність, </w:t>
      </w:r>
    </w:p>
    <w:p w14:paraId="46316EE4" w14:textId="77777777" w:rsidR="001125D0" w:rsidRDefault="001125D0" w:rsidP="001125D0">
      <w:pPr>
        <w:numPr>
          <w:ilvl w:val="0"/>
          <w:numId w:val="12"/>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рівень інноваційності, </w:t>
      </w:r>
    </w:p>
    <w:p w14:paraId="717801DC" w14:textId="77777777" w:rsidR="001125D0" w:rsidRDefault="001125D0" w:rsidP="001125D0">
      <w:pPr>
        <w:numPr>
          <w:ilvl w:val="0"/>
          <w:numId w:val="12"/>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інвестиційні можливості. </w:t>
      </w:r>
    </w:p>
    <w:p w14:paraId="23EC3761" w14:textId="77777777" w:rsidR="001125D0" w:rsidRDefault="001125D0" w:rsidP="001125D0">
      <w:pPr>
        <w:spacing w:after="0" w:line="240" w:lineRule="auto"/>
        <w:ind w:firstLine="709"/>
        <w:jc w:val="both"/>
        <w:rPr>
          <w:rFonts w:ascii="Times New Roman" w:hAnsi="Times New Roman"/>
          <w:color w:val="000000"/>
          <w:spacing w:val="-1"/>
          <w:sz w:val="26"/>
          <w:szCs w:val="26"/>
        </w:rPr>
      </w:pPr>
      <w:r>
        <w:rPr>
          <w:rFonts w:ascii="Times New Roman" w:eastAsia="Times New Roman" w:hAnsi="Times New Roman"/>
          <w:b/>
          <w:color w:val="000000"/>
          <w:spacing w:val="-1"/>
          <w:sz w:val="26"/>
          <w:szCs w:val="26"/>
          <w:lang w:val="uk-UA" w:eastAsia="ru-RU"/>
        </w:rPr>
        <w:t>Індекс екологічного виміру (</w:t>
      </w:r>
      <w:r>
        <w:rPr>
          <w:rFonts w:ascii="Times New Roman" w:eastAsia="Times New Roman" w:hAnsi="Times New Roman"/>
          <w:b/>
          <w:color w:val="000000"/>
          <w:spacing w:val="-1"/>
          <w:sz w:val="26"/>
          <w:szCs w:val="26"/>
          <w:lang w:val="en-US" w:eastAsia="ru-RU"/>
        </w:rPr>
        <w:t>I</w:t>
      </w:r>
      <w:r w:rsidRPr="00265DE2">
        <w:rPr>
          <w:rFonts w:ascii="Times New Roman" w:eastAsia="Times New Roman" w:hAnsi="Times New Roman"/>
          <w:b/>
          <w:color w:val="000000"/>
          <w:spacing w:val="-1"/>
          <w:sz w:val="26"/>
          <w:szCs w:val="26"/>
          <w:lang w:eastAsia="ru-RU"/>
        </w:rPr>
        <w:t xml:space="preserve"> </w:t>
      </w:r>
      <w:r>
        <w:rPr>
          <w:rFonts w:ascii="Times New Roman" w:eastAsia="Times New Roman" w:hAnsi="Times New Roman"/>
          <w:b/>
          <w:color w:val="000000"/>
          <w:spacing w:val="-1"/>
          <w:sz w:val="26"/>
          <w:szCs w:val="26"/>
          <w:lang w:val="en-US" w:eastAsia="ru-RU"/>
        </w:rPr>
        <w:t>e</w:t>
      </w:r>
      <w:r>
        <w:rPr>
          <w:rFonts w:ascii="Times New Roman" w:eastAsia="Times New Roman" w:hAnsi="Times New Roman"/>
          <w:b/>
          <w:color w:val="000000"/>
          <w:spacing w:val="-1"/>
          <w:sz w:val="26"/>
          <w:szCs w:val="26"/>
          <w:lang w:eastAsia="ru-RU"/>
        </w:rPr>
        <w:t xml:space="preserve"> )</w:t>
      </w:r>
      <w:r>
        <w:rPr>
          <w:rFonts w:ascii="Times New Roman" w:eastAsia="+mn-ea" w:hAnsi="Times New Roman"/>
          <w:b/>
          <w:color w:val="000000"/>
          <w:kern w:val="24"/>
          <w:sz w:val="26"/>
          <w:szCs w:val="26"/>
          <w:lang w:val="uk-UA" w:eastAsia="ru-RU"/>
        </w:rPr>
        <w:t xml:space="preserve"> </w:t>
      </w:r>
      <w:r>
        <w:rPr>
          <w:rFonts w:ascii="Times New Roman" w:eastAsia="Times New Roman" w:hAnsi="Times New Roman"/>
          <w:color w:val="000000"/>
          <w:spacing w:val="-1"/>
          <w:sz w:val="26"/>
          <w:szCs w:val="26"/>
          <w:lang w:val="uk-UA"/>
        </w:rPr>
        <w:t xml:space="preserve">визначається за допомогою </w:t>
      </w:r>
      <w:r>
        <w:rPr>
          <w:rFonts w:ascii="Times New Roman" w:eastAsia="Times New Roman" w:hAnsi="Times New Roman"/>
          <w:bCs/>
          <w:color w:val="000000"/>
          <w:spacing w:val="-1"/>
          <w:sz w:val="26"/>
          <w:szCs w:val="26"/>
          <w:u w:val="single"/>
          <w:lang w:val="uk-UA"/>
        </w:rPr>
        <w:t xml:space="preserve">трьох категорій </w:t>
      </w:r>
      <w:r>
        <w:rPr>
          <w:rFonts w:ascii="Times New Roman" w:eastAsia="Times New Roman" w:hAnsi="Times New Roman"/>
          <w:color w:val="000000"/>
          <w:spacing w:val="-1"/>
          <w:sz w:val="26"/>
          <w:szCs w:val="26"/>
          <w:lang w:val="uk-UA"/>
        </w:rPr>
        <w:t xml:space="preserve">екологічної політики: </w:t>
      </w:r>
    </w:p>
    <w:p w14:paraId="381551CA"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 – «Екологічні системи», до якої входять такі </w:t>
      </w:r>
      <w:r>
        <w:rPr>
          <w:rFonts w:ascii="Times New Roman" w:eastAsia="Times New Roman" w:hAnsi="Times New Roman"/>
          <w:bCs/>
          <w:color w:val="000000"/>
          <w:spacing w:val="-1"/>
          <w:sz w:val="26"/>
          <w:szCs w:val="26"/>
          <w:lang w:val="uk-UA" w:eastAsia="ru-RU"/>
        </w:rPr>
        <w:t>індикатори</w:t>
      </w:r>
      <w:r>
        <w:rPr>
          <w:rFonts w:ascii="Times New Roman" w:eastAsia="Times New Roman" w:hAnsi="Times New Roman"/>
          <w:color w:val="000000"/>
          <w:spacing w:val="-1"/>
          <w:sz w:val="26"/>
          <w:szCs w:val="26"/>
          <w:lang w:val="uk-UA" w:eastAsia="ru-RU"/>
        </w:rPr>
        <w:t xml:space="preserve"> як: </w:t>
      </w:r>
    </w:p>
    <w:p w14:paraId="24EF8C26" w14:textId="77777777" w:rsidR="001125D0" w:rsidRDefault="001125D0" w:rsidP="001125D0">
      <w:pPr>
        <w:numPr>
          <w:ilvl w:val="0"/>
          <w:numId w:val="13"/>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повітря, </w:t>
      </w:r>
    </w:p>
    <w:p w14:paraId="14E05883" w14:textId="77777777" w:rsidR="001125D0" w:rsidRDefault="001125D0" w:rsidP="001125D0">
      <w:pPr>
        <w:numPr>
          <w:ilvl w:val="0"/>
          <w:numId w:val="13"/>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біорізноманіття, </w:t>
      </w:r>
    </w:p>
    <w:p w14:paraId="7DB050BC" w14:textId="77777777" w:rsidR="001125D0" w:rsidRDefault="001125D0" w:rsidP="001125D0">
      <w:pPr>
        <w:numPr>
          <w:ilvl w:val="0"/>
          <w:numId w:val="13"/>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земля, </w:t>
      </w:r>
    </w:p>
    <w:p w14:paraId="70163082" w14:textId="77777777" w:rsidR="001125D0" w:rsidRDefault="001125D0" w:rsidP="001125D0">
      <w:pPr>
        <w:numPr>
          <w:ilvl w:val="0"/>
          <w:numId w:val="13"/>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якість води, </w:t>
      </w:r>
    </w:p>
    <w:p w14:paraId="1E4FE0F1" w14:textId="77777777" w:rsidR="001125D0" w:rsidRDefault="001125D0" w:rsidP="001125D0">
      <w:pPr>
        <w:numPr>
          <w:ilvl w:val="0"/>
          <w:numId w:val="13"/>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кількість води, </w:t>
      </w:r>
    </w:p>
    <w:p w14:paraId="79753ECF" w14:textId="77777777" w:rsidR="001125D0" w:rsidRDefault="001125D0" w:rsidP="001125D0">
      <w:pPr>
        <w:numPr>
          <w:ilvl w:val="0"/>
          <w:numId w:val="13"/>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радіаційна та екологічна небезпека; </w:t>
      </w:r>
    </w:p>
    <w:p w14:paraId="21F7936C"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ІІ – «Екологічне навантаження», яка містить </w:t>
      </w:r>
      <w:r>
        <w:rPr>
          <w:rFonts w:ascii="Times New Roman" w:eastAsia="Times New Roman" w:hAnsi="Times New Roman"/>
          <w:bCs/>
          <w:color w:val="000000"/>
          <w:spacing w:val="-1"/>
          <w:sz w:val="26"/>
          <w:szCs w:val="26"/>
          <w:lang w:val="uk-UA" w:eastAsia="ru-RU"/>
        </w:rPr>
        <w:t>індикатори:</w:t>
      </w:r>
    </w:p>
    <w:p w14:paraId="31DF5267" w14:textId="77777777" w:rsidR="001125D0" w:rsidRDefault="001125D0" w:rsidP="001125D0">
      <w:pPr>
        <w:numPr>
          <w:ilvl w:val="0"/>
          <w:numId w:val="14"/>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викидів в атмосферне повітря, </w:t>
      </w:r>
    </w:p>
    <w:p w14:paraId="5F690DC9" w14:textId="77777777" w:rsidR="001125D0" w:rsidRDefault="001125D0" w:rsidP="001125D0">
      <w:pPr>
        <w:numPr>
          <w:ilvl w:val="0"/>
          <w:numId w:val="14"/>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навантаження на екосистеми, </w:t>
      </w:r>
    </w:p>
    <w:p w14:paraId="5C42C616" w14:textId="77777777" w:rsidR="001125D0" w:rsidRDefault="001125D0" w:rsidP="001125D0">
      <w:pPr>
        <w:numPr>
          <w:ilvl w:val="0"/>
          <w:numId w:val="14"/>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утворення і використання відходів, </w:t>
      </w:r>
    </w:p>
    <w:p w14:paraId="08B633AE" w14:textId="77777777" w:rsidR="001125D0" w:rsidRDefault="001125D0" w:rsidP="001125D0">
      <w:pPr>
        <w:numPr>
          <w:ilvl w:val="0"/>
          <w:numId w:val="14"/>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водного навантаження; </w:t>
      </w:r>
    </w:p>
    <w:p w14:paraId="50E94D16"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ІІІ – «Регіональне екологічне керування», охоплює </w:t>
      </w:r>
      <w:r>
        <w:rPr>
          <w:rFonts w:ascii="Times New Roman" w:eastAsia="Times New Roman" w:hAnsi="Times New Roman"/>
          <w:bCs/>
          <w:color w:val="000000"/>
          <w:spacing w:val="-1"/>
          <w:sz w:val="26"/>
          <w:szCs w:val="26"/>
          <w:lang w:val="uk-UA" w:eastAsia="ru-RU"/>
        </w:rPr>
        <w:t>індикатори:</w:t>
      </w:r>
    </w:p>
    <w:p w14:paraId="213F2BA5" w14:textId="77777777" w:rsidR="001125D0" w:rsidRDefault="001125D0" w:rsidP="001125D0">
      <w:pPr>
        <w:numPr>
          <w:ilvl w:val="0"/>
          <w:numId w:val="15"/>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участі в екологічних проектах, </w:t>
      </w:r>
    </w:p>
    <w:p w14:paraId="0F7A2CF0" w14:textId="77777777" w:rsidR="001125D0" w:rsidRDefault="001125D0" w:rsidP="001125D0">
      <w:pPr>
        <w:numPr>
          <w:ilvl w:val="0"/>
          <w:numId w:val="15"/>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викидів парникових газів, </w:t>
      </w:r>
    </w:p>
    <w:p w14:paraId="5D1ABE6A" w14:textId="77777777" w:rsidR="001125D0" w:rsidRDefault="001125D0" w:rsidP="001125D0">
      <w:pPr>
        <w:numPr>
          <w:ilvl w:val="0"/>
          <w:numId w:val="15"/>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трансграничного екологічного тиску. </w:t>
      </w:r>
    </w:p>
    <w:p w14:paraId="6607D06E" w14:textId="77777777" w:rsidR="001125D0" w:rsidRDefault="001125D0" w:rsidP="001125D0">
      <w:pPr>
        <w:spacing w:after="0" w:line="240" w:lineRule="auto"/>
        <w:ind w:firstLine="709"/>
        <w:jc w:val="both"/>
        <w:rPr>
          <w:rFonts w:ascii="Times New Roman" w:hAnsi="Times New Roman"/>
          <w:color w:val="000000"/>
          <w:spacing w:val="-1"/>
          <w:sz w:val="26"/>
          <w:szCs w:val="26"/>
        </w:rPr>
      </w:pPr>
      <w:r>
        <w:rPr>
          <w:rFonts w:ascii="Times New Roman" w:eastAsia="Times New Roman" w:hAnsi="Times New Roman"/>
          <w:b/>
          <w:color w:val="000000"/>
          <w:spacing w:val="-1"/>
          <w:sz w:val="26"/>
          <w:szCs w:val="26"/>
          <w:lang w:val="uk-UA" w:eastAsia="ru-RU"/>
        </w:rPr>
        <w:t>Індекс соціального виміру (</w:t>
      </w:r>
      <w:r>
        <w:rPr>
          <w:rFonts w:ascii="Times New Roman" w:eastAsia="Times New Roman" w:hAnsi="Times New Roman"/>
          <w:b/>
          <w:color w:val="000000"/>
          <w:spacing w:val="-1"/>
          <w:sz w:val="26"/>
          <w:szCs w:val="26"/>
          <w:lang w:val="en-US" w:eastAsia="ru-RU"/>
        </w:rPr>
        <w:t>I</w:t>
      </w:r>
      <w:r w:rsidRPr="00265DE2">
        <w:rPr>
          <w:rFonts w:ascii="Times New Roman" w:eastAsia="Times New Roman" w:hAnsi="Times New Roman"/>
          <w:b/>
          <w:color w:val="000000"/>
          <w:spacing w:val="-1"/>
          <w:sz w:val="26"/>
          <w:szCs w:val="26"/>
          <w:lang w:eastAsia="ru-RU"/>
        </w:rPr>
        <w:t xml:space="preserve"> </w:t>
      </w:r>
      <w:r>
        <w:rPr>
          <w:rFonts w:ascii="Times New Roman" w:eastAsia="Times New Roman" w:hAnsi="Times New Roman"/>
          <w:b/>
          <w:color w:val="000000"/>
          <w:spacing w:val="-1"/>
          <w:sz w:val="26"/>
          <w:szCs w:val="26"/>
          <w:lang w:val="en-US" w:eastAsia="ru-RU"/>
        </w:rPr>
        <w:t>s</w:t>
      </w:r>
      <w:r>
        <w:rPr>
          <w:rFonts w:ascii="Times New Roman" w:eastAsia="Times New Roman" w:hAnsi="Times New Roman"/>
          <w:b/>
          <w:color w:val="000000"/>
          <w:spacing w:val="-1"/>
          <w:sz w:val="26"/>
          <w:szCs w:val="26"/>
          <w:lang w:eastAsia="ru-RU"/>
        </w:rPr>
        <w:t xml:space="preserve"> )</w:t>
      </w:r>
      <w:r>
        <w:rPr>
          <w:rFonts w:ascii="Times New Roman" w:eastAsia="+mn-ea" w:hAnsi="Times New Roman"/>
          <w:color w:val="000000"/>
          <w:kern w:val="24"/>
          <w:sz w:val="26"/>
          <w:szCs w:val="26"/>
          <w:lang w:val="uk-UA" w:eastAsia="ru-RU"/>
        </w:rPr>
        <w:t xml:space="preserve"> </w:t>
      </w:r>
      <w:r>
        <w:rPr>
          <w:rFonts w:ascii="Times New Roman" w:eastAsia="Times New Roman" w:hAnsi="Times New Roman"/>
          <w:color w:val="000000"/>
          <w:spacing w:val="-1"/>
          <w:sz w:val="26"/>
          <w:szCs w:val="26"/>
          <w:lang w:val="uk-UA"/>
        </w:rPr>
        <w:t xml:space="preserve">сформовано з чотирьох категорій соціальної політики: </w:t>
      </w:r>
    </w:p>
    <w:p w14:paraId="54D409B1"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 – «Суспільство, засноване на знаннях»; в цю категорію політики входять три </w:t>
      </w:r>
      <w:r>
        <w:rPr>
          <w:rFonts w:ascii="Times New Roman" w:eastAsia="Times New Roman" w:hAnsi="Times New Roman"/>
          <w:bCs/>
          <w:color w:val="000000"/>
          <w:spacing w:val="-1"/>
          <w:sz w:val="26"/>
          <w:szCs w:val="26"/>
          <w:lang w:val="uk-UA" w:eastAsia="ru-RU"/>
        </w:rPr>
        <w:t>індикатори:</w:t>
      </w:r>
      <w:r>
        <w:rPr>
          <w:rFonts w:ascii="Times New Roman" w:eastAsia="Times New Roman" w:hAnsi="Times New Roman"/>
          <w:color w:val="000000"/>
          <w:spacing w:val="-1"/>
          <w:sz w:val="26"/>
          <w:szCs w:val="26"/>
          <w:lang w:val="uk-UA" w:eastAsia="ru-RU"/>
        </w:rPr>
        <w:t xml:space="preserve"> </w:t>
      </w:r>
    </w:p>
    <w:p w14:paraId="65849D32" w14:textId="77777777" w:rsidR="001125D0" w:rsidRDefault="001125D0" w:rsidP="001125D0">
      <w:pPr>
        <w:numPr>
          <w:ilvl w:val="0"/>
          <w:numId w:val="16"/>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індикатор інтелектуальних активів суспільства, </w:t>
      </w:r>
    </w:p>
    <w:p w14:paraId="2B8F7576" w14:textId="77777777" w:rsidR="001125D0" w:rsidRDefault="001125D0" w:rsidP="001125D0">
      <w:pPr>
        <w:numPr>
          <w:ilvl w:val="0"/>
          <w:numId w:val="16"/>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індикатор перспективності розвитку суспільства, </w:t>
      </w:r>
    </w:p>
    <w:p w14:paraId="3999F1BB" w14:textId="77777777" w:rsidR="001125D0" w:rsidRDefault="001125D0" w:rsidP="001125D0">
      <w:pPr>
        <w:numPr>
          <w:ilvl w:val="0"/>
          <w:numId w:val="16"/>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індикатор якості розвитку суспільства. </w:t>
      </w:r>
    </w:p>
    <w:p w14:paraId="61DB5FCF"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ІІ – «Розвиток людського потенціалу»; містить такі </w:t>
      </w:r>
      <w:r>
        <w:rPr>
          <w:rFonts w:ascii="Times New Roman" w:eastAsia="Times New Roman" w:hAnsi="Times New Roman"/>
          <w:bCs/>
          <w:color w:val="000000"/>
          <w:spacing w:val="-1"/>
          <w:sz w:val="26"/>
          <w:szCs w:val="26"/>
          <w:lang w:val="uk-UA" w:eastAsia="ru-RU"/>
        </w:rPr>
        <w:t>індикатори:</w:t>
      </w:r>
    </w:p>
    <w:p w14:paraId="37F76FFA" w14:textId="77777777" w:rsidR="001125D0" w:rsidRDefault="001125D0" w:rsidP="001125D0">
      <w:pPr>
        <w:numPr>
          <w:ilvl w:val="0"/>
          <w:numId w:val="17"/>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індикатор розвитку здоров’я та фізичного виховання, </w:t>
      </w:r>
    </w:p>
    <w:p w14:paraId="2A8F9340" w14:textId="77777777" w:rsidR="001125D0" w:rsidRDefault="001125D0" w:rsidP="001125D0">
      <w:pPr>
        <w:numPr>
          <w:ilvl w:val="0"/>
          <w:numId w:val="17"/>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індикатор рівня освіти, </w:t>
      </w:r>
    </w:p>
    <w:p w14:paraId="6110D863" w14:textId="77777777" w:rsidR="001125D0" w:rsidRDefault="001125D0" w:rsidP="001125D0">
      <w:pPr>
        <w:numPr>
          <w:ilvl w:val="0"/>
          <w:numId w:val="17"/>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індикатор демографічного розвитку, </w:t>
      </w:r>
    </w:p>
    <w:p w14:paraId="5E4A3B82" w14:textId="77777777" w:rsidR="001125D0" w:rsidRDefault="001125D0" w:rsidP="001125D0">
      <w:pPr>
        <w:numPr>
          <w:ilvl w:val="0"/>
          <w:numId w:val="17"/>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індикатор ринку праці, </w:t>
      </w:r>
    </w:p>
    <w:p w14:paraId="60D9D97E" w14:textId="77777777" w:rsidR="001125D0" w:rsidRDefault="001125D0" w:rsidP="001125D0">
      <w:pPr>
        <w:numPr>
          <w:ilvl w:val="0"/>
          <w:numId w:val="17"/>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індикатор економічної складової людського розвитку. </w:t>
      </w:r>
    </w:p>
    <w:p w14:paraId="2079ACDD"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lastRenderedPageBreak/>
        <w:t>ІІІ – «Інституціональний розвиток», охоплює наступні індикатори:</w:t>
      </w:r>
    </w:p>
    <w:p w14:paraId="76E957F3" w14:textId="77777777" w:rsidR="001125D0" w:rsidRDefault="001125D0" w:rsidP="001125D0">
      <w:pPr>
        <w:numPr>
          <w:ilvl w:val="0"/>
          <w:numId w:val="18"/>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індикатор політичної свідомості, </w:t>
      </w:r>
    </w:p>
    <w:p w14:paraId="70DFF1EC" w14:textId="77777777" w:rsidR="001125D0" w:rsidRDefault="001125D0" w:rsidP="001125D0">
      <w:pPr>
        <w:numPr>
          <w:ilvl w:val="0"/>
          <w:numId w:val="18"/>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індикатор впливу релігійних інституцій, </w:t>
      </w:r>
    </w:p>
    <w:p w14:paraId="5A50D342" w14:textId="77777777" w:rsidR="001125D0" w:rsidRDefault="001125D0" w:rsidP="001125D0">
      <w:pPr>
        <w:numPr>
          <w:ilvl w:val="0"/>
          <w:numId w:val="18"/>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індикатор ефективності державної влади.</w:t>
      </w:r>
    </w:p>
    <w:p w14:paraId="69C573CD" w14:textId="77777777" w:rsidR="001125D0" w:rsidRDefault="001125D0" w:rsidP="001125D0">
      <w:pPr>
        <w:spacing w:after="0" w:line="240" w:lineRule="auto"/>
        <w:ind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en-US" w:eastAsia="ru-RU"/>
        </w:rPr>
        <w:t>VI</w:t>
      </w:r>
      <w:r>
        <w:rPr>
          <w:rFonts w:ascii="Times New Roman" w:eastAsia="Times New Roman" w:hAnsi="Times New Roman"/>
          <w:color w:val="000000"/>
          <w:spacing w:val="-1"/>
          <w:sz w:val="26"/>
          <w:szCs w:val="26"/>
          <w:lang w:eastAsia="ru-RU"/>
        </w:rPr>
        <w:t xml:space="preserve"> – «</w:t>
      </w:r>
      <w:r>
        <w:rPr>
          <w:rFonts w:ascii="Times New Roman" w:eastAsia="Times New Roman" w:hAnsi="Times New Roman"/>
          <w:color w:val="000000"/>
          <w:spacing w:val="-1"/>
          <w:sz w:val="26"/>
          <w:szCs w:val="26"/>
          <w:lang w:val="uk-UA" w:eastAsia="ru-RU"/>
        </w:rPr>
        <w:t>Якість життя». сформована з індикаторів:</w:t>
      </w:r>
    </w:p>
    <w:p w14:paraId="56F85DBB" w14:textId="77777777" w:rsidR="001125D0" w:rsidRDefault="001125D0" w:rsidP="001125D0">
      <w:pPr>
        <w:numPr>
          <w:ilvl w:val="0"/>
          <w:numId w:val="19"/>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відпочинку і культури людей, </w:t>
      </w:r>
    </w:p>
    <w:p w14:paraId="1130BC1B" w14:textId="77777777" w:rsidR="001125D0" w:rsidRDefault="001125D0" w:rsidP="001125D0">
      <w:pPr>
        <w:numPr>
          <w:ilvl w:val="0"/>
          <w:numId w:val="19"/>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стану навколишнього середовища, </w:t>
      </w:r>
    </w:p>
    <w:p w14:paraId="15AD243D" w14:textId="77777777" w:rsidR="001125D0" w:rsidRDefault="001125D0" w:rsidP="001125D0">
      <w:pPr>
        <w:numPr>
          <w:ilvl w:val="0"/>
          <w:numId w:val="19"/>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свободи людей, </w:t>
      </w:r>
    </w:p>
    <w:p w14:paraId="2E53F621" w14:textId="77777777" w:rsidR="001125D0" w:rsidRDefault="001125D0" w:rsidP="001125D0">
      <w:pPr>
        <w:numPr>
          <w:ilvl w:val="0"/>
          <w:numId w:val="19"/>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здоров'я людей, </w:t>
      </w:r>
    </w:p>
    <w:p w14:paraId="66160BC7" w14:textId="77777777" w:rsidR="001125D0" w:rsidRDefault="001125D0" w:rsidP="001125D0">
      <w:pPr>
        <w:numPr>
          <w:ilvl w:val="0"/>
          <w:numId w:val="19"/>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стану інфраструктури, </w:t>
      </w:r>
    </w:p>
    <w:p w14:paraId="76CECF8B" w14:textId="77777777" w:rsidR="001125D0" w:rsidRDefault="001125D0" w:rsidP="001125D0">
      <w:pPr>
        <w:numPr>
          <w:ilvl w:val="0"/>
          <w:numId w:val="19"/>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ризиків, </w:t>
      </w:r>
    </w:p>
    <w:p w14:paraId="76FD0A2B" w14:textId="77777777" w:rsidR="001125D0" w:rsidRDefault="001125D0" w:rsidP="001125D0">
      <w:pPr>
        <w:numPr>
          <w:ilvl w:val="0"/>
          <w:numId w:val="19"/>
        </w:numPr>
        <w:spacing w:after="0" w:line="240" w:lineRule="auto"/>
        <w:ind w:left="0" w:firstLine="709"/>
        <w:jc w:val="both"/>
        <w:rPr>
          <w:rFonts w:ascii="Times New Roman" w:eastAsia="Times New Roman" w:hAnsi="Times New Roman"/>
          <w:color w:val="000000"/>
          <w:spacing w:val="-1"/>
          <w:sz w:val="26"/>
          <w:szCs w:val="26"/>
          <w:lang w:eastAsia="ru-RU"/>
        </w:rPr>
      </w:pPr>
      <w:r>
        <w:rPr>
          <w:rFonts w:ascii="Times New Roman" w:eastAsia="Times New Roman" w:hAnsi="Times New Roman"/>
          <w:color w:val="000000"/>
          <w:spacing w:val="-1"/>
          <w:sz w:val="26"/>
          <w:szCs w:val="26"/>
          <w:lang w:val="uk-UA" w:eastAsia="ru-RU"/>
        </w:rPr>
        <w:t xml:space="preserve">безпеки життя. </w:t>
      </w:r>
    </w:p>
    <w:p w14:paraId="647C0B6E" w14:textId="77777777" w:rsidR="001125D0" w:rsidRDefault="001125D0" w:rsidP="001125D0">
      <w:pPr>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Дана система включає суттєвий набір індикаторів, але недоліком такої ситеми є ігнорування розробки еколого-економічних показників розвитку економіки країни. </w:t>
      </w:r>
    </w:p>
    <w:p w14:paraId="05CF65E3"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 xml:space="preserve"> Так, наприклад, у Німеччині система оцінки сталості розвитку є невід’ємною частиною програми реалізації національної стратегії сталого розвитку та поєднана в єдине ціле з правилами управління та цілями стратегії. </w:t>
      </w:r>
      <w:r>
        <w:rPr>
          <w:rFonts w:ascii="Times New Roman" w:eastAsia="+mj-ea" w:hAnsi="Times New Roman"/>
          <w:kern w:val="24"/>
          <w:sz w:val="26"/>
          <w:szCs w:val="26"/>
        </w:rPr>
        <w:t xml:space="preserve">Кожний постулат сталого розвитку характеризується одним чи декількома індикаторами, своєю чергою кожний індикатор відповідає одній конкретній цілі, визначеній чисельно. Загалом використовується 38 індикаторів сталого розвитку, об’єднані у 4 групи (рівноправність поколінь; якість життя; соціальна згуртова- ність; міжнародна відповідальність) та 21 підгрупу [14]. </w:t>
      </w:r>
    </w:p>
    <w:p w14:paraId="008470AA"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rPr>
        <w:t>У Стратегії сталого розвитку Великої Британії представлено систему оцінки сталості розвитку, яка базується на 68-ми індикаторах верхнього рівня. Рамкові індикатори (20) від- повідають пріоритетним напрямкам розвитку</w:t>
      </w:r>
      <w:r>
        <w:t xml:space="preserve"> </w:t>
      </w:r>
      <w:r>
        <w:rPr>
          <w:rFonts w:ascii="Times New Roman" w:eastAsia="+mj-ea" w:hAnsi="Times New Roman"/>
          <w:kern w:val="24"/>
          <w:sz w:val="26"/>
          <w:szCs w:val="26"/>
        </w:rPr>
        <w:t xml:space="preserve">для Великої Британії загалом. Додатковими є індикатори, що відображають завдання та цілі в окремих стратегіях розвитку Шотландії, Уельсу та Північної Ірландії. Не всі із зазна- чених індикаторів мають конкретні числові рамки. Щорічні оцінювання та звітування про прогрес у досягненні цільових показників за індикаторами сталого розвитку використову- ються для коригування політики [15]. </w:t>
      </w:r>
    </w:p>
    <w:p w14:paraId="73E2C9E6"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rPr>
        <w:t>Показовим є досвід пострадянських країн у розробці національних стратегій сталого розвитку та відповідних систем індикаторних оцінок. Система індикаторів сталого соціально- економічного розвитку Республіки Білорусь побудована за ієрархічним принципом та відповідає наступним характеристикам: порогове значення, нижче якого не можна опускатися, інакше відбудуться незворотні процеси і система може бути зруйнована; фактичне значення індикатора; ранг (вага) індикатора, що показує його вплив на інтегральний показник (зазвичай коефіцієнт, який встановлюється експертним шляхом, чи коефіцієнт взаємодії (еластичності) індикаторів інтегрального й того, що досліджується); державний орган управління чи неурядова організація, які відповідають за регулювання індикатора [16]. Основними показниками-індикаторами сталого соціально-економічного розвитку Республіки Білорусь є такі [17]. Загальносистемні показники сталого розвитку: Індекс людського розвитку (коеф.) та Рівень антропогенного тиску (т у.п./км</w:t>
      </w:r>
      <w:r>
        <w:rPr>
          <w:rFonts w:ascii="Times New Roman" w:eastAsia="+mj-ea" w:hAnsi="Times New Roman"/>
          <w:kern w:val="24"/>
          <w:sz w:val="26"/>
          <w:szCs w:val="26"/>
          <w:vertAlign w:val="superscript"/>
        </w:rPr>
        <w:t>2</w:t>
      </w:r>
      <w:r>
        <w:rPr>
          <w:rFonts w:ascii="Times New Roman" w:eastAsia="+mj-ea" w:hAnsi="Times New Roman"/>
          <w:kern w:val="24"/>
          <w:sz w:val="26"/>
          <w:szCs w:val="26"/>
        </w:rPr>
        <w:t xml:space="preserve"> ) – розраховується як частка від ділення обсягів споживання всіх видів енергоресурсів (у т у.п.) на 1 км</w:t>
      </w:r>
      <w:r>
        <w:rPr>
          <w:rFonts w:ascii="Times New Roman" w:eastAsia="+mj-ea" w:hAnsi="Times New Roman"/>
          <w:kern w:val="24"/>
          <w:sz w:val="26"/>
          <w:szCs w:val="26"/>
          <w:vertAlign w:val="superscript"/>
        </w:rPr>
        <w:t>2</w:t>
      </w:r>
      <w:r>
        <w:rPr>
          <w:rFonts w:ascii="Times New Roman" w:eastAsia="+mj-ea" w:hAnsi="Times New Roman"/>
          <w:kern w:val="24"/>
          <w:sz w:val="26"/>
          <w:szCs w:val="26"/>
        </w:rPr>
        <w:t xml:space="preserve"> території. Показники сталого розвитку (навколишнє середовище): запаси за видами корисних копалин (млн т): нафта, калійні солі, поварена сіль, цементна сировина (глинистий і карбо- натний компоненти); індекси утворення відходів виробництва (%); індекси використання відходів виробництва (%); індекси </w:t>
      </w:r>
      <w:r>
        <w:rPr>
          <w:rFonts w:ascii="Times New Roman" w:eastAsia="+mj-ea" w:hAnsi="Times New Roman"/>
          <w:kern w:val="24"/>
          <w:sz w:val="26"/>
          <w:szCs w:val="26"/>
        </w:rPr>
        <w:lastRenderedPageBreak/>
        <w:t>накопичен- ня відходів виробництва та споживання (%); частка рекультивованих земель у загальній площі порушених (%); розрахункова лісосіка за головним користуванням (тис. га); лісовідновлення по відношенню до площі вирубки (%); індекси викидів шкідливих речовин у по- вітря (%); індекси викидів стічних вод (%); витрати на подолання наслідків катастрофи на ЧАЕС (% ВВП). Основні індикатори є кількісно вимірюваними та порівнюваними у динаміці, забезпечують можливість порівняння аналогічних процесів з іншими країнами та, окрім цього, доповнюються й конкретизуються індикато-</w:t>
      </w:r>
      <w:r>
        <w:t xml:space="preserve"> </w:t>
      </w:r>
      <w:r>
        <w:rPr>
          <w:rFonts w:ascii="Times New Roman" w:eastAsia="+mj-ea" w:hAnsi="Times New Roman"/>
          <w:kern w:val="24"/>
          <w:sz w:val="26"/>
          <w:szCs w:val="26"/>
        </w:rPr>
        <w:t xml:space="preserve">рами, які характеризують розвиток основних компонентів системи сталого розвитку. </w:t>
      </w:r>
    </w:p>
    <w:p w14:paraId="5E6879D6"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rPr>
        <w:t>Серед регіонів Російської Федерації [18] найбільш прогресивна та комплексна система індикаторів сталого розвитку розроблена у Томській обл</w:t>
      </w:r>
      <w:r>
        <w:rPr>
          <w:rFonts w:ascii="Times New Roman" w:eastAsia="+mj-ea" w:hAnsi="Times New Roman"/>
          <w:kern w:val="24"/>
          <w:sz w:val="26"/>
          <w:szCs w:val="26"/>
          <w:lang w:val="uk-UA"/>
        </w:rPr>
        <w:t xml:space="preserve">асті. Індикатори узгоджені зі стратегічними цілями соціально-економічно- го розвитку та поділені за рівнями пріоритетності й регіональної специфіки. </w:t>
      </w:r>
      <w:r>
        <w:rPr>
          <w:rFonts w:ascii="Times New Roman" w:eastAsia="+mj-ea" w:hAnsi="Times New Roman"/>
          <w:kern w:val="24"/>
          <w:sz w:val="26"/>
          <w:szCs w:val="26"/>
        </w:rPr>
        <w:t>Всього використовується 38 індикаторів (економічних, соціальних та екологічних), включаючи 12 основних, 21 додаткових і 5 специфічних. Дана система індикаторів постійно оновлюється, здійснюється моніторинг головних показників та регулярно публікуються його результати. У Самарській обл</w:t>
      </w:r>
      <w:r>
        <w:rPr>
          <w:rFonts w:ascii="Times New Roman" w:eastAsia="+mj-ea" w:hAnsi="Times New Roman"/>
          <w:kern w:val="24"/>
          <w:sz w:val="26"/>
          <w:szCs w:val="26"/>
          <w:lang w:val="uk-UA"/>
        </w:rPr>
        <w:t>асті</w:t>
      </w:r>
      <w:r>
        <w:rPr>
          <w:rFonts w:ascii="Times New Roman" w:eastAsia="+mj-ea" w:hAnsi="Times New Roman"/>
          <w:kern w:val="24"/>
          <w:sz w:val="26"/>
          <w:szCs w:val="26"/>
        </w:rPr>
        <w:t xml:space="preserve"> було запропоновано 2 системи індикаторів сталого розвитку. Розширена система нараховує 14 основних індикаторів за екологічним, соціальним та еконо- мічним напрямками. Скорочена система інди- каторів базується насамперед на показниках природокористування та охорони довкілля (8 індикаторів), з них 6 – еколого-економічні, 1 – екологічний та 1 – соціально-екологічний показники. У Костромській обл</w:t>
      </w:r>
      <w:r>
        <w:rPr>
          <w:rFonts w:ascii="Times New Roman" w:eastAsia="+mj-ea" w:hAnsi="Times New Roman"/>
          <w:kern w:val="24"/>
          <w:sz w:val="26"/>
          <w:szCs w:val="26"/>
          <w:lang w:val="uk-UA"/>
        </w:rPr>
        <w:t>асті</w:t>
      </w:r>
      <w:r>
        <w:rPr>
          <w:rFonts w:ascii="Times New Roman" w:eastAsia="+mj-ea" w:hAnsi="Times New Roman"/>
          <w:kern w:val="24"/>
          <w:sz w:val="26"/>
          <w:szCs w:val="26"/>
        </w:rPr>
        <w:t xml:space="preserve"> для забезпечення екологічної стійкості було виділено 3 головні завдання: включити принципи сталого розви- тку до стратегій і програм і запобігати втратам природних ресурсів; забезпечити населення чистою питною водою; забезпечити якість житлових умов населення. Виокремлено 8 ін- дикаторів, з яких 2 – екологічні, 2 – економіч- ні та 4 – соціально-екологічні. У Кемеровській обл</w:t>
      </w:r>
      <w:r>
        <w:rPr>
          <w:rFonts w:ascii="Times New Roman" w:eastAsia="+mj-ea" w:hAnsi="Times New Roman"/>
          <w:kern w:val="24"/>
          <w:sz w:val="26"/>
          <w:szCs w:val="26"/>
          <w:lang w:val="uk-UA"/>
        </w:rPr>
        <w:t>асті</w:t>
      </w:r>
      <w:r>
        <w:rPr>
          <w:rFonts w:ascii="Times New Roman" w:eastAsia="+mj-ea" w:hAnsi="Times New Roman"/>
          <w:kern w:val="24"/>
          <w:sz w:val="26"/>
          <w:szCs w:val="26"/>
        </w:rPr>
        <w:t>. Російської Федерації для оцінки сталості розвитку використовується модель «дійсних заощаджень». «Дійсні заощадження» розраховуються як різниця між чистими заощадженнями та сумою всіх рент за вилучення природних ресурсів. Система індикаторів сталого розвитку включає 80 екологічних, економічних і соціальних показників. Розрахунки, виконані за методикою «дійсних заощаджень», показують значні розбіжності між традиційними економічними та екологічно скоригованими показниками.</w:t>
      </w:r>
    </w:p>
    <w:p w14:paraId="6916E0BB"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rPr>
        <w:t>У Киргизстані індикатори Цілей Розвитку Тисячоліття (ЦРТ) увійшли як частина до системи основних показників середньо- та довгострокового розвитку країни і включені до системи національного моніторингу стра- тегічних документів. У прийнятій Стратегії сталого розвитку Киргизстану на 2013– 2017 рр. вказано на необхідність формулюван- ня цілей галузевої політики для кожного державного органу та визначення індикаторів її</w:t>
      </w:r>
      <w:r>
        <w:t xml:space="preserve"> </w:t>
      </w:r>
      <w:r>
        <w:rPr>
          <w:rFonts w:ascii="Times New Roman" w:eastAsia="+mj-ea" w:hAnsi="Times New Roman"/>
          <w:kern w:val="24"/>
          <w:sz w:val="26"/>
          <w:szCs w:val="26"/>
        </w:rPr>
        <w:t xml:space="preserve">досягнення. При цьому наголошується, що показники та індикатори повинні бути специ- фічні й конкретні для кожного відомства, а також зрозумілі для населення. Ключовими параметрами та цільовими показниками ма- кроекономічної стабільності Киргизстану є: середньорічне реальне зростання ВВП (не менше 7 %); інфляція (інтервал 5–7 %, з 2015 р.); дефіцит бюджету (не більше 5 % від ВВП); державний зовнішній борг (до 60 % від ВВП) [19]. У Стратегії Сталого розвитку Киргизстану на 2013–2017 рр. з-поміж основних завдань реалізації державної політики у сфері охорони навколишнього середовища та забезпечення екологічної безпеки – раціональне використання відновлюваних природних ресурсів, що виключає їхню деградацію, шляхом впрова- дження </w:t>
      </w:r>
      <w:r>
        <w:rPr>
          <w:rFonts w:ascii="Times New Roman" w:eastAsia="+mj-ea" w:hAnsi="Times New Roman"/>
          <w:kern w:val="24"/>
          <w:sz w:val="26"/>
          <w:szCs w:val="26"/>
        </w:rPr>
        <w:lastRenderedPageBreak/>
        <w:t xml:space="preserve">моніторингу й оцінки індикаторів стану довкілля та екологічної безпеки у прак- тику галузевого природокористування. </w:t>
      </w:r>
    </w:p>
    <w:p w14:paraId="2DB8458B"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rPr>
        <w:t>В Узбекистані з 1997 р. діє Національна комісія з питань сталого розвитку, пізніше перетворена в робочу групу. Її роботу коорди- нує уряд Республіки Узбекистан. Концепція сталого розвитку Республіки Узбекистан була розроблена експертами міністерств і відомств цієї країни ще в 1998 р. На основі глобальних Цілей Розвитку Тисячоліття Узбекистан розробив вісім Національних ЦРТ: скорочення малозабезпеченості й неповноцінного харчування; підвищення якості освіти в початкових і середніх школах; заохочення рівності жінок і чоловіків та роз- ширення прав і можливостей жінок; скорочен- ня дитячої смертності; поліпшення материн- ського здоров’я; боротьба з ВІЛ/СНІД, туберкульозом та іншими захворюваннями; забез- печення екологічної стійкості; формування глобального партнерства в цілях розвитку. Досягнення ЦРТ є одним із державних пріоритетів [20]. Для оцінки сталого розвитку Узбекистану використовуються такі показники: щорічні витрати на освіту (10–12 % від ВВП); розподіл доходів населення; бюджетні кошти, що спрямовуються для зміцнення матеріально- технічної бази закладів охорони здоров’я; за- хворюваність на туберкульоз; кількість пра- цівників охорони здоров’я, що припадають на 10 тис. населення; внесок малого бізнесу і приватного підприємництва у формування ВВП; показник енергоефективності ЖКГ; частка транспортних засобів в емісії забруд- нюючих речовин в атмосферу; показник на- копичених твердих побутових відходів; по- казник якості земель до ВВП на душу насе- лення та ін</w:t>
      </w:r>
      <w:r>
        <w:rPr>
          <w:rFonts w:ascii="Times New Roman" w:eastAsia="+mj-ea" w:hAnsi="Times New Roman"/>
          <w:kern w:val="24"/>
          <w:sz w:val="26"/>
          <w:szCs w:val="26"/>
          <w:lang w:val="uk-UA"/>
        </w:rPr>
        <w:t xml:space="preserve">ші. </w:t>
      </w:r>
    </w:p>
    <w:p w14:paraId="1150B6A6" w14:textId="77777777" w:rsidR="001125D0" w:rsidRDefault="001125D0" w:rsidP="001125D0">
      <w:pPr>
        <w:spacing w:after="0" w:line="240" w:lineRule="auto"/>
        <w:ind w:firstLine="709"/>
        <w:jc w:val="both"/>
        <w:rPr>
          <w:rFonts w:ascii="Times New Roman" w:eastAsia="+mj-ea" w:hAnsi="Times New Roman"/>
          <w:kern w:val="24"/>
          <w:sz w:val="26"/>
          <w:szCs w:val="26"/>
        </w:rPr>
      </w:pPr>
      <w:r>
        <w:rPr>
          <w:rFonts w:ascii="Times New Roman" w:eastAsia="+mj-ea" w:hAnsi="Times New Roman"/>
          <w:b/>
          <w:kern w:val="24"/>
          <w:sz w:val="26"/>
          <w:szCs w:val="26"/>
          <w:lang w:val="uk-UA"/>
        </w:rPr>
        <w:t>Вітчизняний досвід розробки системи індикаторів сталості розвитку країни.</w:t>
      </w:r>
      <w:r>
        <w:rPr>
          <w:rFonts w:ascii="Times New Roman" w:eastAsia="+mj-ea" w:hAnsi="Times New Roman"/>
          <w:kern w:val="24"/>
          <w:sz w:val="26"/>
          <w:szCs w:val="26"/>
          <w:lang w:val="uk-UA"/>
        </w:rPr>
        <w:t xml:space="preserve"> </w:t>
      </w:r>
      <w:r>
        <w:rPr>
          <w:rFonts w:ascii="Times New Roman" w:eastAsia="+mj-ea" w:hAnsi="Times New Roman"/>
          <w:kern w:val="24"/>
          <w:sz w:val="26"/>
          <w:szCs w:val="26"/>
        </w:rPr>
        <w:t>У вересні 2015 року у Нью-Йорку відбувся Саміт ООН зі сталого розвитку. Підсумковим документом Саміту «Перетворення нашого світу: порядок денний у сфері сталого розвитку до 2030 року»</w:t>
      </w:r>
      <w:r>
        <w:rPr>
          <w:rFonts w:ascii="Times New Roman" w:eastAsia="+mj-ea" w:hAnsi="Times New Roman"/>
          <w:kern w:val="24"/>
          <w:sz w:val="26"/>
          <w:szCs w:val="26"/>
          <w:lang w:val="uk-UA"/>
        </w:rPr>
        <w:t xml:space="preserve"> </w:t>
      </w:r>
      <w:r>
        <w:rPr>
          <w:rFonts w:ascii="Times New Roman" w:eastAsia="+mj-ea" w:hAnsi="Times New Roman"/>
          <w:kern w:val="24"/>
          <w:sz w:val="26"/>
          <w:szCs w:val="26"/>
        </w:rPr>
        <w:t xml:space="preserve"> було затверджено 17 Цілей сталого розвитку.</w:t>
      </w:r>
    </w:p>
    <w:p w14:paraId="607BA6EA" w14:textId="77777777" w:rsidR="001125D0" w:rsidRDefault="001125D0" w:rsidP="001125D0">
      <w:pPr>
        <w:spacing w:after="0" w:line="240" w:lineRule="auto"/>
        <w:ind w:firstLine="709"/>
        <w:jc w:val="both"/>
        <w:rPr>
          <w:rFonts w:ascii="Times New Roman" w:eastAsia="+mj-ea" w:hAnsi="Times New Roman"/>
          <w:kern w:val="24"/>
          <w:sz w:val="26"/>
          <w:szCs w:val="26"/>
        </w:rPr>
      </w:pPr>
      <w:r>
        <w:rPr>
          <w:rFonts w:ascii="Times New Roman" w:eastAsia="+mj-ea" w:hAnsi="Times New Roman"/>
          <w:kern w:val="24"/>
          <w:sz w:val="26"/>
          <w:szCs w:val="26"/>
        </w:rPr>
        <w:t>Україна, як і інші країни-члени ООН, приєдналася до глобального процесу забезпечення сталого розвитку. Протягом 2016–2017 років тривав широкомасштабний та всеосяжний процес адаптації Цілей сталого розвитку з урахуванням українського контексту. Кожна глобальна ціль була переглянута, беручи до уваги специфіку національного розвитку. Результатом цієї роботи стала національна система, яка складається із 86 завдань національного розвитку.</w:t>
      </w:r>
    </w:p>
    <w:p w14:paraId="02BF4A16" w14:textId="77777777" w:rsidR="001125D0" w:rsidRDefault="001125D0" w:rsidP="001125D0">
      <w:pPr>
        <w:spacing w:after="0" w:line="240" w:lineRule="auto"/>
        <w:ind w:firstLine="709"/>
        <w:jc w:val="both"/>
        <w:rPr>
          <w:rFonts w:ascii="Times New Roman" w:eastAsia="+mj-ea" w:hAnsi="Times New Roman"/>
          <w:kern w:val="24"/>
          <w:sz w:val="26"/>
          <w:szCs w:val="26"/>
        </w:rPr>
      </w:pPr>
      <w:r>
        <w:rPr>
          <w:rFonts w:ascii="Times New Roman" w:eastAsia="+mj-ea" w:hAnsi="Times New Roman"/>
          <w:kern w:val="24"/>
          <w:sz w:val="26"/>
          <w:szCs w:val="26"/>
        </w:rPr>
        <w:t>Національні завдання, індикатори для моніторингу виконання завдань та цільові орієнтири для досягнення до 2030 року відображено в Національній доповіді «Цілі сталого розвитку: Україна». Створена національна система завдань та показників Цілей сталого розвитку забезпечує міцну основу для подальшого комплексного моніторингу країни. Загалом, 17 цілей та 86 національних завдань інкорпоровані у 145 нормативно-правових актів Уряду, на реалізацію цілей і завдань спрямовано 1052 завдання та 3465 заходів, закріплених у цих актах.</w:t>
      </w:r>
    </w:p>
    <w:p w14:paraId="7F89D0C1" w14:textId="77777777" w:rsidR="001125D0" w:rsidRDefault="001125D0" w:rsidP="001125D0">
      <w:pPr>
        <w:spacing w:after="0" w:line="240" w:lineRule="auto"/>
        <w:ind w:firstLine="709"/>
        <w:jc w:val="both"/>
        <w:rPr>
          <w:rFonts w:ascii="Times New Roman" w:eastAsia="+mj-ea" w:hAnsi="Times New Roman"/>
          <w:kern w:val="24"/>
          <w:sz w:val="26"/>
          <w:szCs w:val="26"/>
        </w:rPr>
      </w:pPr>
      <w:r>
        <w:rPr>
          <w:rFonts w:ascii="Times New Roman" w:eastAsia="+mj-ea" w:hAnsi="Times New Roman"/>
          <w:kern w:val="24"/>
          <w:sz w:val="26"/>
          <w:szCs w:val="26"/>
        </w:rPr>
        <w:t>30 вересня 2019 року Президент України видав Указ «Про Цілі сталого розвитку України на період до 2030 року», в якому підтримав забезпечення досягнення глобальних цілей сталого розвитку та результатів їх адаптації з урахуванням специфіки розвитку України, викладених у Національній доповіді «Цілі сталого розвитку: Україна».</w:t>
      </w:r>
    </w:p>
    <w:p w14:paraId="651A871B"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rPr>
        <w:t xml:space="preserve">Тим часом на регіональному рівні все ж існують спроби формального чи реального впровадження положень та оцінки сталості розвитку. Так, у Стратегії розвитку міста Києва до 2025 р. [23] передбачено прийняття довгострокової міської комплексної програми охорони навколишнього природного середовища, що має </w:t>
      </w:r>
      <w:r>
        <w:rPr>
          <w:rFonts w:ascii="Times New Roman" w:eastAsia="+mj-ea" w:hAnsi="Times New Roman"/>
          <w:kern w:val="24"/>
          <w:sz w:val="26"/>
          <w:szCs w:val="26"/>
        </w:rPr>
        <w:lastRenderedPageBreak/>
        <w:t xml:space="preserve">важливе значення в контексті переходу міста на засади сталого розвитку. З-поміж цільових показників стратегії в екологічній сфері є такі: </w:t>
      </w:r>
    </w:p>
    <w:p w14:paraId="45BE057A"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 xml:space="preserve">• викиди шкідливих речовин; </w:t>
      </w:r>
    </w:p>
    <w:p w14:paraId="25E4FE07"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 xml:space="preserve">• частка переробки твердих побутових відходів; </w:t>
      </w:r>
    </w:p>
    <w:p w14:paraId="5CF20AD0"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 частка переобладнаних систем екологічно небезпечних каналізаційних та очисних споруд;</w:t>
      </w:r>
    </w:p>
    <w:p w14:paraId="4C95B736"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 xml:space="preserve">• відсоток регенерованих забруднених територій; </w:t>
      </w:r>
    </w:p>
    <w:p w14:paraId="26A270CE"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 частка підприємств, які використовують процедури екологічного і соціального управління (</w:t>
      </w:r>
      <w:r>
        <w:rPr>
          <w:rFonts w:ascii="Times New Roman" w:eastAsia="+mj-ea" w:hAnsi="Times New Roman"/>
          <w:kern w:val="24"/>
          <w:sz w:val="26"/>
          <w:szCs w:val="26"/>
        </w:rPr>
        <w:t>ISO</w:t>
      </w:r>
      <w:r>
        <w:rPr>
          <w:rFonts w:ascii="Times New Roman" w:eastAsia="+mj-ea" w:hAnsi="Times New Roman"/>
          <w:kern w:val="24"/>
          <w:sz w:val="26"/>
          <w:szCs w:val="26"/>
          <w:lang w:val="uk-UA"/>
        </w:rPr>
        <w:t xml:space="preserve"> 14000); </w:t>
      </w:r>
    </w:p>
    <w:p w14:paraId="40CE4EAD"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 xml:space="preserve">• забезпеченість зеленими зонами загального користування. </w:t>
      </w:r>
    </w:p>
    <w:p w14:paraId="45AD1365"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 xml:space="preserve">Даний список індикаторів, звісно, дуже обмежений і не враховує ступінь виснаження ресурсів, у т.ч. питної води, показників біо- різноманіття, показників радіоактивного, шумового, хвильового забруднення та інших. </w:t>
      </w:r>
      <w:r>
        <w:rPr>
          <w:rFonts w:ascii="Times New Roman" w:eastAsia="+mj-ea" w:hAnsi="Times New Roman"/>
          <w:kern w:val="24"/>
          <w:sz w:val="26"/>
          <w:szCs w:val="26"/>
        </w:rPr>
        <w:t>Частина індикаторів показує не напрям розвитку, а зусилля з його досягнення.</w:t>
      </w:r>
      <w:r>
        <w:t xml:space="preserve"> </w:t>
      </w:r>
      <w:r>
        <w:rPr>
          <w:rFonts w:ascii="Times New Roman" w:eastAsia="+mj-ea" w:hAnsi="Times New Roman"/>
          <w:kern w:val="24"/>
          <w:sz w:val="26"/>
          <w:szCs w:val="26"/>
        </w:rPr>
        <w:t xml:space="preserve">У 2001–2002 рр. державними адміністраціми та органами місцевого самоврядування Києва, Донецька, Харкова, Маріуполя й Миколаєва за фінансової підтримки Британської Ради в Україні була створена мережа екологічно стійких міст України. Місто Миколаїв взяло участь у проекті Європейського Союзу STATUS («Інструменти й засоби для розробки міської стратегії»), який розвиває проект «Загальноєвропейські індикатори». У результаті проекту, зокрема, були розроблені індикатори, рекомендовані місцевим владам для використання при розробці Стратегії сталого розвитку, які мають встановлюватися з урахуванням місцевих особливостей і національного законодавства. Екологічна політика Миколаєва [24] базується на 15 індикаторах стійкого розвитку, результати моніторингу за якими публікуються у ЗМІ, починаючи з 2002 р. </w:t>
      </w:r>
      <w:r>
        <w:rPr>
          <w:rFonts w:ascii="Times New Roman" w:eastAsia="+mj-ea" w:hAnsi="Times New Roman"/>
          <w:kern w:val="24"/>
          <w:sz w:val="26"/>
          <w:szCs w:val="26"/>
          <w:lang w:val="uk-UA"/>
        </w:rPr>
        <w:t xml:space="preserve">У м. Донецьку у 2000–2003 рр. реалізувався проект «Роза Вітрів» з підвищення суспільної екологічної свідомості мешканців міста. </w:t>
      </w:r>
      <w:r>
        <w:rPr>
          <w:rFonts w:ascii="Times New Roman" w:eastAsia="+mj-ea" w:hAnsi="Times New Roman"/>
          <w:kern w:val="24"/>
          <w:sz w:val="26"/>
          <w:szCs w:val="26"/>
        </w:rPr>
        <w:t>Досягненнями проекту стали створення Комітету сталого розвитку м.</w:t>
      </w:r>
      <w:r>
        <w:rPr>
          <w:rFonts w:ascii="Times New Roman" w:eastAsia="+mj-ea" w:hAnsi="Times New Roman"/>
          <w:kern w:val="24"/>
          <w:sz w:val="26"/>
          <w:szCs w:val="26"/>
          <w:lang w:val="uk-UA"/>
        </w:rPr>
        <w:t> </w:t>
      </w:r>
      <w:r>
        <w:rPr>
          <w:rFonts w:ascii="Times New Roman" w:eastAsia="+mj-ea" w:hAnsi="Times New Roman"/>
          <w:kern w:val="24"/>
          <w:sz w:val="26"/>
          <w:szCs w:val="26"/>
        </w:rPr>
        <w:t>Донецька, до якого увійшли впливові політики, бізнесмени, вчені. Згідно з проектом передбачалося також проведення соціологічного дослідження з метою</w:t>
      </w:r>
      <w:r>
        <w:t xml:space="preserve"> </w:t>
      </w:r>
      <w:r>
        <w:rPr>
          <w:rFonts w:ascii="Times New Roman" w:eastAsia="+mj-ea" w:hAnsi="Times New Roman"/>
          <w:kern w:val="24"/>
          <w:sz w:val="26"/>
          <w:szCs w:val="26"/>
        </w:rPr>
        <w:t>визначення основних проблем, якими переймаються жителі міста. У результаті дослідження було запропоновано 14 індикаторів сталого розвитку м. Донецьк [25]</w:t>
      </w:r>
      <w:r>
        <w:rPr>
          <w:rFonts w:ascii="Times New Roman" w:eastAsia="+mj-ea" w:hAnsi="Times New Roman"/>
          <w:kern w:val="24"/>
          <w:sz w:val="26"/>
          <w:szCs w:val="26"/>
          <w:lang w:val="uk-UA"/>
        </w:rPr>
        <w:t xml:space="preserve">, які </w:t>
      </w:r>
      <w:r>
        <w:rPr>
          <w:rFonts w:ascii="Times New Roman" w:eastAsia="+mj-ea" w:hAnsi="Times New Roman"/>
          <w:kern w:val="24"/>
          <w:sz w:val="26"/>
          <w:szCs w:val="26"/>
        </w:rPr>
        <w:t>були взяті за основу Концепції «Місцевого порядку денного ХХІ століття» для м. Донецька. У Стратегії сталого розвитку Харківської області до 2020 р. [26] оцінка сталого розвитку регіону здійснюється за його складниками за такими компонентами:</w:t>
      </w:r>
    </w:p>
    <w:p w14:paraId="1BCDEDA6"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 xml:space="preserve">• сталий економічний розвиток (макроекономічна; фінансова; зовнішньоекономічна; інвестиційна; науково-технологічна та іннова- ційна; енергетична; виробнича; продовольча); </w:t>
      </w:r>
    </w:p>
    <w:p w14:paraId="4622B89E"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 xml:space="preserve">• сталий соціальний розвиток (доходи та витрати; безробіття; забезпеченість житлом; демографія і стан здоров’я; споживання про- дуктів харчування); </w:t>
      </w:r>
    </w:p>
    <w:p w14:paraId="3D1171E5"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 сталий екологічний розвиток (атмосферне повітря; вода; відходи).</w:t>
      </w:r>
    </w:p>
    <w:p w14:paraId="614B38A1"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rPr>
        <w:t>Кожна з наведених компонент сталого роз-витку регіону оцінюється за допомогою окремих показників, які об’єднуються в інтегральний показник. Для визначення пріоритетності вирішення проблем сталого розвитку регіону окремі показники порівнюються з їх граничними значеннями (статична оцінка), а також оцінюється динаміка ступеня та напрямку їх зміни. У Стратегії представлені індикативні</w:t>
      </w:r>
      <w:r>
        <w:t xml:space="preserve"> </w:t>
      </w:r>
      <w:r>
        <w:rPr>
          <w:rFonts w:ascii="Times New Roman" w:eastAsia="+mj-ea" w:hAnsi="Times New Roman"/>
          <w:kern w:val="24"/>
          <w:sz w:val="26"/>
          <w:szCs w:val="26"/>
        </w:rPr>
        <w:t xml:space="preserve">значення окремих показників, які характеризують операційні цілі сталого соціального розвитку Харківської обл. до 2020 р. У Стратегії економічного та соціального розвитку Рівненської області на період до 2015 року [28] взагалі немає </w:t>
      </w:r>
      <w:r>
        <w:rPr>
          <w:rFonts w:ascii="Times New Roman" w:eastAsia="+mj-ea" w:hAnsi="Times New Roman"/>
          <w:kern w:val="24"/>
          <w:sz w:val="26"/>
          <w:szCs w:val="26"/>
        </w:rPr>
        <w:lastRenderedPageBreak/>
        <w:t>індикаторів сталості розвитку. Втім, є прогноз основних показників соціально-економічного-розвитку Рівненської області на період до 2015 р., де зазначені очікувані темпи змін у 10 сферах господарської діяльності у відсотках до попереднього року без деталізації. У Стратегії економічного та соціального розвитку територій Івано-Франківської області до 2015 р. [29] наведено перелік індикаторів реалізації Стратегії, який включає 84 індикатори. Система індикаторів складається із 18 загальних економічних індикаторів, а також із комплексів індикаторів за такими пріоритетними для області напрямами економічного і соціального розвитку: • індикатори розвитку туристично-рекреаційного комплексу (8); • індикатори розвитку сільського господарства та переробної промисловості (5); • індикатори розвитку лісового господарства та деревообробного комплексу області (5); • індикатори розвитку легкої промисловості (4); • індикатори розвитку виробничо-промислового комплексу області (8);</w:t>
      </w:r>
      <w:r>
        <w:t xml:space="preserve"> </w:t>
      </w:r>
      <w:r>
        <w:rPr>
          <w:rFonts w:ascii="Times New Roman" w:eastAsia="+mj-ea" w:hAnsi="Times New Roman"/>
          <w:kern w:val="24"/>
          <w:sz w:val="26"/>
          <w:szCs w:val="26"/>
        </w:rPr>
        <w:t xml:space="preserve">• індикатори розвитку інфраструктури області (6); • індикатори розвитку підприємництва (4); • індикатори розвитку людських ресурсів (17); • індикатори охорони навколишнього природного середовища та екологічної безпеки (9). </w:t>
      </w:r>
    </w:p>
    <w:p w14:paraId="1DC85B8C"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mj-ea" w:hAnsi="Times New Roman"/>
          <w:kern w:val="24"/>
          <w:sz w:val="26"/>
          <w:szCs w:val="26"/>
          <w:lang w:val="uk-UA"/>
        </w:rPr>
        <w:t xml:space="preserve">Отже, </w:t>
      </w:r>
      <w:r>
        <w:rPr>
          <w:rFonts w:ascii="Times New Roman" w:eastAsia="+mj-ea" w:hAnsi="Times New Roman"/>
          <w:kern w:val="24"/>
          <w:sz w:val="26"/>
          <w:szCs w:val="26"/>
        </w:rPr>
        <w:t xml:space="preserve">головним недоліком таких систем оцінки </w:t>
      </w:r>
      <w:r>
        <w:rPr>
          <w:rFonts w:ascii="Times New Roman" w:eastAsia="+mj-ea" w:hAnsi="Times New Roman"/>
          <w:kern w:val="24"/>
          <w:sz w:val="26"/>
          <w:szCs w:val="26"/>
          <w:lang w:val="uk-UA"/>
        </w:rPr>
        <w:t xml:space="preserve">сталості в регіонах України </w:t>
      </w:r>
      <w:r>
        <w:rPr>
          <w:rFonts w:ascii="Times New Roman" w:eastAsia="+mj-ea" w:hAnsi="Times New Roman"/>
          <w:kern w:val="24"/>
          <w:sz w:val="26"/>
          <w:szCs w:val="26"/>
        </w:rPr>
        <w:t xml:space="preserve">є статистичний характер показників. Більшість показників, які використовуються, просто демонструють зміну того чи іншого параметра в часі, не відповідаючи на запитання про причини, наслідки та прогнози. Ще однією особливістю систем оцінки сталості розвитку в Україні є констатування параметрів дослідження без постановки чисельно виражених цільових показників, значна кількість цільових показників сформульовані як «підвищити», «зменшити», «поліпшити» тощо. Негативним наслідком </w:t>
      </w:r>
      <w:r>
        <w:rPr>
          <w:rFonts w:ascii="Times New Roman" w:eastAsia="+mj-ea" w:hAnsi="Times New Roman"/>
          <w:kern w:val="24"/>
          <w:sz w:val="26"/>
          <w:szCs w:val="26"/>
          <w:lang w:val="uk-UA"/>
        </w:rPr>
        <w:t xml:space="preserve">прийнятої </w:t>
      </w:r>
      <w:r>
        <w:rPr>
          <w:rFonts w:ascii="Times New Roman" w:eastAsia="+mj-ea" w:hAnsi="Times New Roman"/>
          <w:kern w:val="24"/>
          <w:sz w:val="26"/>
          <w:szCs w:val="26"/>
        </w:rPr>
        <w:t>Національної стратегії сталого розвитку України</w:t>
      </w:r>
      <w:r>
        <w:t xml:space="preserve"> </w:t>
      </w:r>
      <w:r>
        <w:rPr>
          <w:rFonts w:ascii="Times New Roman" w:eastAsia="+mj-ea" w:hAnsi="Times New Roman"/>
          <w:kern w:val="24"/>
          <w:sz w:val="26"/>
          <w:szCs w:val="26"/>
        </w:rPr>
        <w:t xml:space="preserve">"Україна - 2020" є </w:t>
      </w:r>
      <w:r>
        <w:rPr>
          <w:rFonts w:ascii="Times New Roman" w:eastAsia="+mj-ea" w:hAnsi="Times New Roman"/>
          <w:kern w:val="24"/>
          <w:sz w:val="26"/>
          <w:szCs w:val="26"/>
          <w:lang w:val="uk-UA"/>
        </w:rPr>
        <w:t xml:space="preserve">відсутність індикаторів і, як наслідок, виникають </w:t>
      </w:r>
      <w:r>
        <w:rPr>
          <w:rFonts w:ascii="Times New Roman" w:eastAsia="+mj-ea" w:hAnsi="Times New Roman"/>
          <w:kern w:val="24"/>
          <w:sz w:val="26"/>
          <w:szCs w:val="26"/>
        </w:rPr>
        <w:t>великі розбіжності у структурі, принципах побудови індикаторних систем оцінки розвитку та відповідної звітності обласних і муніципальних стратегій сталого розвитку</w:t>
      </w:r>
      <w:r>
        <w:rPr>
          <w:rFonts w:ascii="Times New Roman" w:eastAsia="+mj-ea" w:hAnsi="Times New Roman"/>
          <w:kern w:val="24"/>
          <w:sz w:val="26"/>
          <w:szCs w:val="26"/>
          <w:lang w:val="uk-UA"/>
        </w:rPr>
        <w:t>..</w:t>
      </w:r>
    </w:p>
    <w:p w14:paraId="2A6CC248" w14:textId="77777777" w:rsidR="001125D0" w:rsidRDefault="001125D0" w:rsidP="001125D0">
      <w:pPr>
        <w:spacing w:after="0" w:line="240" w:lineRule="auto"/>
        <w:ind w:firstLine="709"/>
        <w:jc w:val="both"/>
        <w:rPr>
          <w:rFonts w:ascii="Times New Roman" w:eastAsia="+mj-ea" w:hAnsi="Times New Roman"/>
          <w:kern w:val="24"/>
          <w:sz w:val="26"/>
          <w:szCs w:val="26"/>
          <w:lang w:val="uk-UA"/>
        </w:rPr>
      </w:pPr>
      <w:r>
        <w:rPr>
          <w:rFonts w:ascii="Times New Roman" w:eastAsia="Times New Roman" w:hAnsi="Times New Roman"/>
          <w:color w:val="000000"/>
          <w:spacing w:val="-1"/>
          <w:sz w:val="26"/>
          <w:szCs w:val="26"/>
          <w:lang w:val="uk-UA" w:eastAsia="ru-RU"/>
        </w:rPr>
        <w:t>Таким чином, розробка відповідних критеріїв і показників (індексів та індикаторів) дозволить встановити контроль за досягненням цілей сталого розвитку, керувати цим процесом, приймати ефективні управлінські рішення, оцінювати ефективність використовуваних засобів і рівень досягнення поставлених цілей як на національному так і на місцевому рівнях.</w:t>
      </w:r>
    </w:p>
    <w:p w14:paraId="2D0DFBCC" w14:textId="77777777" w:rsidR="001425E2" w:rsidRPr="00265DE2" w:rsidRDefault="001425E2">
      <w:pPr>
        <w:rPr>
          <w:lang w:val="uk-UA"/>
        </w:rPr>
      </w:pPr>
    </w:p>
    <w:sectPr w:rsidR="001425E2" w:rsidRPr="00265D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46804" w14:textId="77777777" w:rsidR="007C2A21" w:rsidRDefault="007C2A21" w:rsidP="001125D0">
      <w:pPr>
        <w:spacing w:after="0" w:line="240" w:lineRule="auto"/>
      </w:pPr>
      <w:r>
        <w:separator/>
      </w:r>
    </w:p>
  </w:endnote>
  <w:endnote w:type="continuationSeparator" w:id="0">
    <w:p w14:paraId="408959A7" w14:textId="77777777" w:rsidR="007C2A21" w:rsidRDefault="007C2A21" w:rsidP="001125D0">
      <w:pPr>
        <w:spacing w:after="0" w:line="240" w:lineRule="auto"/>
      </w:pPr>
      <w:r>
        <w:continuationSeparator/>
      </w:r>
    </w:p>
  </w:endnote>
  <w:endnote w:id="1">
    <w:p w14:paraId="29661561"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Програма дій. Повістка дня на ХХI століття і інші документи конференції в Ріо-де-Жанейро в популярному викладі. – Женева: Центр “За наше спільне майбутнє”, 1993. – С. 1.</w:t>
      </w:r>
    </w:p>
  </w:endnote>
  <w:endnote w:id="2">
    <w:p w14:paraId="4C4F002E"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xml:space="preserve"> Зубець М.В. Екологія: критична / М.В. Зубець // Голос України. – 2008. – № 109 (4359). – С. 6.</w:t>
      </w:r>
    </w:p>
  </w:endnote>
  <w:endnote w:id="3">
    <w:p w14:paraId="0DC6CBAA" w14:textId="77777777" w:rsidR="001125D0" w:rsidRDefault="001125D0" w:rsidP="001125D0">
      <w:pPr>
        <w:pStyle w:val="a4"/>
        <w:spacing w:after="0" w:line="240" w:lineRule="auto"/>
        <w:ind w:firstLine="567"/>
        <w:jc w:val="both"/>
        <w:rPr>
          <w:sz w:val="26"/>
          <w:szCs w:val="26"/>
        </w:rPr>
      </w:pPr>
      <w:r>
        <w:rPr>
          <w:rStyle w:val="a6"/>
          <w:sz w:val="26"/>
          <w:szCs w:val="26"/>
        </w:rPr>
        <w:endnoteRef/>
      </w:r>
      <w:r>
        <w:rPr>
          <w:sz w:val="26"/>
          <w:szCs w:val="26"/>
        </w:rPr>
        <w:t xml:space="preserve"> </w:t>
      </w:r>
      <w:r>
        <w:rPr>
          <w:rFonts w:ascii="Times New Roman" w:hAnsi="Times New Roman"/>
          <w:color w:val="000000"/>
          <w:sz w:val="26"/>
          <w:szCs w:val="26"/>
        </w:rPr>
        <w:t>Про Цілі сталого розвитку України на період до 2030 року» [Електронний ресурс]. – Режим доступу: https://zakon.rada.gov.ua/laws/show/722/2019#Text</w:t>
      </w:r>
    </w:p>
  </w:endnote>
  <w:endnote w:id="4">
    <w:p w14:paraId="1E800244"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Закон України Про Основні засади (стратегію) державної екологічної політики України на період до 2030 року (https://ips.ligazakon.net/document/T192697?an=1)</w:t>
      </w:r>
    </w:p>
  </w:endnote>
  <w:endnote w:id="5">
    <w:p w14:paraId="2FE3A573"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Інституційний репозитарій Житомирської політехніки (наукові статті, автореферати дисертацій та дисертації, навчальні матеріали, студентські роботи, матеріали конференцій, патенти, комп'ютерні програми, статистичні матеріали, навчальні об'єкти, наукові звіти).</w:t>
      </w:r>
    </w:p>
  </w:endnote>
  <w:endnote w:id="6">
    <w:p w14:paraId="4B4EEFD6" w14:textId="77777777" w:rsidR="001125D0" w:rsidRPr="00265DE2" w:rsidRDefault="001125D0" w:rsidP="001125D0">
      <w:pPr>
        <w:pStyle w:val="a4"/>
        <w:spacing w:after="0" w:line="240" w:lineRule="auto"/>
        <w:ind w:firstLine="567"/>
        <w:jc w:val="both"/>
        <w:rPr>
          <w:rFonts w:ascii="Times New Roman" w:hAnsi="Times New Roman"/>
          <w:sz w:val="26"/>
          <w:szCs w:val="26"/>
          <w:lang w:val="en-US"/>
        </w:rPr>
      </w:pPr>
      <w:r>
        <w:rPr>
          <w:rStyle w:val="a6"/>
          <w:sz w:val="26"/>
          <w:szCs w:val="26"/>
        </w:rPr>
        <w:endnoteRef/>
      </w:r>
      <w:r>
        <w:rPr>
          <w:rFonts w:ascii="Times New Roman" w:hAnsi="Times New Roman"/>
          <w:sz w:val="26"/>
          <w:szCs w:val="26"/>
          <w:lang w:val="en-US"/>
        </w:rPr>
        <w:t xml:space="preserve"> </w:t>
      </w:r>
      <w:r w:rsidRPr="00265DE2">
        <w:rPr>
          <w:rFonts w:ascii="Times New Roman" w:hAnsi="Times New Roman"/>
          <w:color w:val="000000"/>
          <w:sz w:val="26"/>
          <w:szCs w:val="26"/>
          <w:lang w:val="en-US"/>
        </w:rPr>
        <w:t>Meadows Donella H. The Limits to Growth. / Donella H. Meadows, Dennis L. Meadows, Jorgen Randers, William W. Behrens. – New York: Universe Books, 1972.</w:t>
      </w:r>
    </w:p>
  </w:endnote>
  <w:endnote w:id="7">
    <w:p w14:paraId="2E53D463" w14:textId="77777777" w:rsidR="001125D0" w:rsidRPr="00265DE2" w:rsidRDefault="001125D0" w:rsidP="001125D0">
      <w:pPr>
        <w:pStyle w:val="a4"/>
        <w:spacing w:after="0" w:line="240" w:lineRule="auto"/>
        <w:ind w:firstLine="567"/>
        <w:jc w:val="both"/>
        <w:rPr>
          <w:rFonts w:ascii="Times New Roman" w:hAnsi="Times New Roman"/>
          <w:sz w:val="26"/>
          <w:szCs w:val="26"/>
          <w:lang w:val="en-US"/>
        </w:rPr>
      </w:pPr>
      <w:r>
        <w:rPr>
          <w:rStyle w:val="a6"/>
          <w:sz w:val="26"/>
          <w:szCs w:val="26"/>
        </w:rPr>
        <w:endnoteRef/>
      </w:r>
      <w:r w:rsidRPr="00265DE2">
        <w:rPr>
          <w:rFonts w:ascii="Times New Roman" w:hAnsi="Times New Roman"/>
          <w:sz w:val="26"/>
          <w:szCs w:val="26"/>
          <w:lang w:val="en-US"/>
        </w:rPr>
        <w:t xml:space="preserve"> </w:t>
      </w:r>
      <w:r>
        <w:rPr>
          <w:rFonts w:ascii="Times New Roman" w:hAnsi="Times New Roman"/>
          <w:color w:val="000000"/>
          <w:sz w:val="26"/>
          <w:szCs w:val="26"/>
        </w:rPr>
        <w:t>Те</w:t>
      </w:r>
      <w:r w:rsidRPr="00265DE2">
        <w:rPr>
          <w:rFonts w:ascii="Times New Roman" w:hAnsi="Times New Roman"/>
          <w:color w:val="000000"/>
          <w:sz w:val="26"/>
          <w:szCs w:val="26"/>
          <w:lang w:val="en-US"/>
        </w:rPr>
        <w:t xml:space="preserve"> </w:t>
      </w:r>
      <w:r>
        <w:rPr>
          <w:rFonts w:ascii="Times New Roman" w:hAnsi="Times New Roman"/>
          <w:color w:val="000000"/>
          <w:sz w:val="26"/>
          <w:szCs w:val="26"/>
        </w:rPr>
        <w:t>ж</w:t>
      </w:r>
      <w:r w:rsidRPr="00265DE2">
        <w:rPr>
          <w:rFonts w:ascii="Times New Roman" w:hAnsi="Times New Roman"/>
          <w:color w:val="000000"/>
          <w:sz w:val="26"/>
          <w:szCs w:val="26"/>
          <w:lang w:val="en-US"/>
        </w:rPr>
        <w:t>.</w:t>
      </w:r>
    </w:p>
  </w:endnote>
  <w:endnote w:id="8">
    <w:p w14:paraId="6107A62A" w14:textId="77777777" w:rsidR="001125D0" w:rsidRPr="00265DE2" w:rsidRDefault="001125D0" w:rsidP="001125D0">
      <w:pPr>
        <w:pStyle w:val="a4"/>
        <w:spacing w:after="0" w:line="240" w:lineRule="auto"/>
        <w:ind w:firstLine="567"/>
        <w:jc w:val="both"/>
        <w:rPr>
          <w:rFonts w:ascii="Times New Roman" w:hAnsi="Times New Roman"/>
          <w:sz w:val="26"/>
          <w:szCs w:val="26"/>
          <w:lang w:val="en-US"/>
        </w:rPr>
      </w:pPr>
      <w:r>
        <w:rPr>
          <w:rStyle w:val="a6"/>
          <w:sz w:val="26"/>
          <w:szCs w:val="26"/>
        </w:rPr>
        <w:endnoteRef/>
      </w:r>
      <w:r w:rsidRPr="00265DE2">
        <w:rPr>
          <w:rFonts w:ascii="Times New Roman" w:hAnsi="Times New Roman"/>
          <w:sz w:val="26"/>
          <w:szCs w:val="26"/>
          <w:lang w:val="en-US"/>
        </w:rPr>
        <w:t xml:space="preserve"> </w:t>
      </w:r>
      <w:r>
        <w:rPr>
          <w:rFonts w:ascii="Times New Roman" w:hAnsi="Times New Roman"/>
          <w:color w:val="000000"/>
          <w:spacing w:val="-6"/>
          <w:sz w:val="26"/>
          <w:szCs w:val="26"/>
        </w:rPr>
        <w:t>Інституційний</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репозитарій</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Житомирської</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політехніки</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наукові</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статті</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автореферати</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дисертацій</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та</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дисертації</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навчальні</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матеріали</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студентські</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роботи</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матеріали</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конференцій</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патенти</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комп</w:t>
      </w:r>
      <w:r w:rsidRPr="00265DE2">
        <w:rPr>
          <w:rFonts w:ascii="Times New Roman" w:hAnsi="Times New Roman"/>
          <w:color w:val="000000"/>
          <w:spacing w:val="-6"/>
          <w:sz w:val="26"/>
          <w:szCs w:val="26"/>
          <w:lang w:val="en-US"/>
        </w:rPr>
        <w:t>'</w:t>
      </w:r>
      <w:r>
        <w:rPr>
          <w:rFonts w:ascii="Times New Roman" w:hAnsi="Times New Roman"/>
          <w:color w:val="000000"/>
          <w:spacing w:val="-6"/>
          <w:sz w:val="26"/>
          <w:szCs w:val="26"/>
        </w:rPr>
        <w:t>ютерні</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програми</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статистичні</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матеріали</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навчальні</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об</w:t>
      </w:r>
      <w:r w:rsidRPr="00265DE2">
        <w:rPr>
          <w:rFonts w:ascii="Times New Roman" w:hAnsi="Times New Roman"/>
          <w:color w:val="000000"/>
          <w:spacing w:val="-6"/>
          <w:sz w:val="26"/>
          <w:szCs w:val="26"/>
          <w:lang w:val="en-US"/>
        </w:rPr>
        <w:t>'</w:t>
      </w:r>
      <w:r>
        <w:rPr>
          <w:rFonts w:ascii="Times New Roman" w:hAnsi="Times New Roman"/>
          <w:color w:val="000000"/>
          <w:spacing w:val="-6"/>
          <w:sz w:val="26"/>
          <w:szCs w:val="26"/>
        </w:rPr>
        <w:t>єкти</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наукові</w:t>
      </w:r>
      <w:r w:rsidRPr="00265DE2">
        <w:rPr>
          <w:rFonts w:ascii="Times New Roman" w:hAnsi="Times New Roman"/>
          <w:color w:val="000000"/>
          <w:spacing w:val="-6"/>
          <w:sz w:val="26"/>
          <w:szCs w:val="26"/>
          <w:lang w:val="en-US"/>
        </w:rPr>
        <w:t xml:space="preserve"> </w:t>
      </w:r>
      <w:r>
        <w:rPr>
          <w:rFonts w:ascii="Times New Roman" w:hAnsi="Times New Roman"/>
          <w:color w:val="000000"/>
          <w:spacing w:val="-6"/>
          <w:sz w:val="26"/>
          <w:szCs w:val="26"/>
        </w:rPr>
        <w:t>звіти</w:t>
      </w:r>
      <w:r w:rsidRPr="00265DE2">
        <w:rPr>
          <w:rFonts w:ascii="Times New Roman" w:hAnsi="Times New Roman"/>
          <w:color w:val="000000"/>
          <w:spacing w:val="-6"/>
          <w:sz w:val="26"/>
          <w:szCs w:val="26"/>
          <w:lang w:val="en-US"/>
        </w:rPr>
        <w:t>).</w:t>
      </w:r>
    </w:p>
  </w:endnote>
  <w:endnote w:id="9">
    <w:p w14:paraId="7D7E8F0B"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Підсумкови</w:t>
      </w:r>
      <w:r>
        <w:rPr>
          <w:rFonts w:ascii="Times New Roman" w:hAnsi="Times New Roman"/>
          <w:color w:val="000000"/>
          <w:sz w:val="26"/>
          <w:szCs w:val="26"/>
          <w:lang w:val="uk-UA"/>
        </w:rPr>
        <w:t>й</w:t>
      </w:r>
      <w:r>
        <w:rPr>
          <w:rFonts w:ascii="Times New Roman" w:hAnsi="Times New Roman"/>
          <w:color w:val="000000"/>
          <w:sz w:val="26"/>
          <w:szCs w:val="26"/>
        </w:rPr>
        <w:t xml:space="preserve"> документ Саміту</w:t>
      </w:r>
      <w:r>
        <w:rPr>
          <w:rFonts w:ascii="Times New Roman" w:hAnsi="Times New Roman"/>
          <w:color w:val="000000"/>
          <w:sz w:val="26"/>
          <w:szCs w:val="26"/>
          <w:lang w:val="uk-UA"/>
        </w:rPr>
        <w:t xml:space="preserve"> ООН зі сталого розвитку </w:t>
      </w:r>
      <w:r>
        <w:rPr>
          <w:rFonts w:ascii="Times New Roman" w:hAnsi="Times New Roman"/>
          <w:color w:val="000000"/>
          <w:sz w:val="26"/>
          <w:szCs w:val="26"/>
        </w:rPr>
        <w:t xml:space="preserve">«Перетворення нашого світу: порядок денний у сфері сталого розвитку до 2030 року» [Електронний ресурс]. – Режим доступу: </w:t>
      </w:r>
      <w:r>
        <w:rPr>
          <w:rFonts w:ascii="Times New Roman" w:hAnsi="Times New Roman"/>
          <w:sz w:val="26"/>
          <w:szCs w:val="26"/>
        </w:rPr>
        <w:t>https://www.undp.org/uk/ukraine/publications</w:t>
      </w:r>
      <w:r>
        <w:rPr>
          <w:rFonts w:ascii="Times New Roman" w:hAnsi="Times New Roman"/>
          <w:sz w:val="26"/>
          <w:szCs w:val="26"/>
          <w:lang w:val="uk-UA"/>
        </w:rPr>
        <w:t>.</w:t>
      </w:r>
      <w:r>
        <w:rPr>
          <w:lang w:val="uk-UA"/>
        </w:rPr>
        <w:t xml:space="preserve"> </w:t>
      </w:r>
    </w:p>
  </w:endnote>
  <w:endnote w:id="10">
    <w:p w14:paraId="7B428783" w14:textId="77777777" w:rsidR="001125D0" w:rsidRDefault="001125D0" w:rsidP="001125D0">
      <w:pPr>
        <w:pStyle w:val="a4"/>
        <w:spacing w:after="0" w:line="240" w:lineRule="auto"/>
        <w:ind w:firstLine="567"/>
        <w:jc w:val="both"/>
        <w:rPr>
          <w:rFonts w:ascii="Times New Roman" w:hAnsi="Times New Roman"/>
          <w:sz w:val="26"/>
          <w:szCs w:val="26"/>
          <w:lang w:val="uk-UA"/>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Національн</w:t>
      </w:r>
      <w:r>
        <w:rPr>
          <w:rFonts w:ascii="Times New Roman" w:hAnsi="Times New Roman"/>
          <w:color w:val="000000"/>
          <w:sz w:val="26"/>
          <w:szCs w:val="26"/>
          <w:lang w:val="uk-UA"/>
        </w:rPr>
        <w:t>а</w:t>
      </w:r>
      <w:r>
        <w:rPr>
          <w:rFonts w:ascii="Times New Roman" w:hAnsi="Times New Roman"/>
          <w:color w:val="000000"/>
          <w:sz w:val="26"/>
          <w:szCs w:val="26"/>
        </w:rPr>
        <w:t xml:space="preserve"> доповід</w:t>
      </w:r>
      <w:r>
        <w:rPr>
          <w:rFonts w:ascii="Times New Roman" w:hAnsi="Times New Roman"/>
          <w:color w:val="000000"/>
          <w:sz w:val="26"/>
          <w:szCs w:val="26"/>
          <w:lang w:val="uk-UA"/>
        </w:rPr>
        <w:t>ь</w:t>
      </w:r>
      <w:r>
        <w:rPr>
          <w:rFonts w:ascii="Times New Roman" w:hAnsi="Times New Roman"/>
          <w:color w:val="000000"/>
          <w:sz w:val="26"/>
          <w:szCs w:val="26"/>
        </w:rPr>
        <w:t xml:space="preserve"> «Цілі сталого розвитку: Україна»</w:t>
      </w:r>
      <w:r>
        <w:rPr>
          <w:rFonts w:ascii="Times New Roman" w:hAnsi="Times New Roman"/>
          <w:color w:val="000000"/>
          <w:sz w:val="26"/>
          <w:szCs w:val="26"/>
          <w:lang w:val="uk-UA"/>
        </w:rPr>
        <w:t xml:space="preserve"> </w:t>
      </w:r>
      <w:r>
        <w:rPr>
          <w:rFonts w:ascii="Times New Roman" w:hAnsi="Times New Roman"/>
          <w:color w:val="000000"/>
          <w:sz w:val="26"/>
          <w:szCs w:val="26"/>
        </w:rPr>
        <w:t>[Електронний ресурс]. – Режим доступу:</w:t>
      </w:r>
      <w:r>
        <w:t xml:space="preserve"> </w:t>
      </w:r>
      <w:r>
        <w:rPr>
          <w:rFonts w:ascii="Times New Roman" w:hAnsi="Times New Roman"/>
          <w:color w:val="000000"/>
          <w:sz w:val="26"/>
          <w:szCs w:val="26"/>
        </w:rPr>
        <w:t>https://www.kmu.gov.ua/storage/app/sites/1/natsionalna-dopovid-csr-Ukrainy.pdf</w:t>
      </w:r>
    </w:p>
  </w:endnote>
  <w:endnote w:id="11">
    <w:p w14:paraId="4255A9CC" w14:textId="77777777" w:rsidR="001125D0" w:rsidRPr="00265DE2" w:rsidRDefault="001125D0" w:rsidP="001125D0">
      <w:pPr>
        <w:pStyle w:val="a4"/>
        <w:spacing w:after="0" w:line="240" w:lineRule="auto"/>
        <w:ind w:firstLine="567"/>
        <w:jc w:val="both"/>
        <w:rPr>
          <w:rFonts w:ascii="Times New Roman" w:hAnsi="Times New Roman"/>
          <w:sz w:val="26"/>
          <w:szCs w:val="26"/>
          <w:lang w:val="en-US"/>
        </w:rPr>
      </w:pPr>
      <w:r>
        <w:rPr>
          <w:rStyle w:val="a6"/>
          <w:sz w:val="26"/>
          <w:szCs w:val="26"/>
        </w:rPr>
        <w:endnoteRef/>
      </w:r>
      <w:r>
        <w:rPr>
          <w:rFonts w:ascii="Times New Roman" w:hAnsi="Times New Roman"/>
          <w:sz w:val="26"/>
          <w:szCs w:val="26"/>
          <w:lang w:val="en-US"/>
        </w:rPr>
        <w:t xml:space="preserve"> </w:t>
      </w:r>
      <w:r w:rsidRPr="00265DE2">
        <w:rPr>
          <w:rFonts w:ascii="Times New Roman" w:hAnsi="Times New Roman"/>
          <w:color w:val="000000"/>
          <w:spacing w:val="-6"/>
          <w:sz w:val="26"/>
          <w:szCs w:val="26"/>
          <w:lang w:val="en-US"/>
        </w:rPr>
        <w:t xml:space="preserve">Daly H.E. Beyond Growth, the Economics of Sustainable Development. – Boston: Beacon Press, 1996. – </w:t>
      </w:r>
      <w:r>
        <w:rPr>
          <w:rFonts w:ascii="Times New Roman" w:hAnsi="Times New Roman"/>
          <w:color w:val="000000"/>
          <w:spacing w:val="-6"/>
          <w:sz w:val="26"/>
          <w:szCs w:val="26"/>
        </w:rPr>
        <w:t>С</w:t>
      </w:r>
      <w:r w:rsidRPr="00265DE2">
        <w:rPr>
          <w:rFonts w:ascii="Times New Roman" w:hAnsi="Times New Roman"/>
          <w:color w:val="000000"/>
          <w:spacing w:val="-6"/>
          <w:sz w:val="26"/>
          <w:szCs w:val="26"/>
          <w:lang w:val="en-US"/>
        </w:rPr>
        <w:t>. 22.</w:t>
      </w:r>
    </w:p>
  </w:endnote>
  <w:endnote w:id="12">
    <w:p w14:paraId="6B5FBEAA"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color w:val="000000"/>
          <w:sz w:val="26"/>
          <w:szCs w:val="26"/>
        </w:rPr>
        <w:t>. Підсумкови</w:t>
      </w:r>
      <w:r>
        <w:rPr>
          <w:rFonts w:ascii="Times New Roman" w:hAnsi="Times New Roman"/>
          <w:color w:val="000000"/>
          <w:sz w:val="26"/>
          <w:szCs w:val="26"/>
          <w:lang w:val="uk-UA"/>
        </w:rPr>
        <w:t>й</w:t>
      </w:r>
      <w:r>
        <w:rPr>
          <w:rFonts w:ascii="Times New Roman" w:hAnsi="Times New Roman"/>
          <w:color w:val="000000"/>
          <w:sz w:val="26"/>
          <w:szCs w:val="26"/>
        </w:rPr>
        <w:t xml:space="preserve"> документ Саміту</w:t>
      </w:r>
      <w:r>
        <w:rPr>
          <w:rFonts w:ascii="Times New Roman" w:hAnsi="Times New Roman"/>
          <w:color w:val="000000"/>
          <w:sz w:val="26"/>
          <w:szCs w:val="26"/>
          <w:lang w:val="uk-UA"/>
        </w:rPr>
        <w:t xml:space="preserve"> ООН зі сталого розвитку </w:t>
      </w:r>
      <w:r>
        <w:rPr>
          <w:rFonts w:ascii="Times New Roman" w:hAnsi="Times New Roman"/>
          <w:color w:val="000000"/>
          <w:sz w:val="26"/>
          <w:szCs w:val="26"/>
        </w:rPr>
        <w:t xml:space="preserve">«Перетворення нашого світу: порядок денний у сфері сталого розвитку до 2030 року» [Електронний ресурс]. – Режим доступу: </w:t>
      </w:r>
      <w:r>
        <w:rPr>
          <w:rFonts w:ascii="Times New Roman" w:hAnsi="Times New Roman"/>
          <w:sz w:val="26"/>
          <w:szCs w:val="26"/>
        </w:rPr>
        <w:t>https://www.undp.org/uk/ukraine/publications</w:t>
      </w:r>
      <w:r>
        <w:rPr>
          <w:rFonts w:ascii="Times New Roman" w:hAnsi="Times New Roman"/>
          <w:sz w:val="26"/>
          <w:szCs w:val="26"/>
          <w:lang w:val="uk-UA"/>
        </w:rPr>
        <w:t>.</w:t>
      </w:r>
    </w:p>
  </w:endnote>
  <w:endnote w:id="13">
    <w:p w14:paraId="53226B81"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Те ж, с. 18.</w:t>
      </w:r>
    </w:p>
  </w:endnote>
  <w:endnote w:id="14">
    <w:p w14:paraId="6A83157E"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color w:val="000000"/>
          <w:sz w:val="26"/>
          <w:szCs w:val="26"/>
        </w:rPr>
        <w:t>Підсумкови</w:t>
      </w:r>
      <w:r>
        <w:rPr>
          <w:rFonts w:ascii="Times New Roman" w:hAnsi="Times New Roman"/>
          <w:color w:val="000000"/>
          <w:sz w:val="26"/>
          <w:szCs w:val="26"/>
          <w:lang w:val="uk-UA"/>
        </w:rPr>
        <w:t>й</w:t>
      </w:r>
      <w:r>
        <w:rPr>
          <w:rFonts w:ascii="Times New Roman" w:hAnsi="Times New Roman"/>
          <w:color w:val="000000"/>
          <w:sz w:val="26"/>
          <w:szCs w:val="26"/>
        </w:rPr>
        <w:t xml:space="preserve"> документ Саміту</w:t>
      </w:r>
      <w:r>
        <w:rPr>
          <w:rFonts w:ascii="Times New Roman" w:hAnsi="Times New Roman"/>
          <w:color w:val="000000"/>
          <w:sz w:val="26"/>
          <w:szCs w:val="26"/>
          <w:lang w:val="uk-UA"/>
        </w:rPr>
        <w:t xml:space="preserve"> ООН зі сталого розвитку </w:t>
      </w:r>
      <w:r>
        <w:rPr>
          <w:rFonts w:ascii="Times New Roman" w:hAnsi="Times New Roman"/>
          <w:color w:val="000000"/>
          <w:sz w:val="26"/>
          <w:szCs w:val="26"/>
        </w:rPr>
        <w:t xml:space="preserve">«Перетворення нашого світу: порядок денний у сфері сталого розвитку до 2030 року» [Електронний ресурс]. – Режим доступу: </w:t>
      </w:r>
      <w:r>
        <w:rPr>
          <w:rFonts w:ascii="Times New Roman" w:hAnsi="Times New Roman"/>
          <w:sz w:val="26"/>
          <w:szCs w:val="26"/>
        </w:rPr>
        <w:t>https://www.undp.org/uk/ukraine/publications</w:t>
      </w:r>
      <w:r>
        <w:rPr>
          <w:rFonts w:ascii="Times New Roman" w:hAnsi="Times New Roman"/>
          <w:sz w:val="26"/>
          <w:szCs w:val="26"/>
          <w:lang w:val="uk-UA"/>
        </w:rPr>
        <w:t>.</w:t>
      </w:r>
    </w:p>
  </w:endnote>
  <w:endnote w:id="15">
    <w:p w14:paraId="41DC769D"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Те ж, с. 8.</w:t>
      </w:r>
    </w:p>
  </w:endnote>
  <w:endnote w:id="16">
    <w:p w14:paraId="41BF37D5"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Те ж.</w:t>
      </w:r>
    </w:p>
  </w:endnote>
  <w:endnote w:id="17">
    <w:p w14:paraId="5FCDB534"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Підсумкови</w:t>
      </w:r>
      <w:r>
        <w:rPr>
          <w:rFonts w:ascii="Times New Roman" w:hAnsi="Times New Roman"/>
          <w:color w:val="000000"/>
          <w:sz w:val="26"/>
          <w:szCs w:val="26"/>
          <w:lang w:val="uk-UA"/>
        </w:rPr>
        <w:t>й</w:t>
      </w:r>
      <w:r>
        <w:rPr>
          <w:rFonts w:ascii="Times New Roman" w:hAnsi="Times New Roman"/>
          <w:color w:val="000000"/>
          <w:sz w:val="26"/>
          <w:szCs w:val="26"/>
        </w:rPr>
        <w:t xml:space="preserve"> документ Саміту</w:t>
      </w:r>
      <w:r>
        <w:rPr>
          <w:rFonts w:ascii="Times New Roman" w:hAnsi="Times New Roman"/>
          <w:color w:val="000000"/>
          <w:sz w:val="26"/>
          <w:szCs w:val="26"/>
          <w:lang w:val="uk-UA"/>
        </w:rPr>
        <w:t xml:space="preserve"> ООН зі сталого розвитку </w:t>
      </w:r>
      <w:r>
        <w:rPr>
          <w:rFonts w:ascii="Times New Roman" w:hAnsi="Times New Roman"/>
          <w:color w:val="000000"/>
          <w:sz w:val="26"/>
          <w:szCs w:val="26"/>
        </w:rPr>
        <w:t xml:space="preserve">«Перетворення нашого світу: порядок денний у сфері сталого розвитку до 2030 року» [Електронний ресурс]. – Режим доступу: </w:t>
      </w:r>
      <w:r>
        <w:rPr>
          <w:rFonts w:ascii="Times New Roman" w:hAnsi="Times New Roman"/>
          <w:sz w:val="26"/>
          <w:szCs w:val="26"/>
        </w:rPr>
        <w:t>https://www.undp.org/uk/ukraine/publications</w:t>
      </w:r>
      <w:r>
        <w:rPr>
          <w:rFonts w:ascii="Times New Roman" w:hAnsi="Times New Roman"/>
          <w:sz w:val="26"/>
          <w:szCs w:val="26"/>
          <w:lang w:val="uk-UA"/>
        </w:rPr>
        <w:t>.</w:t>
      </w:r>
      <w:r>
        <w:rPr>
          <w:rFonts w:ascii="Times New Roman" w:hAnsi="Times New Roman"/>
          <w:color w:val="000000"/>
          <w:sz w:val="26"/>
          <w:szCs w:val="26"/>
        </w:rPr>
        <w:t>.</w:t>
      </w:r>
    </w:p>
  </w:endnote>
  <w:endnote w:id="18">
    <w:p w14:paraId="71AD6906" w14:textId="77777777" w:rsidR="001125D0" w:rsidRDefault="001125D0" w:rsidP="001125D0">
      <w:pPr>
        <w:pStyle w:val="a4"/>
        <w:spacing w:after="0" w:line="240" w:lineRule="auto"/>
        <w:ind w:firstLine="567"/>
        <w:jc w:val="both"/>
        <w:rPr>
          <w:rFonts w:ascii="Times New Roman" w:hAnsi="Times New Roman"/>
          <w:color w:val="000000"/>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Данилишин Б.М. Україна: проблеми сталого розвитку: наукова доповідь / Б.М. Данилишин, С.І. Дорогунцов, Е.М. Лібанова, В.Я. Шевчук. – К.: РВПС України НАН України, 1997. – 57 с.</w:t>
      </w:r>
    </w:p>
  </w:endnote>
  <w:endnote w:id="19">
    <w:p w14:paraId="24A302EB"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Конвенція про доступ громадськості до інформації, ухвалення рішень і правосуддя з питань, що стосуються охорони навколишнього середовища [Електронний ресурс]. – Режим доступу: http://www.zakon.rada.gov.ua/cgi-bin/laws/main.cgi?nreg=994_015.</w:t>
      </w:r>
    </w:p>
  </w:endnote>
  <w:endnote w:id="20">
    <w:p w14:paraId="1CB3AF0A" w14:textId="77777777" w:rsidR="001125D0" w:rsidRDefault="001125D0" w:rsidP="001125D0">
      <w:pPr>
        <w:pStyle w:val="a4"/>
        <w:spacing w:after="0" w:line="240" w:lineRule="auto"/>
        <w:ind w:firstLine="567"/>
        <w:jc w:val="both"/>
        <w:rPr>
          <w:rFonts w:ascii="Times New Roman" w:hAnsi="Times New Roman"/>
          <w:color w:val="000000"/>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Україна: прогрес на шляху сталого розвитку. – К.: ЗАТ “НІЧСЛАВА”, 2002.</w:t>
      </w:r>
    </w:p>
  </w:endnote>
  <w:endnote w:id="21">
    <w:p w14:paraId="344ED8EB"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Проект Постанови про Концепцію переходу України до сталого розвитку № 5749 від 02.07.2004 р.</w:t>
      </w:r>
      <w:r>
        <w:rPr>
          <w:rFonts w:ascii="Times New Roman" w:hAnsi="Times New Roman"/>
          <w:sz w:val="26"/>
          <w:szCs w:val="26"/>
        </w:rPr>
        <w:t xml:space="preserve"> [Електронний ресурс]. – Режим доступу: http://</w:t>
      </w:r>
      <w:r>
        <w:rPr>
          <w:rFonts w:ascii="Times New Roman" w:hAnsi="Times New Roman"/>
          <w:color w:val="000000"/>
          <w:sz w:val="26"/>
          <w:szCs w:val="26"/>
        </w:rPr>
        <w:t> www.</w:t>
      </w:r>
      <w:r>
        <w:rPr>
          <w:rFonts w:ascii="Times New Roman" w:hAnsi="Times New Roman"/>
          <w:sz w:val="26"/>
          <w:szCs w:val="26"/>
        </w:rPr>
        <w:t>search.ligazakon.ua/l_doc2.nsf/link1/DD4FP00I.html.</w:t>
      </w:r>
    </w:p>
  </w:endnote>
  <w:endnote w:id="22">
    <w:p w14:paraId="4FE47162"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w:t>
      </w:r>
      <w:r>
        <w:rPr>
          <w:rFonts w:ascii="Times New Roman" w:hAnsi="Times New Roman"/>
          <w:color w:val="000000"/>
          <w:sz w:val="26"/>
          <w:szCs w:val="26"/>
        </w:rPr>
        <w:t xml:space="preserve">Електронна енциклопедія [Електронний ресурс]. – Режим доступу: </w:t>
      </w:r>
      <w:r>
        <w:rPr>
          <w:rFonts w:ascii="Times New Roman" w:hAnsi="Times New Roman"/>
          <w:sz w:val="26"/>
          <w:szCs w:val="26"/>
        </w:rPr>
        <w:t>http://</w:t>
      </w:r>
      <w:r>
        <w:rPr>
          <w:rFonts w:ascii="Times New Roman" w:hAnsi="Times New Roman"/>
          <w:color w:val="000000"/>
          <w:sz w:val="26"/>
          <w:szCs w:val="26"/>
        </w:rPr>
        <w:t>www.en.wikipedia.org/wiki.</w:t>
      </w:r>
    </w:p>
  </w:endnote>
  <w:endnote w:id="23">
    <w:p w14:paraId="09DE976B"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color w:val="000000"/>
          <w:sz w:val="26"/>
          <w:szCs w:val="26"/>
        </w:rPr>
        <w:t> Офіційний сайт Держкомстату України [Електронний ресурс]. – Режим доступу: http://www.ukrstat.gov.ua.</w:t>
      </w:r>
    </w:p>
  </w:endnote>
  <w:endnote w:id="24">
    <w:p w14:paraId="3B639D0B"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color w:val="000000"/>
          <w:sz w:val="26"/>
          <w:szCs w:val="26"/>
        </w:rPr>
        <w:t xml:space="preserve"> Електронна енциклопедія [Електронний ресурс]. – Режим доступу: </w:t>
      </w:r>
      <w:r>
        <w:rPr>
          <w:rFonts w:ascii="Times New Roman" w:hAnsi="Times New Roman"/>
          <w:sz w:val="26"/>
          <w:szCs w:val="26"/>
        </w:rPr>
        <w:t>http://</w:t>
      </w:r>
      <w:r>
        <w:rPr>
          <w:rFonts w:ascii="Times New Roman" w:hAnsi="Times New Roman"/>
          <w:color w:val="000000"/>
          <w:sz w:val="26"/>
          <w:szCs w:val="26"/>
        </w:rPr>
        <w:t>www.en.wikipedia.org/wiki.</w:t>
      </w:r>
    </w:p>
  </w:endnote>
  <w:endnote w:id="25">
    <w:p w14:paraId="778C792C"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xml:space="preserve"> </w:t>
      </w:r>
      <w:r>
        <w:rPr>
          <w:rFonts w:ascii="Times New Roman" w:hAnsi="Times New Roman"/>
          <w:color w:val="000000"/>
          <w:sz w:val="26"/>
          <w:szCs w:val="26"/>
        </w:rPr>
        <w:t>Іщенко Г. Якісну воду – у держрезерв / Г. Іщенко // Урядовий кур’єр. – 2009. – № 205. – С. 4.</w:t>
      </w:r>
    </w:p>
  </w:endnote>
  <w:endnote w:id="26">
    <w:p w14:paraId="63118671"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w:t>
      </w:r>
      <w:r>
        <w:rPr>
          <w:rFonts w:ascii="Times New Roman" w:hAnsi="Times New Roman"/>
          <w:color w:val="000000"/>
          <w:sz w:val="26"/>
          <w:szCs w:val="26"/>
        </w:rPr>
        <w:t>Офіційний сайт Держкомстату України [Електронний ресурс]. – Режим доступу: http://www.ukrstat.gov.ua.</w:t>
      </w:r>
    </w:p>
  </w:endnote>
  <w:endnote w:id="27">
    <w:p w14:paraId="325F87D3" w14:textId="77777777" w:rsidR="001125D0" w:rsidRDefault="001125D0" w:rsidP="001125D0">
      <w:pPr>
        <w:pStyle w:val="a4"/>
        <w:spacing w:after="0" w:line="240" w:lineRule="auto"/>
        <w:ind w:firstLine="567"/>
        <w:jc w:val="both"/>
        <w:rPr>
          <w:rFonts w:ascii="Times New Roman" w:hAnsi="Times New Roman"/>
          <w:sz w:val="26"/>
          <w:szCs w:val="26"/>
        </w:rPr>
      </w:pPr>
      <w:r>
        <w:rPr>
          <w:rStyle w:val="a6"/>
          <w:sz w:val="26"/>
          <w:szCs w:val="26"/>
        </w:rPr>
        <w:endnoteRef/>
      </w:r>
      <w:r>
        <w:rPr>
          <w:rFonts w:ascii="Times New Roman" w:hAnsi="Times New Roman"/>
          <w:sz w:val="26"/>
          <w:szCs w:val="26"/>
        </w:rPr>
        <w:t> </w:t>
      </w:r>
      <w:r>
        <w:rPr>
          <w:rFonts w:ascii="Times New Roman" w:hAnsi="Times New Roman"/>
          <w:color w:val="000000"/>
          <w:sz w:val="26"/>
          <w:szCs w:val="26"/>
        </w:rPr>
        <w:t>Пов</w:t>
      </w:r>
      <w:r>
        <w:rPr>
          <w:rFonts w:ascii="Times New Roman" w:hAnsi="Times New Roman"/>
          <w:color w:val="000000"/>
          <w:sz w:val="26"/>
          <w:szCs w:val="26"/>
          <w:lang w:val="uk-UA"/>
        </w:rPr>
        <w:t>і</w:t>
      </w:r>
      <w:r>
        <w:rPr>
          <w:rFonts w:ascii="Times New Roman" w:hAnsi="Times New Roman"/>
          <w:color w:val="000000"/>
          <w:sz w:val="26"/>
          <w:szCs w:val="26"/>
        </w:rPr>
        <w:t>стка дн</w:t>
      </w:r>
      <w:r>
        <w:rPr>
          <w:rFonts w:ascii="Times New Roman" w:hAnsi="Times New Roman"/>
          <w:color w:val="000000"/>
          <w:sz w:val="26"/>
          <w:szCs w:val="26"/>
          <w:lang w:val="uk-UA"/>
        </w:rPr>
        <w:t>я</w:t>
      </w:r>
      <w:r>
        <w:rPr>
          <w:rFonts w:ascii="Times New Roman" w:hAnsi="Times New Roman"/>
          <w:color w:val="000000"/>
          <w:sz w:val="26"/>
          <w:szCs w:val="26"/>
        </w:rPr>
        <w:t xml:space="preserve"> на ХХІ век [Електронний ресурс]. – Режим доступу: </w:t>
      </w:r>
      <w:r>
        <w:rPr>
          <w:rFonts w:ascii="Times New Roman" w:hAnsi="Times New Roman"/>
          <w:sz w:val="26"/>
          <w:szCs w:val="26"/>
        </w:rPr>
        <w:t>http://</w:t>
      </w:r>
      <w:r>
        <w:rPr>
          <w:rFonts w:ascii="Times New Roman" w:hAnsi="Times New Roman"/>
          <w:color w:val="000000"/>
          <w:sz w:val="26"/>
          <w:szCs w:val="26"/>
        </w:rPr>
        <w:t>www.Agenda21.htm.</w:t>
      </w:r>
    </w:p>
  </w:endnote>
  <w:endnote w:id="28">
    <w:p w14:paraId="15EA7D46" w14:textId="77777777" w:rsidR="001125D0" w:rsidRPr="00265DE2" w:rsidRDefault="001125D0" w:rsidP="001125D0">
      <w:pPr>
        <w:pStyle w:val="a4"/>
        <w:spacing w:after="0" w:line="240" w:lineRule="auto"/>
        <w:ind w:firstLine="567"/>
        <w:jc w:val="both"/>
        <w:rPr>
          <w:rFonts w:ascii="Times New Roman" w:hAnsi="Times New Roman"/>
          <w:sz w:val="26"/>
          <w:szCs w:val="26"/>
          <w:lang w:val="pl-PL"/>
        </w:rPr>
      </w:pPr>
      <w:r>
        <w:rPr>
          <w:rStyle w:val="a6"/>
          <w:sz w:val="26"/>
          <w:szCs w:val="26"/>
        </w:rPr>
        <w:endnoteRef/>
      </w:r>
      <w:r>
        <w:rPr>
          <w:rFonts w:ascii="Times New Roman" w:hAnsi="Times New Roman"/>
          <w:sz w:val="26"/>
          <w:szCs w:val="26"/>
          <w:lang w:val="pl-PL"/>
        </w:rPr>
        <w:t xml:space="preserve"> </w:t>
      </w:r>
      <w:r w:rsidRPr="00265DE2">
        <w:rPr>
          <w:rFonts w:ascii="Times New Roman" w:hAnsi="Times New Roman"/>
          <w:color w:val="000000"/>
          <w:sz w:val="26"/>
          <w:szCs w:val="26"/>
          <w:lang w:val="pl-PL"/>
        </w:rPr>
        <w:t xml:space="preserve">Stępień M. Ekologiczne ukierunkowanie rachunkowości w krajach Europy zachodniej / M. Stępień // Zeszyty naukowe akademii ekonomicznej w Krakowie. – 1998. – № 516. – S. 35-51, </w:t>
      </w:r>
      <w:r>
        <w:rPr>
          <w:rFonts w:ascii="Times New Roman" w:hAnsi="Times New Roman"/>
          <w:color w:val="000000"/>
          <w:sz w:val="26"/>
          <w:szCs w:val="26"/>
        </w:rPr>
        <w:t>с</w:t>
      </w:r>
      <w:r w:rsidRPr="00265DE2">
        <w:rPr>
          <w:rFonts w:ascii="Times New Roman" w:hAnsi="Times New Roman"/>
          <w:color w:val="000000"/>
          <w:sz w:val="26"/>
          <w:szCs w:val="26"/>
          <w:lang w:val="pl-PL"/>
        </w:rPr>
        <w:t>. 37.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E312" w14:textId="77777777" w:rsidR="007C2A21" w:rsidRDefault="007C2A21" w:rsidP="001125D0">
      <w:pPr>
        <w:spacing w:after="0" w:line="240" w:lineRule="auto"/>
      </w:pPr>
      <w:r>
        <w:separator/>
      </w:r>
    </w:p>
  </w:footnote>
  <w:footnote w:type="continuationSeparator" w:id="0">
    <w:p w14:paraId="2547A6D9" w14:textId="77777777" w:rsidR="007C2A21" w:rsidRDefault="007C2A21" w:rsidP="00112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239"/>
    <w:multiLevelType w:val="hybridMultilevel"/>
    <w:tmpl w:val="9E2221F2"/>
    <w:lvl w:ilvl="0" w:tplc="B17A460A">
      <w:start w:val="1"/>
      <w:numFmt w:val="bullet"/>
      <w:lvlText w:val=""/>
      <w:lvlJc w:val="left"/>
      <w:pPr>
        <w:tabs>
          <w:tab w:val="num" w:pos="720"/>
        </w:tabs>
        <w:ind w:left="720" w:hanging="360"/>
      </w:pPr>
      <w:rPr>
        <w:rFonts w:ascii="Wingdings" w:hAnsi="Wingdings" w:hint="default"/>
      </w:rPr>
    </w:lvl>
    <w:lvl w:ilvl="1" w:tplc="48AC7D9A">
      <w:start w:val="1"/>
      <w:numFmt w:val="bullet"/>
      <w:lvlText w:val=""/>
      <w:lvlJc w:val="left"/>
      <w:pPr>
        <w:tabs>
          <w:tab w:val="num" w:pos="1440"/>
        </w:tabs>
        <w:ind w:left="1440" w:hanging="360"/>
      </w:pPr>
      <w:rPr>
        <w:rFonts w:ascii="Wingdings" w:hAnsi="Wingdings" w:hint="default"/>
      </w:rPr>
    </w:lvl>
    <w:lvl w:ilvl="2" w:tplc="07C8D3EA">
      <w:start w:val="1"/>
      <w:numFmt w:val="bullet"/>
      <w:lvlText w:val=""/>
      <w:lvlJc w:val="left"/>
      <w:pPr>
        <w:tabs>
          <w:tab w:val="num" w:pos="2160"/>
        </w:tabs>
        <w:ind w:left="2160" w:hanging="360"/>
      </w:pPr>
      <w:rPr>
        <w:rFonts w:ascii="Wingdings" w:hAnsi="Wingdings" w:hint="default"/>
      </w:rPr>
    </w:lvl>
    <w:lvl w:ilvl="3" w:tplc="6B18D78A">
      <w:start w:val="1"/>
      <w:numFmt w:val="bullet"/>
      <w:lvlText w:val=""/>
      <w:lvlJc w:val="left"/>
      <w:pPr>
        <w:tabs>
          <w:tab w:val="num" w:pos="2880"/>
        </w:tabs>
        <w:ind w:left="2880" w:hanging="360"/>
      </w:pPr>
      <w:rPr>
        <w:rFonts w:ascii="Wingdings" w:hAnsi="Wingdings" w:hint="default"/>
      </w:rPr>
    </w:lvl>
    <w:lvl w:ilvl="4" w:tplc="81BED7D6">
      <w:start w:val="1"/>
      <w:numFmt w:val="bullet"/>
      <w:lvlText w:val=""/>
      <w:lvlJc w:val="left"/>
      <w:pPr>
        <w:tabs>
          <w:tab w:val="num" w:pos="3600"/>
        </w:tabs>
        <w:ind w:left="3600" w:hanging="360"/>
      </w:pPr>
      <w:rPr>
        <w:rFonts w:ascii="Wingdings" w:hAnsi="Wingdings" w:hint="default"/>
      </w:rPr>
    </w:lvl>
    <w:lvl w:ilvl="5" w:tplc="CEDEB568">
      <w:start w:val="1"/>
      <w:numFmt w:val="bullet"/>
      <w:lvlText w:val=""/>
      <w:lvlJc w:val="left"/>
      <w:pPr>
        <w:tabs>
          <w:tab w:val="num" w:pos="4320"/>
        </w:tabs>
        <w:ind w:left="4320" w:hanging="360"/>
      </w:pPr>
      <w:rPr>
        <w:rFonts w:ascii="Wingdings" w:hAnsi="Wingdings" w:hint="default"/>
      </w:rPr>
    </w:lvl>
    <w:lvl w:ilvl="6" w:tplc="F73AEEA4">
      <w:start w:val="1"/>
      <w:numFmt w:val="bullet"/>
      <w:lvlText w:val=""/>
      <w:lvlJc w:val="left"/>
      <w:pPr>
        <w:tabs>
          <w:tab w:val="num" w:pos="5040"/>
        </w:tabs>
        <w:ind w:left="5040" w:hanging="360"/>
      </w:pPr>
      <w:rPr>
        <w:rFonts w:ascii="Wingdings" w:hAnsi="Wingdings" w:hint="default"/>
      </w:rPr>
    </w:lvl>
    <w:lvl w:ilvl="7" w:tplc="C7689E7C">
      <w:start w:val="1"/>
      <w:numFmt w:val="bullet"/>
      <w:lvlText w:val=""/>
      <w:lvlJc w:val="left"/>
      <w:pPr>
        <w:tabs>
          <w:tab w:val="num" w:pos="5760"/>
        </w:tabs>
        <w:ind w:left="5760" w:hanging="360"/>
      </w:pPr>
      <w:rPr>
        <w:rFonts w:ascii="Wingdings" w:hAnsi="Wingdings" w:hint="default"/>
      </w:rPr>
    </w:lvl>
    <w:lvl w:ilvl="8" w:tplc="AB961CE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C1F74"/>
    <w:multiLevelType w:val="hybridMultilevel"/>
    <w:tmpl w:val="ADF621A0"/>
    <w:lvl w:ilvl="0" w:tplc="5A2234A8">
      <w:start w:val="1"/>
      <w:numFmt w:val="bullet"/>
      <w:lvlText w:val=""/>
      <w:lvlJc w:val="left"/>
      <w:pPr>
        <w:tabs>
          <w:tab w:val="num" w:pos="720"/>
        </w:tabs>
        <w:ind w:left="720" w:hanging="360"/>
      </w:pPr>
      <w:rPr>
        <w:rFonts w:ascii="Wingdings" w:hAnsi="Wingdings" w:hint="default"/>
      </w:rPr>
    </w:lvl>
    <w:lvl w:ilvl="1" w:tplc="83EC5C4A">
      <w:start w:val="1"/>
      <w:numFmt w:val="bullet"/>
      <w:lvlText w:val=""/>
      <w:lvlJc w:val="left"/>
      <w:pPr>
        <w:tabs>
          <w:tab w:val="num" w:pos="1440"/>
        </w:tabs>
        <w:ind w:left="1440" w:hanging="360"/>
      </w:pPr>
      <w:rPr>
        <w:rFonts w:ascii="Wingdings" w:hAnsi="Wingdings" w:hint="default"/>
      </w:rPr>
    </w:lvl>
    <w:lvl w:ilvl="2" w:tplc="EB4A0692">
      <w:start w:val="1"/>
      <w:numFmt w:val="bullet"/>
      <w:lvlText w:val=""/>
      <w:lvlJc w:val="left"/>
      <w:pPr>
        <w:tabs>
          <w:tab w:val="num" w:pos="2160"/>
        </w:tabs>
        <w:ind w:left="2160" w:hanging="360"/>
      </w:pPr>
      <w:rPr>
        <w:rFonts w:ascii="Wingdings" w:hAnsi="Wingdings" w:hint="default"/>
      </w:rPr>
    </w:lvl>
    <w:lvl w:ilvl="3" w:tplc="7FEAD39C">
      <w:start w:val="1"/>
      <w:numFmt w:val="bullet"/>
      <w:lvlText w:val=""/>
      <w:lvlJc w:val="left"/>
      <w:pPr>
        <w:tabs>
          <w:tab w:val="num" w:pos="2880"/>
        </w:tabs>
        <w:ind w:left="2880" w:hanging="360"/>
      </w:pPr>
      <w:rPr>
        <w:rFonts w:ascii="Wingdings" w:hAnsi="Wingdings" w:hint="default"/>
      </w:rPr>
    </w:lvl>
    <w:lvl w:ilvl="4" w:tplc="90603F92">
      <w:start w:val="1"/>
      <w:numFmt w:val="bullet"/>
      <w:lvlText w:val=""/>
      <w:lvlJc w:val="left"/>
      <w:pPr>
        <w:tabs>
          <w:tab w:val="num" w:pos="3600"/>
        </w:tabs>
        <w:ind w:left="3600" w:hanging="360"/>
      </w:pPr>
      <w:rPr>
        <w:rFonts w:ascii="Wingdings" w:hAnsi="Wingdings" w:hint="default"/>
      </w:rPr>
    </w:lvl>
    <w:lvl w:ilvl="5" w:tplc="27820EFA">
      <w:start w:val="1"/>
      <w:numFmt w:val="bullet"/>
      <w:lvlText w:val=""/>
      <w:lvlJc w:val="left"/>
      <w:pPr>
        <w:tabs>
          <w:tab w:val="num" w:pos="4320"/>
        </w:tabs>
        <w:ind w:left="4320" w:hanging="360"/>
      </w:pPr>
      <w:rPr>
        <w:rFonts w:ascii="Wingdings" w:hAnsi="Wingdings" w:hint="default"/>
      </w:rPr>
    </w:lvl>
    <w:lvl w:ilvl="6" w:tplc="D59C5CA2">
      <w:start w:val="1"/>
      <w:numFmt w:val="bullet"/>
      <w:lvlText w:val=""/>
      <w:lvlJc w:val="left"/>
      <w:pPr>
        <w:tabs>
          <w:tab w:val="num" w:pos="5040"/>
        </w:tabs>
        <w:ind w:left="5040" w:hanging="360"/>
      </w:pPr>
      <w:rPr>
        <w:rFonts w:ascii="Wingdings" w:hAnsi="Wingdings" w:hint="default"/>
      </w:rPr>
    </w:lvl>
    <w:lvl w:ilvl="7" w:tplc="4044D0F4">
      <w:start w:val="1"/>
      <w:numFmt w:val="bullet"/>
      <w:lvlText w:val=""/>
      <w:lvlJc w:val="left"/>
      <w:pPr>
        <w:tabs>
          <w:tab w:val="num" w:pos="5760"/>
        </w:tabs>
        <w:ind w:left="5760" w:hanging="360"/>
      </w:pPr>
      <w:rPr>
        <w:rFonts w:ascii="Wingdings" w:hAnsi="Wingdings" w:hint="default"/>
      </w:rPr>
    </w:lvl>
    <w:lvl w:ilvl="8" w:tplc="9EEE893E">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05EC2"/>
    <w:multiLevelType w:val="hybridMultilevel"/>
    <w:tmpl w:val="F18C3C2C"/>
    <w:lvl w:ilvl="0" w:tplc="CC961172">
      <w:start w:val="1"/>
      <w:numFmt w:val="bullet"/>
      <w:lvlText w:val=""/>
      <w:lvlJc w:val="left"/>
      <w:pPr>
        <w:tabs>
          <w:tab w:val="num" w:pos="720"/>
        </w:tabs>
        <w:ind w:left="720" w:hanging="360"/>
      </w:pPr>
      <w:rPr>
        <w:rFonts w:ascii="Wingdings" w:hAnsi="Wingdings" w:hint="default"/>
      </w:rPr>
    </w:lvl>
    <w:lvl w:ilvl="1" w:tplc="8A2E6E32">
      <w:start w:val="1"/>
      <w:numFmt w:val="bullet"/>
      <w:lvlText w:val=""/>
      <w:lvlJc w:val="left"/>
      <w:pPr>
        <w:tabs>
          <w:tab w:val="num" w:pos="1440"/>
        </w:tabs>
        <w:ind w:left="1440" w:hanging="360"/>
      </w:pPr>
      <w:rPr>
        <w:rFonts w:ascii="Wingdings" w:hAnsi="Wingdings" w:hint="default"/>
      </w:rPr>
    </w:lvl>
    <w:lvl w:ilvl="2" w:tplc="E5D4A946">
      <w:start w:val="1"/>
      <w:numFmt w:val="bullet"/>
      <w:lvlText w:val=""/>
      <w:lvlJc w:val="left"/>
      <w:pPr>
        <w:tabs>
          <w:tab w:val="num" w:pos="2160"/>
        </w:tabs>
        <w:ind w:left="2160" w:hanging="360"/>
      </w:pPr>
      <w:rPr>
        <w:rFonts w:ascii="Wingdings" w:hAnsi="Wingdings" w:hint="default"/>
      </w:rPr>
    </w:lvl>
    <w:lvl w:ilvl="3" w:tplc="7CF42218">
      <w:start w:val="1"/>
      <w:numFmt w:val="bullet"/>
      <w:lvlText w:val=""/>
      <w:lvlJc w:val="left"/>
      <w:pPr>
        <w:tabs>
          <w:tab w:val="num" w:pos="2880"/>
        </w:tabs>
        <w:ind w:left="2880" w:hanging="360"/>
      </w:pPr>
      <w:rPr>
        <w:rFonts w:ascii="Wingdings" w:hAnsi="Wingdings" w:hint="default"/>
      </w:rPr>
    </w:lvl>
    <w:lvl w:ilvl="4" w:tplc="6CA2F4A0">
      <w:start w:val="1"/>
      <w:numFmt w:val="bullet"/>
      <w:lvlText w:val=""/>
      <w:lvlJc w:val="left"/>
      <w:pPr>
        <w:tabs>
          <w:tab w:val="num" w:pos="3600"/>
        </w:tabs>
        <w:ind w:left="3600" w:hanging="360"/>
      </w:pPr>
      <w:rPr>
        <w:rFonts w:ascii="Wingdings" w:hAnsi="Wingdings" w:hint="default"/>
      </w:rPr>
    </w:lvl>
    <w:lvl w:ilvl="5" w:tplc="3E2EC37E">
      <w:start w:val="1"/>
      <w:numFmt w:val="bullet"/>
      <w:lvlText w:val=""/>
      <w:lvlJc w:val="left"/>
      <w:pPr>
        <w:tabs>
          <w:tab w:val="num" w:pos="4320"/>
        </w:tabs>
        <w:ind w:left="4320" w:hanging="360"/>
      </w:pPr>
      <w:rPr>
        <w:rFonts w:ascii="Wingdings" w:hAnsi="Wingdings" w:hint="default"/>
      </w:rPr>
    </w:lvl>
    <w:lvl w:ilvl="6" w:tplc="5916FFC6">
      <w:start w:val="1"/>
      <w:numFmt w:val="bullet"/>
      <w:lvlText w:val=""/>
      <w:lvlJc w:val="left"/>
      <w:pPr>
        <w:tabs>
          <w:tab w:val="num" w:pos="5040"/>
        </w:tabs>
        <w:ind w:left="5040" w:hanging="360"/>
      </w:pPr>
      <w:rPr>
        <w:rFonts w:ascii="Wingdings" w:hAnsi="Wingdings" w:hint="default"/>
      </w:rPr>
    </w:lvl>
    <w:lvl w:ilvl="7" w:tplc="F1AE55BE">
      <w:start w:val="1"/>
      <w:numFmt w:val="bullet"/>
      <w:lvlText w:val=""/>
      <w:lvlJc w:val="left"/>
      <w:pPr>
        <w:tabs>
          <w:tab w:val="num" w:pos="5760"/>
        </w:tabs>
        <w:ind w:left="5760" w:hanging="360"/>
      </w:pPr>
      <w:rPr>
        <w:rFonts w:ascii="Wingdings" w:hAnsi="Wingdings" w:hint="default"/>
      </w:rPr>
    </w:lvl>
    <w:lvl w:ilvl="8" w:tplc="C6287DC6">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232D8"/>
    <w:multiLevelType w:val="hybridMultilevel"/>
    <w:tmpl w:val="AC3AE03A"/>
    <w:lvl w:ilvl="0" w:tplc="90B0257C">
      <w:start w:val="1"/>
      <w:numFmt w:val="bullet"/>
      <w:lvlText w:val="•"/>
      <w:lvlJc w:val="left"/>
      <w:pPr>
        <w:tabs>
          <w:tab w:val="num" w:pos="720"/>
        </w:tabs>
        <w:ind w:left="720" w:hanging="360"/>
      </w:pPr>
      <w:rPr>
        <w:rFonts w:ascii="Arial" w:hAnsi="Arial" w:cs="Times New Roman" w:hint="default"/>
      </w:rPr>
    </w:lvl>
    <w:lvl w:ilvl="1" w:tplc="67DE4B1E">
      <w:start w:val="1"/>
      <w:numFmt w:val="bullet"/>
      <w:lvlText w:val="•"/>
      <w:lvlJc w:val="left"/>
      <w:pPr>
        <w:tabs>
          <w:tab w:val="num" w:pos="1440"/>
        </w:tabs>
        <w:ind w:left="1440" w:hanging="360"/>
      </w:pPr>
      <w:rPr>
        <w:rFonts w:ascii="Arial" w:hAnsi="Arial" w:cs="Times New Roman" w:hint="default"/>
      </w:rPr>
    </w:lvl>
    <w:lvl w:ilvl="2" w:tplc="306E58DA">
      <w:start w:val="1"/>
      <w:numFmt w:val="bullet"/>
      <w:lvlText w:val="•"/>
      <w:lvlJc w:val="left"/>
      <w:pPr>
        <w:tabs>
          <w:tab w:val="num" w:pos="2160"/>
        </w:tabs>
        <w:ind w:left="2160" w:hanging="360"/>
      </w:pPr>
      <w:rPr>
        <w:rFonts w:ascii="Arial" w:hAnsi="Arial" w:cs="Times New Roman" w:hint="default"/>
      </w:rPr>
    </w:lvl>
    <w:lvl w:ilvl="3" w:tplc="0D946C00">
      <w:start w:val="1"/>
      <w:numFmt w:val="bullet"/>
      <w:lvlText w:val="•"/>
      <w:lvlJc w:val="left"/>
      <w:pPr>
        <w:tabs>
          <w:tab w:val="num" w:pos="2880"/>
        </w:tabs>
        <w:ind w:left="2880" w:hanging="360"/>
      </w:pPr>
      <w:rPr>
        <w:rFonts w:ascii="Arial" w:hAnsi="Arial" w:cs="Times New Roman" w:hint="default"/>
      </w:rPr>
    </w:lvl>
    <w:lvl w:ilvl="4" w:tplc="C6424A4A">
      <w:start w:val="1"/>
      <w:numFmt w:val="bullet"/>
      <w:lvlText w:val="•"/>
      <w:lvlJc w:val="left"/>
      <w:pPr>
        <w:tabs>
          <w:tab w:val="num" w:pos="3600"/>
        </w:tabs>
        <w:ind w:left="3600" w:hanging="360"/>
      </w:pPr>
      <w:rPr>
        <w:rFonts w:ascii="Arial" w:hAnsi="Arial" w:cs="Times New Roman" w:hint="default"/>
      </w:rPr>
    </w:lvl>
    <w:lvl w:ilvl="5" w:tplc="8196FC64">
      <w:start w:val="1"/>
      <w:numFmt w:val="bullet"/>
      <w:lvlText w:val="•"/>
      <w:lvlJc w:val="left"/>
      <w:pPr>
        <w:tabs>
          <w:tab w:val="num" w:pos="4320"/>
        </w:tabs>
        <w:ind w:left="4320" w:hanging="360"/>
      </w:pPr>
      <w:rPr>
        <w:rFonts w:ascii="Arial" w:hAnsi="Arial" w:cs="Times New Roman" w:hint="default"/>
      </w:rPr>
    </w:lvl>
    <w:lvl w:ilvl="6" w:tplc="21ECBBBA">
      <w:start w:val="1"/>
      <w:numFmt w:val="bullet"/>
      <w:lvlText w:val="•"/>
      <w:lvlJc w:val="left"/>
      <w:pPr>
        <w:tabs>
          <w:tab w:val="num" w:pos="5040"/>
        </w:tabs>
        <w:ind w:left="5040" w:hanging="360"/>
      </w:pPr>
      <w:rPr>
        <w:rFonts w:ascii="Arial" w:hAnsi="Arial" w:cs="Times New Roman" w:hint="default"/>
      </w:rPr>
    </w:lvl>
    <w:lvl w:ilvl="7" w:tplc="4F4810DC">
      <w:start w:val="1"/>
      <w:numFmt w:val="bullet"/>
      <w:lvlText w:val="•"/>
      <w:lvlJc w:val="left"/>
      <w:pPr>
        <w:tabs>
          <w:tab w:val="num" w:pos="5760"/>
        </w:tabs>
        <w:ind w:left="5760" w:hanging="360"/>
      </w:pPr>
      <w:rPr>
        <w:rFonts w:ascii="Arial" w:hAnsi="Arial" w:cs="Times New Roman" w:hint="default"/>
      </w:rPr>
    </w:lvl>
    <w:lvl w:ilvl="8" w:tplc="414C6C6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4F52B5B"/>
    <w:multiLevelType w:val="hybridMultilevel"/>
    <w:tmpl w:val="0C1264CA"/>
    <w:lvl w:ilvl="0" w:tplc="09ECDEC8">
      <w:start w:val="1"/>
      <w:numFmt w:val="bullet"/>
      <w:lvlText w:val=""/>
      <w:lvlJc w:val="left"/>
      <w:pPr>
        <w:tabs>
          <w:tab w:val="num" w:pos="720"/>
        </w:tabs>
        <w:ind w:left="720" w:hanging="360"/>
      </w:pPr>
      <w:rPr>
        <w:rFonts w:ascii="Wingdings" w:hAnsi="Wingdings" w:hint="default"/>
      </w:rPr>
    </w:lvl>
    <w:lvl w:ilvl="1" w:tplc="1A8001AE">
      <w:start w:val="1"/>
      <w:numFmt w:val="bullet"/>
      <w:lvlText w:val=""/>
      <w:lvlJc w:val="left"/>
      <w:pPr>
        <w:tabs>
          <w:tab w:val="num" w:pos="1440"/>
        </w:tabs>
        <w:ind w:left="1440" w:hanging="360"/>
      </w:pPr>
      <w:rPr>
        <w:rFonts w:ascii="Wingdings" w:hAnsi="Wingdings" w:hint="default"/>
      </w:rPr>
    </w:lvl>
    <w:lvl w:ilvl="2" w:tplc="BE0690D8">
      <w:start w:val="1"/>
      <w:numFmt w:val="bullet"/>
      <w:lvlText w:val=""/>
      <w:lvlJc w:val="left"/>
      <w:pPr>
        <w:tabs>
          <w:tab w:val="num" w:pos="2160"/>
        </w:tabs>
        <w:ind w:left="2160" w:hanging="360"/>
      </w:pPr>
      <w:rPr>
        <w:rFonts w:ascii="Wingdings" w:hAnsi="Wingdings" w:hint="default"/>
      </w:rPr>
    </w:lvl>
    <w:lvl w:ilvl="3" w:tplc="26260DE0">
      <w:start w:val="1"/>
      <w:numFmt w:val="bullet"/>
      <w:lvlText w:val=""/>
      <w:lvlJc w:val="left"/>
      <w:pPr>
        <w:tabs>
          <w:tab w:val="num" w:pos="2880"/>
        </w:tabs>
        <w:ind w:left="2880" w:hanging="360"/>
      </w:pPr>
      <w:rPr>
        <w:rFonts w:ascii="Wingdings" w:hAnsi="Wingdings" w:hint="default"/>
      </w:rPr>
    </w:lvl>
    <w:lvl w:ilvl="4" w:tplc="9D92502C">
      <w:start w:val="1"/>
      <w:numFmt w:val="bullet"/>
      <w:lvlText w:val=""/>
      <w:lvlJc w:val="left"/>
      <w:pPr>
        <w:tabs>
          <w:tab w:val="num" w:pos="3600"/>
        </w:tabs>
        <w:ind w:left="3600" w:hanging="360"/>
      </w:pPr>
      <w:rPr>
        <w:rFonts w:ascii="Wingdings" w:hAnsi="Wingdings" w:hint="default"/>
      </w:rPr>
    </w:lvl>
    <w:lvl w:ilvl="5" w:tplc="FEBE6EA4">
      <w:start w:val="1"/>
      <w:numFmt w:val="bullet"/>
      <w:lvlText w:val=""/>
      <w:lvlJc w:val="left"/>
      <w:pPr>
        <w:tabs>
          <w:tab w:val="num" w:pos="4320"/>
        </w:tabs>
        <w:ind w:left="4320" w:hanging="360"/>
      </w:pPr>
      <w:rPr>
        <w:rFonts w:ascii="Wingdings" w:hAnsi="Wingdings" w:hint="default"/>
      </w:rPr>
    </w:lvl>
    <w:lvl w:ilvl="6" w:tplc="E3A4B768">
      <w:start w:val="1"/>
      <w:numFmt w:val="bullet"/>
      <w:lvlText w:val=""/>
      <w:lvlJc w:val="left"/>
      <w:pPr>
        <w:tabs>
          <w:tab w:val="num" w:pos="5040"/>
        </w:tabs>
        <w:ind w:left="5040" w:hanging="360"/>
      </w:pPr>
      <w:rPr>
        <w:rFonts w:ascii="Wingdings" w:hAnsi="Wingdings" w:hint="default"/>
      </w:rPr>
    </w:lvl>
    <w:lvl w:ilvl="7" w:tplc="A1D4D75E">
      <w:start w:val="1"/>
      <w:numFmt w:val="bullet"/>
      <w:lvlText w:val=""/>
      <w:lvlJc w:val="left"/>
      <w:pPr>
        <w:tabs>
          <w:tab w:val="num" w:pos="5760"/>
        </w:tabs>
        <w:ind w:left="5760" w:hanging="360"/>
      </w:pPr>
      <w:rPr>
        <w:rFonts w:ascii="Wingdings" w:hAnsi="Wingdings" w:hint="default"/>
      </w:rPr>
    </w:lvl>
    <w:lvl w:ilvl="8" w:tplc="E67CCF5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AD61A0"/>
    <w:multiLevelType w:val="hybridMultilevel"/>
    <w:tmpl w:val="F2065F12"/>
    <w:lvl w:ilvl="0" w:tplc="A6B614DA">
      <w:start w:val="1"/>
      <w:numFmt w:val="bullet"/>
      <w:lvlText w:val=""/>
      <w:lvlJc w:val="left"/>
      <w:pPr>
        <w:tabs>
          <w:tab w:val="num" w:pos="720"/>
        </w:tabs>
        <w:ind w:left="720" w:hanging="360"/>
      </w:pPr>
      <w:rPr>
        <w:rFonts w:ascii="Wingdings" w:hAnsi="Wingdings" w:hint="default"/>
      </w:rPr>
    </w:lvl>
    <w:lvl w:ilvl="1" w:tplc="335CD254">
      <w:start w:val="1"/>
      <w:numFmt w:val="bullet"/>
      <w:lvlText w:val=""/>
      <w:lvlJc w:val="left"/>
      <w:pPr>
        <w:tabs>
          <w:tab w:val="num" w:pos="1440"/>
        </w:tabs>
        <w:ind w:left="1440" w:hanging="360"/>
      </w:pPr>
      <w:rPr>
        <w:rFonts w:ascii="Wingdings" w:hAnsi="Wingdings" w:hint="default"/>
      </w:rPr>
    </w:lvl>
    <w:lvl w:ilvl="2" w:tplc="7F682C1A">
      <w:start w:val="1"/>
      <w:numFmt w:val="bullet"/>
      <w:lvlText w:val=""/>
      <w:lvlJc w:val="left"/>
      <w:pPr>
        <w:tabs>
          <w:tab w:val="num" w:pos="2160"/>
        </w:tabs>
        <w:ind w:left="2160" w:hanging="360"/>
      </w:pPr>
      <w:rPr>
        <w:rFonts w:ascii="Wingdings" w:hAnsi="Wingdings" w:hint="default"/>
      </w:rPr>
    </w:lvl>
    <w:lvl w:ilvl="3" w:tplc="3AE00332">
      <w:start w:val="1"/>
      <w:numFmt w:val="bullet"/>
      <w:lvlText w:val=""/>
      <w:lvlJc w:val="left"/>
      <w:pPr>
        <w:tabs>
          <w:tab w:val="num" w:pos="2880"/>
        </w:tabs>
        <w:ind w:left="2880" w:hanging="360"/>
      </w:pPr>
      <w:rPr>
        <w:rFonts w:ascii="Wingdings" w:hAnsi="Wingdings" w:hint="default"/>
      </w:rPr>
    </w:lvl>
    <w:lvl w:ilvl="4" w:tplc="EF96EB98">
      <w:start w:val="1"/>
      <w:numFmt w:val="bullet"/>
      <w:lvlText w:val=""/>
      <w:lvlJc w:val="left"/>
      <w:pPr>
        <w:tabs>
          <w:tab w:val="num" w:pos="3600"/>
        </w:tabs>
        <w:ind w:left="3600" w:hanging="360"/>
      </w:pPr>
      <w:rPr>
        <w:rFonts w:ascii="Wingdings" w:hAnsi="Wingdings" w:hint="default"/>
      </w:rPr>
    </w:lvl>
    <w:lvl w:ilvl="5" w:tplc="D8ACEA68">
      <w:start w:val="1"/>
      <w:numFmt w:val="bullet"/>
      <w:lvlText w:val=""/>
      <w:lvlJc w:val="left"/>
      <w:pPr>
        <w:tabs>
          <w:tab w:val="num" w:pos="4320"/>
        </w:tabs>
        <w:ind w:left="4320" w:hanging="360"/>
      </w:pPr>
      <w:rPr>
        <w:rFonts w:ascii="Wingdings" w:hAnsi="Wingdings" w:hint="default"/>
      </w:rPr>
    </w:lvl>
    <w:lvl w:ilvl="6" w:tplc="313EA546">
      <w:start w:val="1"/>
      <w:numFmt w:val="bullet"/>
      <w:lvlText w:val=""/>
      <w:lvlJc w:val="left"/>
      <w:pPr>
        <w:tabs>
          <w:tab w:val="num" w:pos="5040"/>
        </w:tabs>
        <w:ind w:left="5040" w:hanging="360"/>
      </w:pPr>
      <w:rPr>
        <w:rFonts w:ascii="Wingdings" w:hAnsi="Wingdings" w:hint="default"/>
      </w:rPr>
    </w:lvl>
    <w:lvl w:ilvl="7" w:tplc="1276A48C">
      <w:start w:val="1"/>
      <w:numFmt w:val="bullet"/>
      <w:lvlText w:val=""/>
      <w:lvlJc w:val="left"/>
      <w:pPr>
        <w:tabs>
          <w:tab w:val="num" w:pos="5760"/>
        </w:tabs>
        <w:ind w:left="5760" w:hanging="360"/>
      </w:pPr>
      <w:rPr>
        <w:rFonts w:ascii="Wingdings" w:hAnsi="Wingdings" w:hint="default"/>
      </w:rPr>
    </w:lvl>
    <w:lvl w:ilvl="8" w:tplc="15B4DD9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1F14B7"/>
    <w:multiLevelType w:val="hybridMultilevel"/>
    <w:tmpl w:val="E6CEF746"/>
    <w:lvl w:ilvl="0" w:tplc="D696C708">
      <w:start w:val="1"/>
      <w:numFmt w:val="bullet"/>
      <w:lvlText w:val="•"/>
      <w:lvlJc w:val="left"/>
      <w:pPr>
        <w:tabs>
          <w:tab w:val="num" w:pos="720"/>
        </w:tabs>
        <w:ind w:left="720" w:hanging="360"/>
      </w:pPr>
      <w:rPr>
        <w:rFonts w:ascii="Arial" w:hAnsi="Arial" w:cs="Times New Roman" w:hint="default"/>
      </w:rPr>
    </w:lvl>
    <w:lvl w:ilvl="1" w:tplc="2E247F1C">
      <w:start w:val="1"/>
      <w:numFmt w:val="bullet"/>
      <w:lvlText w:val="•"/>
      <w:lvlJc w:val="left"/>
      <w:pPr>
        <w:tabs>
          <w:tab w:val="num" w:pos="1440"/>
        </w:tabs>
        <w:ind w:left="1440" w:hanging="360"/>
      </w:pPr>
      <w:rPr>
        <w:rFonts w:ascii="Arial" w:hAnsi="Arial" w:cs="Times New Roman" w:hint="default"/>
      </w:rPr>
    </w:lvl>
    <w:lvl w:ilvl="2" w:tplc="B8E6FF3E">
      <w:start w:val="1"/>
      <w:numFmt w:val="bullet"/>
      <w:lvlText w:val="•"/>
      <w:lvlJc w:val="left"/>
      <w:pPr>
        <w:tabs>
          <w:tab w:val="num" w:pos="2160"/>
        </w:tabs>
        <w:ind w:left="2160" w:hanging="360"/>
      </w:pPr>
      <w:rPr>
        <w:rFonts w:ascii="Arial" w:hAnsi="Arial" w:cs="Times New Roman" w:hint="default"/>
      </w:rPr>
    </w:lvl>
    <w:lvl w:ilvl="3" w:tplc="888243C6">
      <w:start w:val="1"/>
      <w:numFmt w:val="bullet"/>
      <w:lvlText w:val="•"/>
      <w:lvlJc w:val="left"/>
      <w:pPr>
        <w:tabs>
          <w:tab w:val="num" w:pos="2880"/>
        </w:tabs>
        <w:ind w:left="2880" w:hanging="360"/>
      </w:pPr>
      <w:rPr>
        <w:rFonts w:ascii="Arial" w:hAnsi="Arial" w:cs="Times New Roman" w:hint="default"/>
      </w:rPr>
    </w:lvl>
    <w:lvl w:ilvl="4" w:tplc="7C986A02">
      <w:start w:val="1"/>
      <w:numFmt w:val="bullet"/>
      <w:lvlText w:val="•"/>
      <w:lvlJc w:val="left"/>
      <w:pPr>
        <w:tabs>
          <w:tab w:val="num" w:pos="3600"/>
        </w:tabs>
        <w:ind w:left="3600" w:hanging="360"/>
      </w:pPr>
      <w:rPr>
        <w:rFonts w:ascii="Arial" w:hAnsi="Arial" w:cs="Times New Roman" w:hint="default"/>
      </w:rPr>
    </w:lvl>
    <w:lvl w:ilvl="5" w:tplc="5D74AA34">
      <w:start w:val="1"/>
      <w:numFmt w:val="bullet"/>
      <w:lvlText w:val="•"/>
      <w:lvlJc w:val="left"/>
      <w:pPr>
        <w:tabs>
          <w:tab w:val="num" w:pos="4320"/>
        </w:tabs>
        <w:ind w:left="4320" w:hanging="360"/>
      </w:pPr>
      <w:rPr>
        <w:rFonts w:ascii="Arial" w:hAnsi="Arial" w:cs="Times New Roman" w:hint="default"/>
      </w:rPr>
    </w:lvl>
    <w:lvl w:ilvl="6" w:tplc="1BA60F76">
      <w:start w:val="1"/>
      <w:numFmt w:val="bullet"/>
      <w:lvlText w:val="•"/>
      <w:lvlJc w:val="left"/>
      <w:pPr>
        <w:tabs>
          <w:tab w:val="num" w:pos="5040"/>
        </w:tabs>
        <w:ind w:left="5040" w:hanging="360"/>
      </w:pPr>
      <w:rPr>
        <w:rFonts w:ascii="Arial" w:hAnsi="Arial" w:cs="Times New Roman" w:hint="default"/>
      </w:rPr>
    </w:lvl>
    <w:lvl w:ilvl="7" w:tplc="8D6E418C">
      <w:start w:val="1"/>
      <w:numFmt w:val="bullet"/>
      <w:lvlText w:val="•"/>
      <w:lvlJc w:val="left"/>
      <w:pPr>
        <w:tabs>
          <w:tab w:val="num" w:pos="5760"/>
        </w:tabs>
        <w:ind w:left="5760" w:hanging="360"/>
      </w:pPr>
      <w:rPr>
        <w:rFonts w:ascii="Arial" w:hAnsi="Arial" w:cs="Times New Roman" w:hint="default"/>
      </w:rPr>
    </w:lvl>
    <w:lvl w:ilvl="8" w:tplc="1F00A11E">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23CE5DB1"/>
    <w:multiLevelType w:val="hybridMultilevel"/>
    <w:tmpl w:val="001C69DC"/>
    <w:lvl w:ilvl="0" w:tplc="5176B4D6">
      <w:start w:val="1"/>
      <w:numFmt w:val="decimal"/>
      <w:lvlText w:val="%1."/>
      <w:lvlJc w:val="left"/>
      <w:pPr>
        <w:tabs>
          <w:tab w:val="num" w:pos="720"/>
        </w:tabs>
        <w:ind w:left="720" w:hanging="360"/>
      </w:pPr>
    </w:lvl>
    <w:lvl w:ilvl="1" w:tplc="83D4062E">
      <w:start w:val="1"/>
      <w:numFmt w:val="decimal"/>
      <w:lvlText w:val="-"/>
      <w:lvlJc w:val="left"/>
      <w:pPr>
        <w:ind w:left="1665" w:hanging="585"/>
      </w:pPr>
      <w:rPr>
        <w:rFonts w:ascii="Times New Roman" w:eastAsia="Times New Roman" w:hAnsi="Times New Roman" w:cs="Times New Roman" w:hint="default"/>
      </w:rPr>
    </w:lvl>
    <w:lvl w:ilvl="2" w:tplc="A90E0CEE">
      <w:start w:val="1"/>
      <w:numFmt w:val="decimal"/>
      <w:lvlText w:val="%3."/>
      <w:lvlJc w:val="left"/>
      <w:pPr>
        <w:tabs>
          <w:tab w:val="num" w:pos="2160"/>
        </w:tabs>
        <w:ind w:left="2160" w:hanging="360"/>
      </w:pPr>
    </w:lvl>
    <w:lvl w:ilvl="3" w:tplc="6810A18C">
      <w:start w:val="1"/>
      <w:numFmt w:val="decimal"/>
      <w:lvlText w:val="%4."/>
      <w:lvlJc w:val="left"/>
      <w:pPr>
        <w:tabs>
          <w:tab w:val="num" w:pos="2880"/>
        </w:tabs>
        <w:ind w:left="2880" w:hanging="360"/>
      </w:pPr>
    </w:lvl>
    <w:lvl w:ilvl="4" w:tplc="0E94A500">
      <w:start w:val="1"/>
      <w:numFmt w:val="decimal"/>
      <w:lvlText w:val="%5."/>
      <w:lvlJc w:val="left"/>
      <w:pPr>
        <w:tabs>
          <w:tab w:val="num" w:pos="3600"/>
        </w:tabs>
        <w:ind w:left="3600" w:hanging="360"/>
      </w:pPr>
    </w:lvl>
    <w:lvl w:ilvl="5" w:tplc="913AF478">
      <w:start w:val="1"/>
      <w:numFmt w:val="decimal"/>
      <w:lvlText w:val="%6."/>
      <w:lvlJc w:val="left"/>
      <w:pPr>
        <w:tabs>
          <w:tab w:val="num" w:pos="4320"/>
        </w:tabs>
        <w:ind w:left="4320" w:hanging="360"/>
      </w:pPr>
    </w:lvl>
    <w:lvl w:ilvl="6" w:tplc="413030C4">
      <w:start w:val="1"/>
      <w:numFmt w:val="decimal"/>
      <w:lvlText w:val="%7."/>
      <w:lvlJc w:val="left"/>
      <w:pPr>
        <w:tabs>
          <w:tab w:val="num" w:pos="5040"/>
        </w:tabs>
        <w:ind w:left="5040" w:hanging="360"/>
      </w:pPr>
    </w:lvl>
    <w:lvl w:ilvl="7" w:tplc="1A522DC6">
      <w:start w:val="1"/>
      <w:numFmt w:val="decimal"/>
      <w:lvlText w:val="%8."/>
      <w:lvlJc w:val="left"/>
      <w:pPr>
        <w:tabs>
          <w:tab w:val="num" w:pos="5760"/>
        </w:tabs>
        <w:ind w:left="5760" w:hanging="360"/>
      </w:pPr>
    </w:lvl>
    <w:lvl w:ilvl="8" w:tplc="5E92A194">
      <w:start w:val="1"/>
      <w:numFmt w:val="decimal"/>
      <w:lvlText w:val="%9."/>
      <w:lvlJc w:val="left"/>
      <w:pPr>
        <w:tabs>
          <w:tab w:val="num" w:pos="6480"/>
        </w:tabs>
        <w:ind w:left="6480" w:hanging="360"/>
      </w:pPr>
    </w:lvl>
  </w:abstractNum>
  <w:abstractNum w:abstractNumId="8" w15:restartNumberingAfterBreak="0">
    <w:nsid w:val="301C5063"/>
    <w:multiLevelType w:val="hybridMultilevel"/>
    <w:tmpl w:val="7406886E"/>
    <w:lvl w:ilvl="0" w:tplc="52FE67DC">
      <w:start w:val="1"/>
      <w:numFmt w:val="bullet"/>
      <w:lvlText w:val=""/>
      <w:lvlJc w:val="left"/>
      <w:pPr>
        <w:tabs>
          <w:tab w:val="num" w:pos="720"/>
        </w:tabs>
        <w:ind w:left="720" w:hanging="360"/>
      </w:pPr>
      <w:rPr>
        <w:rFonts w:ascii="Wingdings" w:hAnsi="Wingdings" w:hint="default"/>
      </w:rPr>
    </w:lvl>
    <w:lvl w:ilvl="1" w:tplc="D7B02E48">
      <w:start w:val="1"/>
      <w:numFmt w:val="bullet"/>
      <w:lvlText w:val=""/>
      <w:lvlJc w:val="left"/>
      <w:pPr>
        <w:tabs>
          <w:tab w:val="num" w:pos="1440"/>
        </w:tabs>
        <w:ind w:left="1440" w:hanging="360"/>
      </w:pPr>
      <w:rPr>
        <w:rFonts w:ascii="Wingdings" w:hAnsi="Wingdings" w:hint="default"/>
      </w:rPr>
    </w:lvl>
    <w:lvl w:ilvl="2" w:tplc="F676BEAC">
      <w:start w:val="1"/>
      <w:numFmt w:val="bullet"/>
      <w:lvlText w:val=""/>
      <w:lvlJc w:val="left"/>
      <w:pPr>
        <w:tabs>
          <w:tab w:val="num" w:pos="2160"/>
        </w:tabs>
        <w:ind w:left="2160" w:hanging="360"/>
      </w:pPr>
      <w:rPr>
        <w:rFonts w:ascii="Wingdings" w:hAnsi="Wingdings" w:hint="default"/>
      </w:rPr>
    </w:lvl>
    <w:lvl w:ilvl="3" w:tplc="7D5E0712">
      <w:start w:val="1"/>
      <w:numFmt w:val="bullet"/>
      <w:lvlText w:val=""/>
      <w:lvlJc w:val="left"/>
      <w:pPr>
        <w:tabs>
          <w:tab w:val="num" w:pos="2880"/>
        </w:tabs>
        <w:ind w:left="2880" w:hanging="360"/>
      </w:pPr>
      <w:rPr>
        <w:rFonts w:ascii="Wingdings" w:hAnsi="Wingdings" w:hint="default"/>
      </w:rPr>
    </w:lvl>
    <w:lvl w:ilvl="4" w:tplc="9C481D62">
      <w:start w:val="1"/>
      <w:numFmt w:val="bullet"/>
      <w:lvlText w:val=""/>
      <w:lvlJc w:val="left"/>
      <w:pPr>
        <w:tabs>
          <w:tab w:val="num" w:pos="3600"/>
        </w:tabs>
        <w:ind w:left="3600" w:hanging="360"/>
      </w:pPr>
      <w:rPr>
        <w:rFonts w:ascii="Wingdings" w:hAnsi="Wingdings" w:hint="default"/>
      </w:rPr>
    </w:lvl>
    <w:lvl w:ilvl="5" w:tplc="A3AA2AB2">
      <w:start w:val="1"/>
      <w:numFmt w:val="bullet"/>
      <w:lvlText w:val=""/>
      <w:lvlJc w:val="left"/>
      <w:pPr>
        <w:tabs>
          <w:tab w:val="num" w:pos="4320"/>
        </w:tabs>
        <w:ind w:left="4320" w:hanging="360"/>
      </w:pPr>
      <w:rPr>
        <w:rFonts w:ascii="Wingdings" w:hAnsi="Wingdings" w:hint="default"/>
      </w:rPr>
    </w:lvl>
    <w:lvl w:ilvl="6" w:tplc="50146798">
      <w:start w:val="1"/>
      <w:numFmt w:val="bullet"/>
      <w:lvlText w:val=""/>
      <w:lvlJc w:val="left"/>
      <w:pPr>
        <w:tabs>
          <w:tab w:val="num" w:pos="5040"/>
        </w:tabs>
        <w:ind w:left="5040" w:hanging="360"/>
      </w:pPr>
      <w:rPr>
        <w:rFonts w:ascii="Wingdings" w:hAnsi="Wingdings" w:hint="default"/>
      </w:rPr>
    </w:lvl>
    <w:lvl w:ilvl="7" w:tplc="9C168D0C">
      <w:start w:val="1"/>
      <w:numFmt w:val="bullet"/>
      <w:lvlText w:val=""/>
      <w:lvlJc w:val="left"/>
      <w:pPr>
        <w:tabs>
          <w:tab w:val="num" w:pos="5760"/>
        </w:tabs>
        <w:ind w:left="5760" w:hanging="360"/>
      </w:pPr>
      <w:rPr>
        <w:rFonts w:ascii="Wingdings" w:hAnsi="Wingdings" w:hint="default"/>
      </w:rPr>
    </w:lvl>
    <w:lvl w:ilvl="8" w:tplc="B0F8B78E">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5233E"/>
    <w:multiLevelType w:val="hybridMultilevel"/>
    <w:tmpl w:val="765C2362"/>
    <w:lvl w:ilvl="0" w:tplc="B8EE18AA">
      <w:start w:val="1"/>
      <w:numFmt w:val="bullet"/>
      <w:lvlText w:val=""/>
      <w:lvlJc w:val="left"/>
      <w:pPr>
        <w:tabs>
          <w:tab w:val="num" w:pos="720"/>
        </w:tabs>
        <w:ind w:left="720" w:hanging="360"/>
      </w:pPr>
      <w:rPr>
        <w:rFonts w:ascii="Wingdings" w:hAnsi="Wingdings" w:hint="default"/>
      </w:rPr>
    </w:lvl>
    <w:lvl w:ilvl="1" w:tplc="9C04BC76">
      <w:start w:val="1"/>
      <w:numFmt w:val="bullet"/>
      <w:lvlText w:val=""/>
      <w:lvlJc w:val="left"/>
      <w:pPr>
        <w:tabs>
          <w:tab w:val="num" w:pos="1440"/>
        </w:tabs>
        <w:ind w:left="1440" w:hanging="360"/>
      </w:pPr>
      <w:rPr>
        <w:rFonts w:ascii="Wingdings" w:hAnsi="Wingdings" w:hint="default"/>
      </w:rPr>
    </w:lvl>
    <w:lvl w:ilvl="2" w:tplc="9CFAB7F8">
      <w:start w:val="1"/>
      <w:numFmt w:val="bullet"/>
      <w:lvlText w:val=""/>
      <w:lvlJc w:val="left"/>
      <w:pPr>
        <w:tabs>
          <w:tab w:val="num" w:pos="2160"/>
        </w:tabs>
        <w:ind w:left="2160" w:hanging="360"/>
      </w:pPr>
      <w:rPr>
        <w:rFonts w:ascii="Wingdings" w:hAnsi="Wingdings" w:hint="default"/>
      </w:rPr>
    </w:lvl>
    <w:lvl w:ilvl="3" w:tplc="41F27468">
      <w:start w:val="1"/>
      <w:numFmt w:val="bullet"/>
      <w:lvlText w:val=""/>
      <w:lvlJc w:val="left"/>
      <w:pPr>
        <w:tabs>
          <w:tab w:val="num" w:pos="2880"/>
        </w:tabs>
        <w:ind w:left="2880" w:hanging="360"/>
      </w:pPr>
      <w:rPr>
        <w:rFonts w:ascii="Wingdings" w:hAnsi="Wingdings" w:hint="default"/>
      </w:rPr>
    </w:lvl>
    <w:lvl w:ilvl="4" w:tplc="273CA75C">
      <w:start w:val="1"/>
      <w:numFmt w:val="bullet"/>
      <w:lvlText w:val=""/>
      <w:lvlJc w:val="left"/>
      <w:pPr>
        <w:tabs>
          <w:tab w:val="num" w:pos="3600"/>
        </w:tabs>
        <w:ind w:left="3600" w:hanging="360"/>
      </w:pPr>
      <w:rPr>
        <w:rFonts w:ascii="Wingdings" w:hAnsi="Wingdings" w:hint="default"/>
      </w:rPr>
    </w:lvl>
    <w:lvl w:ilvl="5" w:tplc="21E46CF8">
      <w:start w:val="1"/>
      <w:numFmt w:val="bullet"/>
      <w:lvlText w:val=""/>
      <w:lvlJc w:val="left"/>
      <w:pPr>
        <w:tabs>
          <w:tab w:val="num" w:pos="4320"/>
        </w:tabs>
        <w:ind w:left="4320" w:hanging="360"/>
      </w:pPr>
      <w:rPr>
        <w:rFonts w:ascii="Wingdings" w:hAnsi="Wingdings" w:hint="default"/>
      </w:rPr>
    </w:lvl>
    <w:lvl w:ilvl="6" w:tplc="D8F4A4C6">
      <w:start w:val="1"/>
      <w:numFmt w:val="bullet"/>
      <w:lvlText w:val=""/>
      <w:lvlJc w:val="left"/>
      <w:pPr>
        <w:tabs>
          <w:tab w:val="num" w:pos="5040"/>
        </w:tabs>
        <w:ind w:left="5040" w:hanging="360"/>
      </w:pPr>
      <w:rPr>
        <w:rFonts w:ascii="Wingdings" w:hAnsi="Wingdings" w:hint="default"/>
      </w:rPr>
    </w:lvl>
    <w:lvl w:ilvl="7" w:tplc="C2E461F2">
      <w:start w:val="1"/>
      <w:numFmt w:val="bullet"/>
      <w:lvlText w:val=""/>
      <w:lvlJc w:val="left"/>
      <w:pPr>
        <w:tabs>
          <w:tab w:val="num" w:pos="5760"/>
        </w:tabs>
        <w:ind w:left="5760" w:hanging="360"/>
      </w:pPr>
      <w:rPr>
        <w:rFonts w:ascii="Wingdings" w:hAnsi="Wingdings" w:hint="default"/>
      </w:rPr>
    </w:lvl>
    <w:lvl w:ilvl="8" w:tplc="EF4AABAA">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2E0014"/>
    <w:multiLevelType w:val="hybridMultilevel"/>
    <w:tmpl w:val="3C6452B2"/>
    <w:lvl w:ilvl="0" w:tplc="D7405B6A">
      <w:start w:val="1"/>
      <w:numFmt w:val="bullet"/>
      <w:lvlText w:val="•"/>
      <w:lvlJc w:val="left"/>
      <w:pPr>
        <w:tabs>
          <w:tab w:val="num" w:pos="720"/>
        </w:tabs>
        <w:ind w:left="720" w:hanging="360"/>
      </w:pPr>
      <w:rPr>
        <w:rFonts w:ascii="Arial" w:hAnsi="Arial" w:cs="Times New Roman" w:hint="default"/>
      </w:rPr>
    </w:lvl>
    <w:lvl w:ilvl="1" w:tplc="65E46872">
      <w:start w:val="1"/>
      <w:numFmt w:val="bullet"/>
      <w:lvlText w:val="•"/>
      <w:lvlJc w:val="left"/>
      <w:pPr>
        <w:tabs>
          <w:tab w:val="num" w:pos="1440"/>
        </w:tabs>
        <w:ind w:left="1440" w:hanging="360"/>
      </w:pPr>
      <w:rPr>
        <w:rFonts w:ascii="Arial" w:hAnsi="Arial" w:cs="Times New Roman" w:hint="default"/>
      </w:rPr>
    </w:lvl>
    <w:lvl w:ilvl="2" w:tplc="3C52A3F0">
      <w:start w:val="1"/>
      <w:numFmt w:val="bullet"/>
      <w:lvlText w:val="•"/>
      <w:lvlJc w:val="left"/>
      <w:pPr>
        <w:tabs>
          <w:tab w:val="num" w:pos="2160"/>
        </w:tabs>
        <w:ind w:left="2160" w:hanging="360"/>
      </w:pPr>
      <w:rPr>
        <w:rFonts w:ascii="Arial" w:hAnsi="Arial" w:cs="Times New Roman" w:hint="default"/>
      </w:rPr>
    </w:lvl>
    <w:lvl w:ilvl="3" w:tplc="B1AA38B2">
      <w:start w:val="1"/>
      <w:numFmt w:val="bullet"/>
      <w:lvlText w:val="•"/>
      <w:lvlJc w:val="left"/>
      <w:pPr>
        <w:tabs>
          <w:tab w:val="num" w:pos="2880"/>
        </w:tabs>
        <w:ind w:left="2880" w:hanging="360"/>
      </w:pPr>
      <w:rPr>
        <w:rFonts w:ascii="Arial" w:hAnsi="Arial" w:cs="Times New Roman" w:hint="default"/>
      </w:rPr>
    </w:lvl>
    <w:lvl w:ilvl="4" w:tplc="882ED70E">
      <w:start w:val="1"/>
      <w:numFmt w:val="bullet"/>
      <w:lvlText w:val="•"/>
      <w:lvlJc w:val="left"/>
      <w:pPr>
        <w:tabs>
          <w:tab w:val="num" w:pos="3600"/>
        </w:tabs>
        <w:ind w:left="3600" w:hanging="360"/>
      </w:pPr>
      <w:rPr>
        <w:rFonts w:ascii="Arial" w:hAnsi="Arial" w:cs="Times New Roman" w:hint="default"/>
      </w:rPr>
    </w:lvl>
    <w:lvl w:ilvl="5" w:tplc="E366845A">
      <w:start w:val="1"/>
      <w:numFmt w:val="bullet"/>
      <w:lvlText w:val="•"/>
      <w:lvlJc w:val="left"/>
      <w:pPr>
        <w:tabs>
          <w:tab w:val="num" w:pos="4320"/>
        </w:tabs>
        <w:ind w:left="4320" w:hanging="360"/>
      </w:pPr>
      <w:rPr>
        <w:rFonts w:ascii="Arial" w:hAnsi="Arial" w:cs="Times New Roman" w:hint="default"/>
      </w:rPr>
    </w:lvl>
    <w:lvl w:ilvl="6" w:tplc="FAF2DC30">
      <w:start w:val="1"/>
      <w:numFmt w:val="bullet"/>
      <w:lvlText w:val="•"/>
      <w:lvlJc w:val="left"/>
      <w:pPr>
        <w:tabs>
          <w:tab w:val="num" w:pos="5040"/>
        </w:tabs>
        <w:ind w:left="5040" w:hanging="360"/>
      </w:pPr>
      <w:rPr>
        <w:rFonts w:ascii="Arial" w:hAnsi="Arial" w:cs="Times New Roman" w:hint="default"/>
      </w:rPr>
    </w:lvl>
    <w:lvl w:ilvl="7" w:tplc="AD9A7EB4">
      <w:start w:val="1"/>
      <w:numFmt w:val="bullet"/>
      <w:lvlText w:val="•"/>
      <w:lvlJc w:val="left"/>
      <w:pPr>
        <w:tabs>
          <w:tab w:val="num" w:pos="5760"/>
        </w:tabs>
        <w:ind w:left="5760" w:hanging="360"/>
      </w:pPr>
      <w:rPr>
        <w:rFonts w:ascii="Arial" w:hAnsi="Arial" w:cs="Times New Roman" w:hint="default"/>
      </w:rPr>
    </w:lvl>
    <w:lvl w:ilvl="8" w:tplc="577A4234">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5697260B"/>
    <w:multiLevelType w:val="hybridMultilevel"/>
    <w:tmpl w:val="385EFA9A"/>
    <w:lvl w:ilvl="0" w:tplc="874CD67E">
      <w:start w:val="1"/>
      <w:numFmt w:val="bullet"/>
      <w:lvlText w:val="-"/>
      <w:lvlJc w:val="left"/>
      <w:pPr>
        <w:tabs>
          <w:tab w:val="num" w:pos="720"/>
        </w:tabs>
        <w:ind w:left="720" w:hanging="360"/>
      </w:pPr>
      <w:rPr>
        <w:rFonts w:ascii="Times New Roman" w:hAnsi="Times New Roman" w:cs="Times New Roman" w:hint="default"/>
      </w:rPr>
    </w:lvl>
    <w:lvl w:ilvl="1" w:tplc="24DC5892">
      <w:start w:val="1"/>
      <w:numFmt w:val="bullet"/>
      <w:lvlText w:val="-"/>
      <w:lvlJc w:val="left"/>
      <w:pPr>
        <w:tabs>
          <w:tab w:val="num" w:pos="1440"/>
        </w:tabs>
        <w:ind w:left="1440" w:hanging="360"/>
      </w:pPr>
      <w:rPr>
        <w:rFonts w:ascii="Times New Roman" w:hAnsi="Times New Roman" w:cs="Times New Roman" w:hint="default"/>
      </w:rPr>
    </w:lvl>
    <w:lvl w:ilvl="2" w:tplc="2F40139A">
      <w:start w:val="1"/>
      <w:numFmt w:val="bullet"/>
      <w:lvlText w:val="-"/>
      <w:lvlJc w:val="left"/>
      <w:pPr>
        <w:tabs>
          <w:tab w:val="num" w:pos="2160"/>
        </w:tabs>
        <w:ind w:left="2160" w:hanging="360"/>
      </w:pPr>
      <w:rPr>
        <w:rFonts w:ascii="Times New Roman" w:hAnsi="Times New Roman" w:cs="Times New Roman" w:hint="default"/>
      </w:rPr>
    </w:lvl>
    <w:lvl w:ilvl="3" w:tplc="43C8A55E">
      <w:start w:val="1"/>
      <w:numFmt w:val="bullet"/>
      <w:lvlText w:val="-"/>
      <w:lvlJc w:val="left"/>
      <w:pPr>
        <w:tabs>
          <w:tab w:val="num" w:pos="2880"/>
        </w:tabs>
        <w:ind w:left="2880" w:hanging="360"/>
      </w:pPr>
      <w:rPr>
        <w:rFonts w:ascii="Times New Roman" w:hAnsi="Times New Roman" w:cs="Times New Roman" w:hint="default"/>
      </w:rPr>
    </w:lvl>
    <w:lvl w:ilvl="4" w:tplc="A40AB6EE">
      <w:start w:val="1"/>
      <w:numFmt w:val="bullet"/>
      <w:lvlText w:val="-"/>
      <w:lvlJc w:val="left"/>
      <w:pPr>
        <w:tabs>
          <w:tab w:val="num" w:pos="3600"/>
        </w:tabs>
        <w:ind w:left="3600" w:hanging="360"/>
      </w:pPr>
      <w:rPr>
        <w:rFonts w:ascii="Times New Roman" w:hAnsi="Times New Roman" w:cs="Times New Roman" w:hint="default"/>
      </w:rPr>
    </w:lvl>
    <w:lvl w:ilvl="5" w:tplc="66F8D034">
      <w:start w:val="1"/>
      <w:numFmt w:val="bullet"/>
      <w:lvlText w:val="-"/>
      <w:lvlJc w:val="left"/>
      <w:pPr>
        <w:tabs>
          <w:tab w:val="num" w:pos="4320"/>
        </w:tabs>
        <w:ind w:left="4320" w:hanging="360"/>
      </w:pPr>
      <w:rPr>
        <w:rFonts w:ascii="Times New Roman" w:hAnsi="Times New Roman" w:cs="Times New Roman" w:hint="default"/>
      </w:rPr>
    </w:lvl>
    <w:lvl w:ilvl="6" w:tplc="E3F82E44">
      <w:start w:val="1"/>
      <w:numFmt w:val="bullet"/>
      <w:lvlText w:val="-"/>
      <w:lvlJc w:val="left"/>
      <w:pPr>
        <w:tabs>
          <w:tab w:val="num" w:pos="5040"/>
        </w:tabs>
        <w:ind w:left="5040" w:hanging="360"/>
      </w:pPr>
      <w:rPr>
        <w:rFonts w:ascii="Times New Roman" w:hAnsi="Times New Roman" w:cs="Times New Roman" w:hint="default"/>
      </w:rPr>
    </w:lvl>
    <w:lvl w:ilvl="7" w:tplc="41DA963A">
      <w:start w:val="1"/>
      <w:numFmt w:val="bullet"/>
      <w:lvlText w:val="-"/>
      <w:lvlJc w:val="left"/>
      <w:pPr>
        <w:tabs>
          <w:tab w:val="num" w:pos="5760"/>
        </w:tabs>
        <w:ind w:left="5760" w:hanging="360"/>
      </w:pPr>
      <w:rPr>
        <w:rFonts w:ascii="Times New Roman" w:hAnsi="Times New Roman" w:cs="Times New Roman" w:hint="default"/>
      </w:rPr>
    </w:lvl>
    <w:lvl w:ilvl="8" w:tplc="97668AD0">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60F90130"/>
    <w:multiLevelType w:val="hybridMultilevel"/>
    <w:tmpl w:val="8AA2EA5E"/>
    <w:lvl w:ilvl="0" w:tplc="D862D21C">
      <w:start w:val="1"/>
      <w:numFmt w:val="bullet"/>
      <w:lvlText w:val=""/>
      <w:lvlJc w:val="left"/>
      <w:pPr>
        <w:tabs>
          <w:tab w:val="num" w:pos="720"/>
        </w:tabs>
        <w:ind w:left="720" w:hanging="360"/>
      </w:pPr>
      <w:rPr>
        <w:rFonts w:ascii="Wingdings" w:hAnsi="Wingdings" w:hint="default"/>
      </w:rPr>
    </w:lvl>
    <w:lvl w:ilvl="1" w:tplc="0C22BE82">
      <w:start w:val="1"/>
      <w:numFmt w:val="bullet"/>
      <w:lvlText w:val=""/>
      <w:lvlJc w:val="left"/>
      <w:pPr>
        <w:tabs>
          <w:tab w:val="num" w:pos="1440"/>
        </w:tabs>
        <w:ind w:left="1440" w:hanging="360"/>
      </w:pPr>
      <w:rPr>
        <w:rFonts w:ascii="Wingdings" w:hAnsi="Wingdings" w:hint="default"/>
      </w:rPr>
    </w:lvl>
    <w:lvl w:ilvl="2" w:tplc="18421938">
      <w:start w:val="1"/>
      <w:numFmt w:val="bullet"/>
      <w:lvlText w:val=""/>
      <w:lvlJc w:val="left"/>
      <w:pPr>
        <w:tabs>
          <w:tab w:val="num" w:pos="2160"/>
        </w:tabs>
        <w:ind w:left="2160" w:hanging="360"/>
      </w:pPr>
      <w:rPr>
        <w:rFonts w:ascii="Wingdings" w:hAnsi="Wingdings" w:hint="default"/>
      </w:rPr>
    </w:lvl>
    <w:lvl w:ilvl="3" w:tplc="EFC60B84">
      <w:start w:val="1"/>
      <w:numFmt w:val="bullet"/>
      <w:lvlText w:val=""/>
      <w:lvlJc w:val="left"/>
      <w:pPr>
        <w:tabs>
          <w:tab w:val="num" w:pos="2880"/>
        </w:tabs>
        <w:ind w:left="2880" w:hanging="360"/>
      </w:pPr>
      <w:rPr>
        <w:rFonts w:ascii="Wingdings" w:hAnsi="Wingdings" w:hint="default"/>
      </w:rPr>
    </w:lvl>
    <w:lvl w:ilvl="4" w:tplc="3C1A3840">
      <w:start w:val="1"/>
      <w:numFmt w:val="bullet"/>
      <w:lvlText w:val=""/>
      <w:lvlJc w:val="left"/>
      <w:pPr>
        <w:tabs>
          <w:tab w:val="num" w:pos="3600"/>
        </w:tabs>
        <w:ind w:left="3600" w:hanging="360"/>
      </w:pPr>
      <w:rPr>
        <w:rFonts w:ascii="Wingdings" w:hAnsi="Wingdings" w:hint="default"/>
      </w:rPr>
    </w:lvl>
    <w:lvl w:ilvl="5" w:tplc="4CE07BCE">
      <w:start w:val="1"/>
      <w:numFmt w:val="bullet"/>
      <w:lvlText w:val=""/>
      <w:lvlJc w:val="left"/>
      <w:pPr>
        <w:tabs>
          <w:tab w:val="num" w:pos="4320"/>
        </w:tabs>
        <w:ind w:left="4320" w:hanging="360"/>
      </w:pPr>
      <w:rPr>
        <w:rFonts w:ascii="Wingdings" w:hAnsi="Wingdings" w:hint="default"/>
      </w:rPr>
    </w:lvl>
    <w:lvl w:ilvl="6" w:tplc="EAB0273E">
      <w:start w:val="1"/>
      <w:numFmt w:val="bullet"/>
      <w:lvlText w:val=""/>
      <w:lvlJc w:val="left"/>
      <w:pPr>
        <w:tabs>
          <w:tab w:val="num" w:pos="5040"/>
        </w:tabs>
        <w:ind w:left="5040" w:hanging="360"/>
      </w:pPr>
      <w:rPr>
        <w:rFonts w:ascii="Wingdings" w:hAnsi="Wingdings" w:hint="default"/>
      </w:rPr>
    </w:lvl>
    <w:lvl w:ilvl="7" w:tplc="CE80843A">
      <w:start w:val="1"/>
      <w:numFmt w:val="bullet"/>
      <w:lvlText w:val=""/>
      <w:lvlJc w:val="left"/>
      <w:pPr>
        <w:tabs>
          <w:tab w:val="num" w:pos="5760"/>
        </w:tabs>
        <w:ind w:left="5760" w:hanging="360"/>
      </w:pPr>
      <w:rPr>
        <w:rFonts w:ascii="Wingdings" w:hAnsi="Wingdings" w:hint="default"/>
      </w:rPr>
    </w:lvl>
    <w:lvl w:ilvl="8" w:tplc="0A3C1AE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AC6489"/>
    <w:multiLevelType w:val="hybridMultilevel"/>
    <w:tmpl w:val="610A1770"/>
    <w:lvl w:ilvl="0" w:tplc="0419000D">
      <w:start w:val="1"/>
      <w:numFmt w:val="bullet"/>
      <w:lvlText w:val=""/>
      <w:lvlJc w:val="left"/>
      <w:pPr>
        <w:tabs>
          <w:tab w:val="num" w:pos="720"/>
        </w:tabs>
        <w:ind w:left="720" w:hanging="360"/>
      </w:pPr>
      <w:rPr>
        <w:rFonts w:ascii="Wingdings" w:hAnsi="Wingdings" w:hint="default"/>
      </w:rPr>
    </w:lvl>
    <w:lvl w:ilvl="1" w:tplc="72360A48">
      <w:start w:val="1"/>
      <w:numFmt w:val="bullet"/>
      <w:lvlText w:val="•"/>
      <w:lvlJc w:val="left"/>
      <w:pPr>
        <w:tabs>
          <w:tab w:val="num" w:pos="1440"/>
        </w:tabs>
        <w:ind w:left="1440" w:hanging="360"/>
      </w:pPr>
      <w:rPr>
        <w:rFonts w:ascii="Arial" w:hAnsi="Arial" w:cs="Times New Roman" w:hint="default"/>
      </w:rPr>
    </w:lvl>
    <w:lvl w:ilvl="2" w:tplc="B4663A52">
      <w:start w:val="1"/>
      <w:numFmt w:val="bullet"/>
      <w:lvlText w:val="•"/>
      <w:lvlJc w:val="left"/>
      <w:pPr>
        <w:tabs>
          <w:tab w:val="num" w:pos="2160"/>
        </w:tabs>
        <w:ind w:left="2160" w:hanging="360"/>
      </w:pPr>
      <w:rPr>
        <w:rFonts w:ascii="Arial" w:hAnsi="Arial" w:cs="Times New Roman" w:hint="default"/>
      </w:rPr>
    </w:lvl>
    <w:lvl w:ilvl="3" w:tplc="CCA44E20">
      <w:start w:val="1"/>
      <w:numFmt w:val="bullet"/>
      <w:lvlText w:val="•"/>
      <w:lvlJc w:val="left"/>
      <w:pPr>
        <w:tabs>
          <w:tab w:val="num" w:pos="2880"/>
        </w:tabs>
        <w:ind w:left="2880" w:hanging="360"/>
      </w:pPr>
      <w:rPr>
        <w:rFonts w:ascii="Arial" w:hAnsi="Arial" w:cs="Times New Roman" w:hint="default"/>
      </w:rPr>
    </w:lvl>
    <w:lvl w:ilvl="4" w:tplc="76AE6760">
      <w:start w:val="1"/>
      <w:numFmt w:val="bullet"/>
      <w:lvlText w:val="•"/>
      <w:lvlJc w:val="left"/>
      <w:pPr>
        <w:tabs>
          <w:tab w:val="num" w:pos="3600"/>
        </w:tabs>
        <w:ind w:left="3600" w:hanging="360"/>
      </w:pPr>
      <w:rPr>
        <w:rFonts w:ascii="Arial" w:hAnsi="Arial" w:cs="Times New Roman" w:hint="default"/>
      </w:rPr>
    </w:lvl>
    <w:lvl w:ilvl="5" w:tplc="5C72013E">
      <w:start w:val="1"/>
      <w:numFmt w:val="bullet"/>
      <w:lvlText w:val="•"/>
      <w:lvlJc w:val="left"/>
      <w:pPr>
        <w:tabs>
          <w:tab w:val="num" w:pos="4320"/>
        </w:tabs>
        <w:ind w:left="4320" w:hanging="360"/>
      </w:pPr>
      <w:rPr>
        <w:rFonts w:ascii="Arial" w:hAnsi="Arial" w:cs="Times New Roman" w:hint="default"/>
      </w:rPr>
    </w:lvl>
    <w:lvl w:ilvl="6" w:tplc="234EF018">
      <w:start w:val="1"/>
      <w:numFmt w:val="bullet"/>
      <w:lvlText w:val="•"/>
      <w:lvlJc w:val="left"/>
      <w:pPr>
        <w:tabs>
          <w:tab w:val="num" w:pos="5040"/>
        </w:tabs>
        <w:ind w:left="5040" w:hanging="360"/>
      </w:pPr>
      <w:rPr>
        <w:rFonts w:ascii="Arial" w:hAnsi="Arial" w:cs="Times New Roman" w:hint="default"/>
      </w:rPr>
    </w:lvl>
    <w:lvl w:ilvl="7" w:tplc="70109EC0">
      <w:start w:val="1"/>
      <w:numFmt w:val="bullet"/>
      <w:lvlText w:val="•"/>
      <w:lvlJc w:val="left"/>
      <w:pPr>
        <w:tabs>
          <w:tab w:val="num" w:pos="5760"/>
        </w:tabs>
        <w:ind w:left="5760" w:hanging="360"/>
      </w:pPr>
      <w:rPr>
        <w:rFonts w:ascii="Arial" w:hAnsi="Arial" w:cs="Times New Roman" w:hint="default"/>
      </w:rPr>
    </w:lvl>
    <w:lvl w:ilvl="8" w:tplc="CC1623F0">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67322B00"/>
    <w:multiLevelType w:val="hybridMultilevel"/>
    <w:tmpl w:val="AAE23406"/>
    <w:lvl w:ilvl="0" w:tplc="35D6D036">
      <w:start w:val="1"/>
      <w:numFmt w:val="bullet"/>
      <w:lvlText w:val=""/>
      <w:lvlJc w:val="left"/>
      <w:pPr>
        <w:tabs>
          <w:tab w:val="num" w:pos="720"/>
        </w:tabs>
        <w:ind w:left="720" w:hanging="360"/>
      </w:pPr>
      <w:rPr>
        <w:rFonts w:ascii="Wingdings" w:hAnsi="Wingdings" w:hint="default"/>
      </w:rPr>
    </w:lvl>
    <w:lvl w:ilvl="1" w:tplc="256878F2">
      <w:start w:val="1"/>
      <w:numFmt w:val="bullet"/>
      <w:lvlText w:val=""/>
      <w:lvlJc w:val="left"/>
      <w:pPr>
        <w:tabs>
          <w:tab w:val="num" w:pos="1440"/>
        </w:tabs>
        <w:ind w:left="1440" w:hanging="360"/>
      </w:pPr>
      <w:rPr>
        <w:rFonts w:ascii="Wingdings" w:hAnsi="Wingdings" w:hint="default"/>
      </w:rPr>
    </w:lvl>
    <w:lvl w:ilvl="2" w:tplc="575608D8">
      <w:start w:val="1"/>
      <w:numFmt w:val="bullet"/>
      <w:lvlText w:val=""/>
      <w:lvlJc w:val="left"/>
      <w:pPr>
        <w:tabs>
          <w:tab w:val="num" w:pos="2160"/>
        </w:tabs>
        <w:ind w:left="2160" w:hanging="360"/>
      </w:pPr>
      <w:rPr>
        <w:rFonts w:ascii="Wingdings" w:hAnsi="Wingdings" w:hint="default"/>
      </w:rPr>
    </w:lvl>
    <w:lvl w:ilvl="3" w:tplc="82BE515A">
      <w:start w:val="1"/>
      <w:numFmt w:val="bullet"/>
      <w:lvlText w:val=""/>
      <w:lvlJc w:val="left"/>
      <w:pPr>
        <w:tabs>
          <w:tab w:val="num" w:pos="2880"/>
        </w:tabs>
        <w:ind w:left="2880" w:hanging="360"/>
      </w:pPr>
      <w:rPr>
        <w:rFonts w:ascii="Wingdings" w:hAnsi="Wingdings" w:hint="default"/>
      </w:rPr>
    </w:lvl>
    <w:lvl w:ilvl="4" w:tplc="4E5A5A44">
      <w:start w:val="1"/>
      <w:numFmt w:val="bullet"/>
      <w:lvlText w:val=""/>
      <w:lvlJc w:val="left"/>
      <w:pPr>
        <w:tabs>
          <w:tab w:val="num" w:pos="3600"/>
        </w:tabs>
        <w:ind w:left="3600" w:hanging="360"/>
      </w:pPr>
      <w:rPr>
        <w:rFonts w:ascii="Wingdings" w:hAnsi="Wingdings" w:hint="default"/>
      </w:rPr>
    </w:lvl>
    <w:lvl w:ilvl="5" w:tplc="74CACE9E">
      <w:start w:val="1"/>
      <w:numFmt w:val="bullet"/>
      <w:lvlText w:val=""/>
      <w:lvlJc w:val="left"/>
      <w:pPr>
        <w:tabs>
          <w:tab w:val="num" w:pos="4320"/>
        </w:tabs>
        <w:ind w:left="4320" w:hanging="360"/>
      </w:pPr>
      <w:rPr>
        <w:rFonts w:ascii="Wingdings" w:hAnsi="Wingdings" w:hint="default"/>
      </w:rPr>
    </w:lvl>
    <w:lvl w:ilvl="6" w:tplc="0AB88642">
      <w:start w:val="1"/>
      <w:numFmt w:val="bullet"/>
      <w:lvlText w:val=""/>
      <w:lvlJc w:val="left"/>
      <w:pPr>
        <w:tabs>
          <w:tab w:val="num" w:pos="5040"/>
        </w:tabs>
        <w:ind w:left="5040" w:hanging="360"/>
      </w:pPr>
      <w:rPr>
        <w:rFonts w:ascii="Wingdings" w:hAnsi="Wingdings" w:hint="default"/>
      </w:rPr>
    </w:lvl>
    <w:lvl w:ilvl="7" w:tplc="FBF0D84C">
      <w:start w:val="1"/>
      <w:numFmt w:val="bullet"/>
      <w:lvlText w:val=""/>
      <w:lvlJc w:val="left"/>
      <w:pPr>
        <w:tabs>
          <w:tab w:val="num" w:pos="5760"/>
        </w:tabs>
        <w:ind w:left="5760" w:hanging="360"/>
      </w:pPr>
      <w:rPr>
        <w:rFonts w:ascii="Wingdings" w:hAnsi="Wingdings" w:hint="default"/>
      </w:rPr>
    </w:lvl>
    <w:lvl w:ilvl="8" w:tplc="87F2E35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D640A"/>
    <w:multiLevelType w:val="hybridMultilevel"/>
    <w:tmpl w:val="2E92FDF2"/>
    <w:lvl w:ilvl="0" w:tplc="BAD29462">
      <w:start w:val="1"/>
      <w:numFmt w:val="bullet"/>
      <w:lvlText w:val="•"/>
      <w:lvlJc w:val="left"/>
      <w:pPr>
        <w:tabs>
          <w:tab w:val="num" w:pos="720"/>
        </w:tabs>
        <w:ind w:left="720" w:hanging="360"/>
      </w:pPr>
      <w:rPr>
        <w:rFonts w:ascii="Arial" w:hAnsi="Arial" w:cs="Times New Roman" w:hint="default"/>
      </w:rPr>
    </w:lvl>
    <w:lvl w:ilvl="1" w:tplc="DA90896A">
      <w:start w:val="1"/>
      <w:numFmt w:val="bullet"/>
      <w:lvlText w:val="•"/>
      <w:lvlJc w:val="left"/>
      <w:pPr>
        <w:tabs>
          <w:tab w:val="num" w:pos="1440"/>
        </w:tabs>
        <w:ind w:left="1440" w:hanging="360"/>
      </w:pPr>
      <w:rPr>
        <w:rFonts w:ascii="Arial" w:hAnsi="Arial" w:cs="Times New Roman" w:hint="default"/>
      </w:rPr>
    </w:lvl>
    <w:lvl w:ilvl="2" w:tplc="38FEEE74">
      <w:start w:val="1"/>
      <w:numFmt w:val="bullet"/>
      <w:lvlText w:val="•"/>
      <w:lvlJc w:val="left"/>
      <w:pPr>
        <w:tabs>
          <w:tab w:val="num" w:pos="2160"/>
        </w:tabs>
        <w:ind w:left="2160" w:hanging="360"/>
      </w:pPr>
      <w:rPr>
        <w:rFonts w:ascii="Arial" w:hAnsi="Arial" w:cs="Times New Roman" w:hint="default"/>
      </w:rPr>
    </w:lvl>
    <w:lvl w:ilvl="3" w:tplc="888A886E">
      <w:start w:val="1"/>
      <w:numFmt w:val="bullet"/>
      <w:lvlText w:val="•"/>
      <w:lvlJc w:val="left"/>
      <w:pPr>
        <w:tabs>
          <w:tab w:val="num" w:pos="2880"/>
        </w:tabs>
        <w:ind w:left="2880" w:hanging="360"/>
      </w:pPr>
      <w:rPr>
        <w:rFonts w:ascii="Arial" w:hAnsi="Arial" w:cs="Times New Roman" w:hint="default"/>
      </w:rPr>
    </w:lvl>
    <w:lvl w:ilvl="4" w:tplc="68F29222">
      <w:start w:val="1"/>
      <w:numFmt w:val="bullet"/>
      <w:lvlText w:val="•"/>
      <w:lvlJc w:val="left"/>
      <w:pPr>
        <w:tabs>
          <w:tab w:val="num" w:pos="3600"/>
        </w:tabs>
        <w:ind w:left="3600" w:hanging="360"/>
      </w:pPr>
      <w:rPr>
        <w:rFonts w:ascii="Arial" w:hAnsi="Arial" w:cs="Times New Roman" w:hint="default"/>
      </w:rPr>
    </w:lvl>
    <w:lvl w:ilvl="5" w:tplc="A9D4CF5E">
      <w:start w:val="1"/>
      <w:numFmt w:val="bullet"/>
      <w:lvlText w:val="•"/>
      <w:lvlJc w:val="left"/>
      <w:pPr>
        <w:tabs>
          <w:tab w:val="num" w:pos="4320"/>
        </w:tabs>
        <w:ind w:left="4320" w:hanging="360"/>
      </w:pPr>
      <w:rPr>
        <w:rFonts w:ascii="Arial" w:hAnsi="Arial" w:cs="Times New Roman" w:hint="default"/>
      </w:rPr>
    </w:lvl>
    <w:lvl w:ilvl="6" w:tplc="F3B28F06">
      <w:start w:val="1"/>
      <w:numFmt w:val="bullet"/>
      <w:lvlText w:val="•"/>
      <w:lvlJc w:val="left"/>
      <w:pPr>
        <w:tabs>
          <w:tab w:val="num" w:pos="5040"/>
        </w:tabs>
        <w:ind w:left="5040" w:hanging="360"/>
      </w:pPr>
      <w:rPr>
        <w:rFonts w:ascii="Arial" w:hAnsi="Arial" w:cs="Times New Roman" w:hint="default"/>
      </w:rPr>
    </w:lvl>
    <w:lvl w:ilvl="7" w:tplc="8256852C">
      <w:start w:val="1"/>
      <w:numFmt w:val="bullet"/>
      <w:lvlText w:val="•"/>
      <w:lvlJc w:val="left"/>
      <w:pPr>
        <w:tabs>
          <w:tab w:val="num" w:pos="5760"/>
        </w:tabs>
        <w:ind w:left="5760" w:hanging="360"/>
      </w:pPr>
      <w:rPr>
        <w:rFonts w:ascii="Arial" w:hAnsi="Arial" w:cs="Times New Roman" w:hint="default"/>
      </w:rPr>
    </w:lvl>
    <w:lvl w:ilvl="8" w:tplc="92D69D7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73D45A22"/>
    <w:multiLevelType w:val="hybridMultilevel"/>
    <w:tmpl w:val="279E2878"/>
    <w:lvl w:ilvl="0" w:tplc="0419000D">
      <w:start w:val="1"/>
      <w:numFmt w:val="bullet"/>
      <w:lvlText w:val=""/>
      <w:lvlJc w:val="left"/>
      <w:pPr>
        <w:tabs>
          <w:tab w:val="num" w:pos="720"/>
        </w:tabs>
        <w:ind w:left="720" w:hanging="360"/>
      </w:pPr>
      <w:rPr>
        <w:rFonts w:ascii="Wingdings" w:hAnsi="Wingdings" w:hint="default"/>
      </w:rPr>
    </w:lvl>
    <w:lvl w:ilvl="1" w:tplc="833E5096">
      <w:start w:val="1"/>
      <w:numFmt w:val="bullet"/>
      <w:lvlText w:val="•"/>
      <w:lvlJc w:val="left"/>
      <w:pPr>
        <w:tabs>
          <w:tab w:val="num" w:pos="1440"/>
        </w:tabs>
        <w:ind w:left="1440" w:hanging="360"/>
      </w:pPr>
      <w:rPr>
        <w:rFonts w:ascii="Arial" w:hAnsi="Arial" w:cs="Times New Roman" w:hint="default"/>
      </w:rPr>
    </w:lvl>
    <w:lvl w:ilvl="2" w:tplc="07A80D62">
      <w:start w:val="1"/>
      <w:numFmt w:val="bullet"/>
      <w:lvlText w:val="•"/>
      <w:lvlJc w:val="left"/>
      <w:pPr>
        <w:tabs>
          <w:tab w:val="num" w:pos="2160"/>
        </w:tabs>
        <w:ind w:left="2160" w:hanging="360"/>
      </w:pPr>
      <w:rPr>
        <w:rFonts w:ascii="Arial" w:hAnsi="Arial" w:cs="Times New Roman" w:hint="default"/>
      </w:rPr>
    </w:lvl>
    <w:lvl w:ilvl="3" w:tplc="EBE8BACA">
      <w:start w:val="1"/>
      <w:numFmt w:val="bullet"/>
      <w:lvlText w:val="•"/>
      <w:lvlJc w:val="left"/>
      <w:pPr>
        <w:tabs>
          <w:tab w:val="num" w:pos="2880"/>
        </w:tabs>
        <w:ind w:left="2880" w:hanging="360"/>
      </w:pPr>
      <w:rPr>
        <w:rFonts w:ascii="Arial" w:hAnsi="Arial" w:cs="Times New Roman" w:hint="default"/>
      </w:rPr>
    </w:lvl>
    <w:lvl w:ilvl="4" w:tplc="8AFA2B6C">
      <w:start w:val="1"/>
      <w:numFmt w:val="bullet"/>
      <w:lvlText w:val="•"/>
      <w:lvlJc w:val="left"/>
      <w:pPr>
        <w:tabs>
          <w:tab w:val="num" w:pos="3600"/>
        </w:tabs>
        <w:ind w:left="3600" w:hanging="360"/>
      </w:pPr>
      <w:rPr>
        <w:rFonts w:ascii="Arial" w:hAnsi="Arial" w:cs="Times New Roman" w:hint="default"/>
      </w:rPr>
    </w:lvl>
    <w:lvl w:ilvl="5" w:tplc="4704E3AE">
      <w:start w:val="1"/>
      <w:numFmt w:val="bullet"/>
      <w:lvlText w:val="•"/>
      <w:lvlJc w:val="left"/>
      <w:pPr>
        <w:tabs>
          <w:tab w:val="num" w:pos="4320"/>
        </w:tabs>
        <w:ind w:left="4320" w:hanging="360"/>
      </w:pPr>
      <w:rPr>
        <w:rFonts w:ascii="Arial" w:hAnsi="Arial" w:cs="Times New Roman" w:hint="default"/>
      </w:rPr>
    </w:lvl>
    <w:lvl w:ilvl="6" w:tplc="27B6C1BC">
      <w:start w:val="1"/>
      <w:numFmt w:val="bullet"/>
      <w:lvlText w:val="•"/>
      <w:lvlJc w:val="left"/>
      <w:pPr>
        <w:tabs>
          <w:tab w:val="num" w:pos="5040"/>
        </w:tabs>
        <w:ind w:left="5040" w:hanging="360"/>
      </w:pPr>
      <w:rPr>
        <w:rFonts w:ascii="Arial" w:hAnsi="Arial" w:cs="Times New Roman" w:hint="default"/>
      </w:rPr>
    </w:lvl>
    <w:lvl w:ilvl="7" w:tplc="C9B47A8C">
      <w:start w:val="1"/>
      <w:numFmt w:val="bullet"/>
      <w:lvlText w:val="•"/>
      <w:lvlJc w:val="left"/>
      <w:pPr>
        <w:tabs>
          <w:tab w:val="num" w:pos="5760"/>
        </w:tabs>
        <w:ind w:left="5760" w:hanging="360"/>
      </w:pPr>
      <w:rPr>
        <w:rFonts w:ascii="Arial" w:hAnsi="Arial" w:cs="Times New Roman" w:hint="default"/>
      </w:rPr>
    </w:lvl>
    <w:lvl w:ilvl="8" w:tplc="BA3ACF0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77072483"/>
    <w:multiLevelType w:val="hybridMultilevel"/>
    <w:tmpl w:val="CE7E6E60"/>
    <w:lvl w:ilvl="0" w:tplc="E63669FC">
      <w:start w:val="1"/>
      <w:numFmt w:val="bullet"/>
      <w:lvlText w:val=""/>
      <w:lvlJc w:val="left"/>
      <w:pPr>
        <w:tabs>
          <w:tab w:val="num" w:pos="720"/>
        </w:tabs>
        <w:ind w:left="720" w:hanging="360"/>
      </w:pPr>
      <w:rPr>
        <w:rFonts w:ascii="Wingdings" w:hAnsi="Wingdings" w:hint="default"/>
      </w:rPr>
    </w:lvl>
    <w:lvl w:ilvl="1" w:tplc="4114FF90">
      <w:start w:val="1"/>
      <w:numFmt w:val="bullet"/>
      <w:lvlText w:val=""/>
      <w:lvlJc w:val="left"/>
      <w:pPr>
        <w:tabs>
          <w:tab w:val="num" w:pos="1440"/>
        </w:tabs>
        <w:ind w:left="1440" w:hanging="360"/>
      </w:pPr>
      <w:rPr>
        <w:rFonts w:ascii="Wingdings" w:hAnsi="Wingdings" w:hint="default"/>
      </w:rPr>
    </w:lvl>
    <w:lvl w:ilvl="2" w:tplc="C476841E">
      <w:start w:val="1"/>
      <w:numFmt w:val="bullet"/>
      <w:lvlText w:val=""/>
      <w:lvlJc w:val="left"/>
      <w:pPr>
        <w:tabs>
          <w:tab w:val="num" w:pos="2160"/>
        </w:tabs>
        <w:ind w:left="2160" w:hanging="360"/>
      </w:pPr>
      <w:rPr>
        <w:rFonts w:ascii="Wingdings" w:hAnsi="Wingdings" w:hint="default"/>
      </w:rPr>
    </w:lvl>
    <w:lvl w:ilvl="3" w:tplc="EF089CCA">
      <w:start w:val="1"/>
      <w:numFmt w:val="bullet"/>
      <w:lvlText w:val=""/>
      <w:lvlJc w:val="left"/>
      <w:pPr>
        <w:tabs>
          <w:tab w:val="num" w:pos="2880"/>
        </w:tabs>
        <w:ind w:left="2880" w:hanging="360"/>
      </w:pPr>
      <w:rPr>
        <w:rFonts w:ascii="Wingdings" w:hAnsi="Wingdings" w:hint="default"/>
      </w:rPr>
    </w:lvl>
    <w:lvl w:ilvl="4" w:tplc="99AE4ACE">
      <w:start w:val="1"/>
      <w:numFmt w:val="bullet"/>
      <w:lvlText w:val=""/>
      <w:lvlJc w:val="left"/>
      <w:pPr>
        <w:tabs>
          <w:tab w:val="num" w:pos="3600"/>
        </w:tabs>
        <w:ind w:left="3600" w:hanging="360"/>
      </w:pPr>
      <w:rPr>
        <w:rFonts w:ascii="Wingdings" w:hAnsi="Wingdings" w:hint="default"/>
      </w:rPr>
    </w:lvl>
    <w:lvl w:ilvl="5" w:tplc="34365532">
      <w:start w:val="1"/>
      <w:numFmt w:val="bullet"/>
      <w:lvlText w:val=""/>
      <w:lvlJc w:val="left"/>
      <w:pPr>
        <w:tabs>
          <w:tab w:val="num" w:pos="4320"/>
        </w:tabs>
        <w:ind w:left="4320" w:hanging="360"/>
      </w:pPr>
      <w:rPr>
        <w:rFonts w:ascii="Wingdings" w:hAnsi="Wingdings" w:hint="default"/>
      </w:rPr>
    </w:lvl>
    <w:lvl w:ilvl="6" w:tplc="E86070B2">
      <w:start w:val="1"/>
      <w:numFmt w:val="bullet"/>
      <w:lvlText w:val=""/>
      <w:lvlJc w:val="left"/>
      <w:pPr>
        <w:tabs>
          <w:tab w:val="num" w:pos="5040"/>
        </w:tabs>
        <w:ind w:left="5040" w:hanging="360"/>
      </w:pPr>
      <w:rPr>
        <w:rFonts w:ascii="Wingdings" w:hAnsi="Wingdings" w:hint="default"/>
      </w:rPr>
    </w:lvl>
    <w:lvl w:ilvl="7" w:tplc="F202EE2A">
      <w:start w:val="1"/>
      <w:numFmt w:val="bullet"/>
      <w:lvlText w:val=""/>
      <w:lvlJc w:val="left"/>
      <w:pPr>
        <w:tabs>
          <w:tab w:val="num" w:pos="5760"/>
        </w:tabs>
        <w:ind w:left="5760" w:hanging="360"/>
      </w:pPr>
      <w:rPr>
        <w:rFonts w:ascii="Wingdings" w:hAnsi="Wingdings" w:hint="default"/>
      </w:rPr>
    </w:lvl>
    <w:lvl w:ilvl="8" w:tplc="71AC609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3E7EC4"/>
    <w:multiLevelType w:val="hybridMultilevel"/>
    <w:tmpl w:val="EE0CFF66"/>
    <w:lvl w:ilvl="0" w:tplc="8D5803A0">
      <w:start w:val="1"/>
      <w:numFmt w:val="bullet"/>
      <w:lvlText w:val=""/>
      <w:lvlJc w:val="left"/>
      <w:pPr>
        <w:tabs>
          <w:tab w:val="num" w:pos="720"/>
        </w:tabs>
        <w:ind w:left="720" w:hanging="360"/>
      </w:pPr>
      <w:rPr>
        <w:rFonts w:ascii="Wingdings" w:hAnsi="Wingdings" w:hint="default"/>
      </w:rPr>
    </w:lvl>
    <w:lvl w:ilvl="1" w:tplc="7C925340">
      <w:start w:val="1"/>
      <w:numFmt w:val="bullet"/>
      <w:lvlText w:val=""/>
      <w:lvlJc w:val="left"/>
      <w:pPr>
        <w:tabs>
          <w:tab w:val="num" w:pos="1440"/>
        </w:tabs>
        <w:ind w:left="1440" w:hanging="360"/>
      </w:pPr>
      <w:rPr>
        <w:rFonts w:ascii="Wingdings" w:hAnsi="Wingdings" w:hint="default"/>
      </w:rPr>
    </w:lvl>
    <w:lvl w:ilvl="2" w:tplc="1F485ADE">
      <w:start w:val="1"/>
      <w:numFmt w:val="bullet"/>
      <w:lvlText w:val=""/>
      <w:lvlJc w:val="left"/>
      <w:pPr>
        <w:tabs>
          <w:tab w:val="num" w:pos="2160"/>
        </w:tabs>
        <w:ind w:left="2160" w:hanging="360"/>
      </w:pPr>
      <w:rPr>
        <w:rFonts w:ascii="Wingdings" w:hAnsi="Wingdings" w:hint="default"/>
      </w:rPr>
    </w:lvl>
    <w:lvl w:ilvl="3" w:tplc="8BAEF9C0">
      <w:start w:val="1"/>
      <w:numFmt w:val="bullet"/>
      <w:lvlText w:val=""/>
      <w:lvlJc w:val="left"/>
      <w:pPr>
        <w:tabs>
          <w:tab w:val="num" w:pos="2880"/>
        </w:tabs>
        <w:ind w:left="2880" w:hanging="360"/>
      </w:pPr>
      <w:rPr>
        <w:rFonts w:ascii="Wingdings" w:hAnsi="Wingdings" w:hint="default"/>
      </w:rPr>
    </w:lvl>
    <w:lvl w:ilvl="4" w:tplc="CB7E3E7A">
      <w:start w:val="1"/>
      <w:numFmt w:val="bullet"/>
      <w:lvlText w:val=""/>
      <w:lvlJc w:val="left"/>
      <w:pPr>
        <w:tabs>
          <w:tab w:val="num" w:pos="3600"/>
        </w:tabs>
        <w:ind w:left="3600" w:hanging="360"/>
      </w:pPr>
      <w:rPr>
        <w:rFonts w:ascii="Wingdings" w:hAnsi="Wingdings" w:hint="default"/>
      </w:rPr>
    </w:lvl>
    <w:lvl w:ilvl="5" w:tplc="1A488162">
      <w:start w:val="1"/>
      <w:numFmt w:val="bullet"/>
      <w:lvlText w:val=""/>
      <w:lvlJc w:val="left"/>
      <w:pPr>
        <w:tabs>
          <w:tab w:val="num" w:pos="4320"/>
        </w:tabs>
        <w:ind w:left="4320" w:hanging="360"/>
      </w:pPr>
      <w:rPr>
        <w:rFonts w:ascii="Wingdings" w:hAnsi="Wingdings" w:hint="default"/>
      </w:rPr>
    </w:lvl>
    <w:lvl w:ilvl="6" w:tplc="143A51AE">
      <w:start w:val="1"/>
      <w:numFmt w:val="bullet"/>
      <w:lvlText w:val=""/>
      <w:lvlJc w:val="left"/>
      <w:pPr>
        <w:tabs>
          <w:tab w:val="num" w:pos="5040"/>
        </w:tabs>
        <w:ind w:left="5040" w:hanging="360"/>
      </w:pPr>
      <w:rPr>
        <w:rFonts w:ascii="Wingdings" w:hAnsi="Wingdings" w:hint="default"/>
      </w:rPr>
    </w:lvl>
    <w:lvl w:ilvl="7" w:tplc="F850CD5C">
      <w:start w:val="1"/>
      <w:numFmt w:val="bullet"/>
      <w:lvlText w:val=""/>
      <w:lvlJc w:val="left"/>
      <w:pPr>
        <w:tabs>
          <w:tab w:val="num" w:pos="5760"/>
        </w:tabs>
        <w:ind w:left="5760" w:hanging="360"/>
      </w:pPr>
      <w:rPr>
        <w:rFonts w:ascii="Wingdings" w:hAnsi="Wingdings" w:hint="default"/>
      </w:rPr>
    </w:lvl>
    <w:lvl w:ilvl="8" w:tplc="CCF21C6C">
      <w:start w:val="1"/>
      <w:numFmt w:val="bullet"/>
      <w:lvlText w:val=""/>
      <w:lvlJc w:val="left"/>
      <w:pPr>
        <w:tabs>
          <w:tab w:val="num" w:pos="6480"/>
        </w:tabs>
        <w:ind w:left="6480" w:hanging="360"/>
      </w:pPr>
      <w:rPr>
        <w:rFonts w:ascii="Wingdings" w:hAnsi="Wingdings" w:hint="default"/>
      </w:rPr>
    </w:lvl>
  </w:abstractNum>
  <w:num w:numId="1" w16cid:durableId="1607695926">
    <w:abstractNumId w:val="7"/>
  </w:num>
  <w:num w:numId="2" w16cid:durableId="659819446">
    <w:abstractNumId w:val="6"/>
  </w:num>
  <w:num w:numId="3" w16cid:durableId="2061439691">
    <w:abstractNumId w:val="15"/>
  </w:num>
  <w:num w:numId="4" w16cid:durableId="1640109446">
    <w:abstractNumId w:val="10"/>
  </w:num>
  <w:num w:numId="5" w16cid:durableId="448621380">
    <w:abstractNumId w:val="11"/>
  </w:num>
  <w:num w:numId="6" w16cid:durableId="1168181103">
    <w:abstractNumId w:val="3"/>
  </w:num>
  <w:num w:numId="7" w16cid:durableId="1499883371">
    <w:abstractNumId w:val="13"/>
  </w:num>
  <w:num w:numId="8" w16cid:durableId="522019263">
    <w:abstractNumId w:val="14"/>
  </w:num>
  <w:num w:numId="9" w16cid:durableId="901873290">
    <w:abstractNumId w:val="4"/>
  </w:num>
  <w:num w:numId="10" w16cid:durableId="256598831">
    <w:abstractNumId w:val="16"/>
  </w:num>
  <w:num w:numId="11" w16cid:durableId="232273959">
    <w:abstractNumId w:val="12"/>
  </w:num>
  <w:num w:numId="12" w16cid:durableId="1772239638">
    <w:abstractNumId w:val="18"/>
  </w:num>
  <w:num w:numId="13" w16cid:durableId="1112869475">
    <w:abstractNumId w:val="2"/>
  </w:num>
  <w:num w:numId="14" w16cid:durableId="850146831">
    <w:abstractNumId w:val="17"/>
  </w:num>
  <w:num w:numId="15" w16cid:durableId="782920265">
    <w:abstractNumId w:val="8"/>
  </w:num>
  <w:num w:numId="16" w16cid:durableId="1683236481">
    <w:abstractNumId w:val="5"/>
  </w:num>
  <w:num w:numId="17" w16cid:durableId="817917099">
    <w:abstractNumId w:val="9"/>
  </w:num>
  <w:num w:numId="18" w16cid:durableId="1539584006">
    <w:abstractNumId w:val="0"/>
  </w:num>
  <w:num w:numId="19" w16cid:durableId="308899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D0"/>
    <w:rsid w:val="000A5269"/>
    <w:rsid w:val="001125D0"/>
    <w:rsid w:val="001425E2"/>
    <w:rsid w:val="001466C1"/>
    <w:rsid w:val="00265DE2"/>
    <w:rsid w:val="003B519A"/>
    <w:rsid w:val="00461910"/>
    <w:rsid w:val="004D679F"/>
    <w:rsid w:val="007C2A21"/>
    <w:rsid w:val="008E591D"/>
    <w:rsid w:val="00AC7A3A"/>
    <w:rsid w:val="00C93108"/>
    <w:rsid w:val="00FF3DC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82E6"/>
  <w15:chartTrackingRefBased/>
  <w15:docId w15:val="{31BE87FD-B204-416F-AB98-E0ED1B40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5D0"/>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125D0"/>
    <w:rPr>
      <w:color w:val="0000FF"/>
      <w:u w:val="single"/>
    </w:rPr>
  </w:style>
  <w:style w:type="paragraph" w:styleId="a4">
    <w:name w:val="endnote text"/>
    <w:basedOn w:val="a"/>
    <w:link w:val="a5"/>
    <w:uiPriority w:val="99"/>
    <w:semiHidden/>
    <w:unhideWhenUsed/>
    <w:rsid w:val="001125D0"/>
    <w:rPr>
      <w:sz w:val="20"/>
      <w:szCs w:val="20"/>
    </w:rPr>
  </w:style>
  <w:style w:type="character" w:customStyle="1" w:styleId="a5">
    <w:name w:val="Текст кінцевої виноски Знак"/>
    <w:basedOn w:val="a0"/>
    <w:link w:val="a4"/>
    <w:uiPriority w:val="99"/>
    <w:semiHidden/>
    <w:rsid w:val="001125D0"/>
    <w:rPr>
      <w:rFonts w:ascii="Calibri" w:eastAsia="Calibri" w:hAnsi="Calibri" w:cs="Times New Roman"/>
      <w:kern w:val="0"/>
      <w:sz w:val="20"/>
      <w:szCs w:val="20"/>
      <w14:ligatures w14:val="none"/>
    </w:rPr>
  </w:style>
  <w:style w:type="character" w:styleId="a6">
    <w:name w:val="endnote reference"/>
    <w:uiPriority w:val="99"/>
    <w:semiHidden/>
    <w:unhideWhenUsed/>
    <w:rsid w:val="00112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2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0%D0%BE%D0%B7%D1%83%D0%BC%D1%96%D0%BD%D0%BD%D1%8F" TargetMode="External"/><Relationship Id="rId13" Type="http://schemas.openxmlformats.org/officeDocument/2006/relationships/image" Target="media/image2.png"/><Relationship Id="rId18" Type="http://schemas.openxmlformats.org/officeDocument/2006/relationships/hyperlink" Target="https://uk.wikipedia.org/w/index.php?title=%D0%9F%D1%80%D0%BE%D0%B3%D1%80%D0%B0%D0%BC%D0%B0_%D0%9E%D0%9E%D0%9D_%D0%B7_%D0%BD%D0%B0%D0%B2%D0%BA%D0%BE%D0%BB%D0%B8%D1%88%D0%BD%D1%8C%D0%BE%D0%B3%D0%BE_%D1%81%D0%B5%D1%80%D0%B5%D0%B4%D0%BE%D0%B2%D0%B8%D1%89%D0%B0&amp;action=edit&amp;redlink=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k.wikipedia.org/w/index.php?title=%D0%9F%D1%80%D0%BE%D0%B3%D1%80%D0%B0%D0%BC%D0%B0_%D0%9E%D0%9E%D0%9D_%D0%B7_%D0%BD%D0%B0%D0%B2%D0%BA%D0%BE%D0%BB%D0%B8%D1%88%D0%BD%D1%8C%D0%BE%D0%B3%D0%BE_%D1%81%D0%B5%D1%80%D0%B5%D0%B4%D0%BE%D0%B2%D0%B8%D1%89%D0%B0&amp;action=edit&amp;redlink=1" TargetMode="External"/><Relationship Id="rId7" Type="http://schemas.openxmlformats.org/officeDocument/2006/relationships/hyperlink" Target="https://uk.wikipedia.org/wiki/%D0%9B%D0%B0%D1%82%D0%B8%D0%BD%D1%81%D1%8C%D0%BA%D0%B0_%D0%BC%D0%BE%D0%B2%D0%B0" TargetMode="External"/><Relationship Id="rId12" Type="http://schemas.openxmlformats.org/officeDocument/2006/relationships/chart" Target="charts/chart2.xml"/><Relationship Id="rId17" Type="http://schemas.openxmlformats.org/officeDocument/2006/relationships/hyperlink" Target="https://uk.wikipedia.org/wiki/%D0%A1%D0%B2%D1%96%D1%82%D0%BE%D0%B2%D0%B8%D0%B9_%D0%B1%D0%B0%D0%BD%D0%BA" TargetMode="External"/><Relationship Id="rId25" Type="http://schemas.openxmlformats.org/officeDocument/2006/relationships/hyperlink" Target="https://uk.wikipedia.org/w/index.php?title=%D0%9A%D0%BE%D0%BC%D0%BF%27%D1%8E%D1%82%D0%B5%D1%80%D0%BD%D0%B0_%D1%82%D0%B5%D1%85%D0%BD%D0%BE%D0%BB%D0%BE%D0%B3%D1%96%D1%8F&amp;action=edit&amp;redlink=1" TargetMode="External"/><Relationship Id="rId2" Type="http://schemas.openxmlformats.org/officeDocument/2006/relationships/styles" Target="styles.xml"/><Relationship Id="rId16" Type="http://schemas.openxmlformats.org/officeDocument/2006/relationships/hyperlink" Target="https://uk.wikipedia.org/wiki/%D0%A1%D0%B2%D1%96%D1%82%D0%BE%D0%B2%D0%B8%D0%B9_%D0%B1%D0%B0%D0%BD%D0%BA" TargetMode="External"/><Relationship Id="rId20" Type="http://schemas.openxmlformats.org/officeDocument/2006/relationships/hyperlink" Target="https://uk.wikipedia.org/w/index.php?title=%D0%9F%D1%80%D0%BE%D0%B3%D1%80%D0%B0%D0%BC%D0%B0_%D0%9E%D0%9E%D0%9D_%D0%B7_%D0%BD%D0%B0%D0%B2%D0%BA%D0%BE%D0%BB%D0%B8%D1%88%D0%BD%D1%8C%D0%BE%D0%B3%D0%BE_%D1%81%D0%B5%D1%80%D0%B5%D0%B4%D0%BE%D0%B2%D0%B8%D1%89%D0%B0&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uk.wikipedia.org/wiki/%D0%93%D0%B5%D0%BE%D1%96%D0%BD%D1%84%D0%BE%D1%80%D0%BC%D0%B0%D1%86%D1%96%D0%B9%D0%BD%D0%B0_%D1%81%D0%B8%D1%81%D1%82%D0%B5%D0%BC%D0%B0" TargetMode="External"/><Relationship Id="rId5" Type="http://schemas.openxmlformats.org/officeDocument/2006/relationships/footnotes" Target="footnotes.xml"/><Relationship Id="rId15" Type="http://schemas.openxmlformats.org/officeDocument/2006/relationships/hyperlink" Target="https://uk.wikipedia.org/wiki/%D0%9E%D1%80%D0%B3%D0%B0%D0%BD%D1%96%D0%B7%D0%B0%D1%86%D1%96%D1%8F_%D0%B5%D0%BA%D0%BE%D0%BD%D0%BE%D0%BC%D1%96%D1%87%D0%BD%D0%BE%D0%B3%D0%BE_%D1%81%D0%BF%D1%96%D0%B2%D1%80%D0%BE%D0%B1%D1%96%D1%82%D0%BD%D0%B8%D1%86%D1%82%D0%B2%D0%B0_%D1%82%D0%B0_%D1%80%D0%BE%D0%B7%D0%B2%D0%B8%D1%82%D0%BA%D1%83" TargetMode="External"/><Relationship Id="rId23" Type="http://schemas.openxmlformats.org/officeDocument/2006/relationships/hyperlink" Target="https://uk.wikipedia.org/wiki/%D0%93%D0%B5%D0%BE%D1%96%D0%BD%D1%84%D0%BE%D1%80%D0%BC%D0%B0%D1%86%D1%96%D0%B9%D0%BD%D0%B0_%D1%81%D0%B8%D1%81%D1%82%D0%B5%D0%BC%D0%B0" TargetMode="External"/><Relationship Id="rId10" Type="http://schemas.openxmlformats.org/officeDocument/2006/relationships/image" Target="media/image1.png"/><Relationship Id="rId19" Type="http://schemas.openxmlformats.org/officeDocument/2006/relationships/hyperlink" Target="https://uk.wikipedia.org/w/index.php?title=%D0%9F%D1%80%D0%BE%D0%B3%D1%80%D0%B0%D0%BC%D0%B0_%D0%9E%D0%9E%D0%9D_%D0%B7_%D0%BD%D0%B0%D0%B2%D0%BA%D0%BE%D0%BB%D0%B8%D1%88%D0%BD%D1%8C%D0%BE%D0%B3%D0%BE_%D1%81%D0%B5%D1%80%D0%B5%D0%B4%D0%BE%D0%B2%D0%B8%D1%89%D0%B0&amp;action=edit&amp;redlink=1" TargetMode="External"/><Relationship Id="rId4" Type="http://schemas.openxmlformats.org/officeDocument/2006/relationships/webSettings" Target="webSettings.xml"/><Relationship Id="rId9" Type="http://schemas.openxmlformats.org/officeDocument/2006/relationships/hyperlink" Target="https://uk.wikipedia.org/wiki/%D0%9B%D0%B0%D1%82%D0%B8%D0%BD%D1%81%D1%8C%D0%BA%D0%B0_%D0%BC%D0%BE%D0%B2%D0%B0" TargetMode="External"/><Relationship Id="rId14" Type="http://schemas.openxmlformats.org/officeDocument/2006/relationships/hyperlink" Target="https://uk.wikipedia.org/wiki/%D0%9E%D1%80%D0%B3%D0%B0%D0%BD%D1%96%D0%B7%D0%B0%D1%86%D1%96%D1%8F_%D0%B5%D0%BA%D0%BE%D0%BD%D0%BE%D0%BC%D1%96%D1%87%D0%BD%D0%BE%D0%B3%D0%BE_%D1%81%D0%BF%D1%96%D0%B2%D1%80%D0%BE%D0%B1%D1%96%D1%82%D0%BD%D0%B8%D1%86%D1%82%D0%B2%D0%B0_%D1%82%D0%B0_%D1%80%D0%BE%D0%B7%D0%B2%D0%B8%D1%82%D0%BA%D1%83" TargetMode="External"/><Relationship Id="rId22" Type="http://schemas.openxmlformats.org/officeDocument/2006/relationships/hyperlink" Target="https://uk.wikipedia.org/w/index.php?title=%D0%9F%D1%80%D0%BE%D0%B3%D1%80%D0%B0%D0%BC%D0%B0_%D0%9E%D0%9E%D0%9D_%D0%B7_%D0%BD%D0%B0%D0%B2%D0%BA%D0%BE%D0%BB%D0%B8%D1%88%D0%BD%D1%8C%D0%BE%D0%B3%D0%BE_%D1%81%D0%B5%D1%80%D0%B5%D0%B4%D0%BE%D0%B2%D0%B8%D1%89%D0%B0&amp;action=edit&amp;redlink=1"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E:\&#1056;&#1072;&#1073;&#1086;&#1090;&#1072;\Zamula9\Statti\09\tezu\Odesa\grafik.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1056;&#1072;&#1073;&#1086;&#1090;&#1072;\Zamula9\Statti\09\tezu\Odesa\grafik.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uk-UA"/>
  <c:roundedCorners val="1"/>
  <c:style val="2"/>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128364768357425"/>
          <c:y val="5.1400554097404488E-2"/>
          <c:w val="0.64452338806486398"/>
          <c:h val="0.79822506561679785"/>
        </c:manualLayout>
      </c:layout>
      <c:lineChart>
        <c:grouping val="standard"/>
        <c:varyColors val="1"/>
        <c:ser>
          <c:idx val="0"/>
          <c:order val="1"/>
          <c:tx>
            <c:strRef>
              <c:f>Лист1!$B$1</c:f>
              <c:strCache>
                <c:ptCount val="1"/>
                <c:pt idx="0">
                  <c:v>Кількість населення, млрд. чол.</c:v>
                </c:pt>
              </c:strCache>
            </c:strRef>
          </c:tx>
          <c:spPr>
            <a:ln>
              <a:solidFill>
                <a:schemeClr val="tx1"/>
              </a:solidFill>
            </a:ln>
          </c:spPr>
          <c:marker>
            <c:symbol val="none"/>
          </c:marker>
          <c:cat>
            <c:numRef>
              <c:f>Лист1!$A$2:$A$9</c:f>
              <c:numCache>
                <c:formatCode>General</c:formatCode>
                <c:ptCount val="8"/>
                <c:pt idx="0">
                  <c:v>1650</c:v>
                </c:pt>
                <c:pt idx="1">
                  <c:v>1700</c:v>
                </c:pt>
                <c:pt idx="2">
                  <c:v>1750</c:v>
                </c:pt>
                <c:pt idx="3">
                  <c:v>1800</c:v>
                </c:pt>
                <c:pt idx="4">
                  <c:v>1850</c:v>
                </c:pt>
                <c:pt idx="5">
                  <c:v>1900</c:v>
                </c:pt>
                <c:pt idx="6">
                  <c:v>1950</c:v>
                </c:pt>
                <c:pt idx="7">
                  <c:v>2000</c:v>
                </c:pt>
              </c:numCache>
            </c:numRef>
          </c:cat>
          <c:val>
            <c:numRef>
              <c:f>Лист1!$B$2:$B$9</c:f>
              <c:numCache>
                <c:formatCode>General</c:formatCode>
                <c:ptCount val="8"/>
                <c:pt idx="0">
                  <c:v>0.56000000000000005</c:v>
                </c:pt>
                <c:pt idx="1">
                  <c:v>0.56999999999999995</c:v>
                </c:pt>
                <c:pt idx="2">
                  <c:v>0.58000000000000052</c:v>
                </c:pt>
                <c:pt idx="3">
                  <c:v>0.59500000000000053</c:v>
                </c:pt>
                <c:pt idx="4">
                  <c:v>1.2</c:v>
                </c:pt>
                <c:pt idx="5">
                  <c:v>1.6</c:v>
                </c:pt>
                <c:pt idx="6">
                  <c:v>2.5</c:v>
                </c:pt>
                <c:pt idx="7">
                  <c:v>6</c:v>
                </c:pt>
              </c:numCache>
            </c:numRef>
          </c:val>
          <c:smooth val="1"/>
          <c:extLst>
            <c:ext xmlns:c16="http://schemas.microsoft.com/office/drawing/2014/chart" uri="{C3380CC4-5D6E-409C-BE32-E72D297353CC}">
              <c16:uniqueId val="{00000000-FD4E-4B6D-878C-AE409FB72C3C}"/>
            </c:ext>
          </c:extLst>
        </c:ser>
        <c:ser>
          <c:idx val="1"/>
          <c:order val="0"/>
          <c:tx>
            <c:strRef>
              <c:f>Лист1!$B$1</c:f>
              <c:strCache>
                <c:ptCount val="1"/>
                <c:pt idx="0">
                  <c:v>Кількість населення, млрд. чол.</c:v>
                </c:pt>
              </c:strCache>
            </c:strRef>
          </c:tx>
          <c:spPr>
            <a:ln>
              <a:solidFill>
                <a:schemeClr val="tx1"/>
              </a:solidFill>
            </a:ln>
          </c:spPr>
          <c:marker>
            <c:symbol val="none"/>
          </c:marker>
          <c:cat>
            <c:numRef>
              <c:f>Лист1!$A$2:$A$9</c:f>
              <c:numCache>
                <c:formatCode>General</c:formatCode>
                <c:ptCount val="8"/>
                <c:pt idx="0">
                  <c:v>1650</c:v>
                </c:pt>
                <c:pt idx="1">
                  <c:v>1700</c:v>
                </c:pt>
                <c:pt idx="2">
                  <c:v>1750</c:v>
                </c:pt>
                <c:pt idx="3">
                  <c:v>1800</c:v>
                </c:pt>
                <c:pt idx="4">
                  <c:v>1850</c:v>
                </c:pt>
                <c:pt idx="5">
                  <c:v>1900</c:v>
                </c:pt>
                <c:pt idx="6">
                  <c:v>1950</c:v>
                </c:pt>
                <c:pt idx="7">
                  <c:v>2000</c:v>
                </c:pt>
              </c:numCache>
            </c:numRef>
          </c:cat>
          <c:val>
            <c:numRef>
              <c:f>Лист1!$B$2:$B$9</c:f>
              <c:numCache>
                <c:formatCode>General</c:formatCode>
                <c:ptCount val="8"/>
                <c:pt idx="0">
                  <c:v>0.56000000000000005</c:v>
                </c:pt>
                <c:pt idx="1">
                  <c:v>0.56999999999999995</c:v>
                </c:pt>
                <c:pt idx="2">
                  <c:v>0.58000000000000052</c:v>
                </c:pt>
                <c:pt idx="3">
                  <c:v>0.59500000000000053</c:v>
                </c:pt>
                <c:pt idx="4">
                  <c:v>1.2</c:v>
                </c:pt>
                <c:pt idx="5">
                  <c:v>1.6</c:v>
                </c:pt>
                <c:pt idx="6">
                  <c:v>2.5</c:v>
                </c:pt>
                <c:pt idx="7">
                  <c:v>6</c:v>
                </c:pt>
              </c:numCache>
            </c:numRef>
          </c:val>
          <c:smooth val="1"/>
          <c:extLst>
            <c:ext xmlns:c16="http://schemas.microsoft.com/office/drawing/2014/chart" uri="{C3380CC4-5D6E-409C-BE32-E72D297353CC}">
              <c16:uniqueId val="{00000001-FD4E-4B6D-878C-AE409FB72C3C}"/>
            </c:ext>
          </c:extLst>
        </c:ser>
        <c:dLbls>
          <c:showLegendKey val="0"/>
          <c:showVal val="0"/>
          <c:showCatName val="0"/>
          <c:showSerName val="0"/>
          <c:showPercent val="0"/>
          <c:showBubbleSize val="0"/>
        </c:dLbls>
        <c:smooth val="0"/>
        <c:axId val="119610752"/>
        <c:axId val="119621120"/>
      </c:lineChart>
      <c:catAx>
        <c:axId val="119610752"/>
        <c:scaling>
          <c:orientation val="minMax"/>
        </c:scaling>
        <c:delete val="1"/>
        <c:axPos val="b"/>
        <c:numFmt formatCode="General" sourceLinked="1"/>
        <c:majorTickMark val="cross"/>
        <c:minorTickMark val="cross"/>
        <c:tickLblPos val="nextTo"/>
        <c:crossAx val="119621120"/>
        <c:crosses val="autoZero"/>
        <c:auto val="1"/>
        <c:lblAlgn val="ctr"/>
        <c:lblOffset val="100"/>
        <c:noMultiLvlLbl val="1"/>
      </c:catAx>
      <c:valAx>
        <c:axId val="119621120"/>
        <c:scaling>
          <c:orientation val="minMax"/>
        </c:scaling>
        <c:delete val="1"/>
        <c:axPos val="l"/>
        <c:majorGridlines/>
        <c:numFmt formatCode="General" sourceLinked="1"/>
        <c:majorTickMark val="cross"/>
        <c:minorTickMark val="cross"/>
        <c:tickLblPos val="nextTo"/>
        <c:crossAx val="119610752"/>
        <c:crosses val="autoZero"/>
        <c:crossBetween val="between"/>
      </c:valAx>
    </c:plotArea>
    <c:legend>
      <c:legendPos val="r"/>
      <c:legendEntry>
        <c:idx val="0"/>
        <c:txPr>
          <a:bodyPr/>
          <a:lstStyle/>
          <a:p>
            <a:pPr>
              <a:defRPr baseline="0">
                <a:latin typeface="Times New Roman" pitchFamily="18" charset="0"/>
              </a:defRPr>
            </a:pPr>
            <a:endParaRPr lang="ru-RU"/>
          </a:p>
        </c:txPr>
      </c:legendEntry>
      <c:legendEntry>
        <c:idx val="1"/>
        <c:delete val="1"/>
      </c:legendEntry>
      <c:layout>
        <c:manualLayout>
          <c:xMode val="edge"/>
          <c:yMode val="edge"/>
          <c:x val="8.0103359173128348E-4"/>
          <c:y val="9.6328841247785221E-2"/>
          <c:w val="0.20591731266150634"/>
          <c:h val="0.34795826992216661"/>
        </c:manualLayout>
      </c:layout>
      <c:overlay val="1"/>
      <c:txPr>
        <a:bodyPr/>
        <a:lstStyle/>
        <a:p>
          <a:pPr>
            <a:defRPr lang="ru-RU"/>
          </a:pPr>
          <a:endParaRPr lang="ru-RU"/>
        </a:p>
      </c:txPr>
    </c:legend>
    <c:plotVisOnly val="1"/>
    <c:dispBlanksAs val="zero"/>
    <c:showDLblsOverMax val="1"/>
  </c:chart>
  <c:spPr>
    <a:ln>
      <a:noFill/>
    </a:ln>
  </c:spPr>
  <c:externalData r:id="rId2">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uk-UA"/>
  <c:roundedCorners val="1"/>
  <c:style val="2"/>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571741032371027E-2"/>
          <c:y val="5.1400554097404488E-2"/>
          <c:w val="0.58803156974489756"/>
          <c:h val="0.79822506561679785"/>
        </c:manualLayout>
      </c:layout>
      <c:lineChart>
        <c:grouping val="standard"/>
        <c:varyColors val="1"/>
        <c:ser>
          <c:idx val="1"/>
          <c:order val="0"/>
          <c:tx>
            <c:strRef>
              <c:f>Лист2!$B$1</c:f>
              <c:strCache>
                <c:ptCount val="1"/>
                <c:pt idx="0">
                  <c:v>обсяг промислового виробництва, млрд. дол.</c:v>
                </c:pt>
              </c:strCache>
            </c:strRef>
          </c:tx>
          <c:spPr>
            <a:ln>
              <a:solidFill>
                <a:sysClr val="windowText" lastClr="000000"/>
              </a:solidFill>
            </a:ln>
          </c:spPr>
          <c:marker>
            <c:symbol val="none"/>
          </c:marker>
          <c:cat>
            <c:numRef>
              <c:f>Лист2!$A$2:$A$9</c:f>
              <c:numCache>
                <c:formatCode>General</c:formatCode>
                <c:ptCount val="8"/>
                <c:pt idx="0">
                  <c:v>1930</c:v>
                </c:pt>
                <c:pt idx="1">
                  <c:v>1940</c:v>
                </c:pt>
                <c:pt idx="2">
                  <c:v>1950</c:v>
                </c:pt>
                <c:pt idx="3">
                  <c:v>1960</c:v>
                </c:pt>
                <c:pt idx="4">
                  <c:v>1970</c:v>
                </c:pt>
                <c:pt idx="5">
                  <c:v>1980</c:v>
                </c:pt>
                <c:pt idx="6">
                  <c:v>1990</c:v>
                </c:pt>
                <c:pt idx="7">
                  <c:v>2000</c:v>
                </c:pt>
              </c:numCache>
            </c:numRef>
          </c:cat>
          <c:val>
            <c:numRef>
              <c:f>Лист2!$B$2:$B$9</c:f>
              <c:numCache>
                <c:formatCode>General</c:formatCode>
                <c:ptCount val="8"/>
                <c:pt idx="0">
                  <c:v>30</c:v>
                </c:pt>
                <c:pt idx="1">
                  <c:v>35</c:v>
                </c:pt>
                <c:pt idx="2">
                  <c:v>50</c:v>
                </c:pt>
                <c:pt idx="3">
                  <c:v>80</c:v>
                </c:pt>
                <c:pt idx="4">
                  <c:v>150</c:v>
                </c:pt>
                <c:pt idx="5">
                  <c:v>230</c:v>
                </c:pt>
                <c:pt idx="6">
                  <c:v>300</c:v>
                </c:pt>
                <c:pt idx="7">
                  <c:v>400</c:v>
                </c:pt>
              </c:numCache>
            </c:numRef>
          </c:val>
          <c:smooth val="1"/>
          <c:extLst>
            <c:ext xmlns:c16="http://schemas.microsoft.com/office/drawing/2014/chart" uri="{C3380CC4-5D6E-409C-BE32-E72D297353CC}">
              <c16:uniqueId val="{00000000-FAE3-430A-8C18-E8C48A57908C}"/>
            </c:ext>
          </c:extLst>
        </c:ser>
        <c:ser>
          <c:idx val="2"/>
          <c:order val="1"/>
          <c:tx>
            <c:strRef>
              <c:f>Лист2!$C$1</c:f>
              <c:strCache>
                <c:ptCount val="1"/>
                <c:pt idx="0">
                  <c:v>обсяг промислового виробництва на душу населення,     млрд.     дол./ млрд. чол.</c:v>
                </c:pt>
              </c:strCache>
            </c:strRef>
          </c:tx>
          <c:spPr>
            <a:ln>
              <a:solidFill>
                <a:schemeClr val="tx1"/>
              </a:solidFill>
              <a:prstDash val="dash"/>
            </a:ln>
          </c:spPr>
          <c:marker>
            <c:symbol val="none"/>
          </c:marker>
          <c:cat>
            <c:numRef>
              <c:f>Лист2!$A$2:$A$9</c:f>
              <c:numCache>
                <c:formatCode>General</c:formatCode>
                <c:ptCount val="8"/>
                <c:pt idx="0">
                  <c:v>1930</c:v>
                </c:pt>
                <c:pt idx="1">
                  <c:v>1940</c:v>
                </c:pt>
                <c:pt idx="2">
                  <c:v>1950</c:v>
                </c:pt>
                <c:pt idx="3">
                  <c:v>1960</c:v>
                </c:pt>
                <c:pt idx="4">
                  <c:v>1970</c:v>
                </c:pt>
                <c:pt idx="5">
                  <c:v>1980</c:v>
                </c:pt>
                <c:pt idx="6">
                  <c:v>1990</c:v>
                </c:pt>
                <c:pt idx="7">
                  <c:v>2000</c:v>
                </c:pt>
              </c:numCache>
            </c:numRef>
          </c:cat>
          <c:val>
            <c:numRef>
              <c:f>Лист2!$C$2:$C$9</c:f>
              <c:numCache>
                <c:formatCode>General</c:formatCode>
                <c:ptCount val="8"/>
                <c:pt idx="0">
                  <c:v>33</c:v>
                </c:pt>
                <c:pt idx="1">
                  <c:v>38</c:v>
                </c:pt>
                <c:pt idx="2">
                  <c:v>53</c:v>
                </c:pt>
                <c:pt idx="3">
                  <c:v>81</c:v>
                </c:pt>
                <c:pt idx="4">
                  <c:v>130</c:v>
                </c:pt>
                <c:pt idx="5">
                  <c:v>150</c:v>
                </c:pt>
                <c:pt idx="6">
                  <c:v>180</c:v>
                </c:pt>
                <c:pt idx="7">
                  <c:v>190</c:v>
                </c:pt>
              </c:numCache>
            </c:numRef>
          </c:val>
          <c:smooth val="1"/>
          <c:extLst>
            <c:ext xmlns:c16="http://schemas.microsoft.com/office/drawing/2014/chart" uri="{C3380CC4-5D6E-409C-BE32-E72D297353CC}">
              <c16:uniqueId val="{00000001-FAE3-430A-8C18-E8C48A57908C}"/>
            </c:ext>
          </c:extLst>
        </c:ser>
        <c:dLbls>
          <c:showLegendKey val="0"/>
          <c:showVal val="0"/>
          <c:showCatName val="0"/>
          <c:showSerName val="0"/>
          <c:showPercent val="0"/>
          <c:showBubbleSize val="0"/>
        </c:dLbls>
        <c:smooth val="0"/>
        <c:axId val="131592192"/>
        <c:axId val="133263360"/>
      </c:lineChart>
      <c:catAx>
        <c:axId val="131592192"/>
        <c:scaling>
          <c:orientation val="minMax"/>
        </c:scaling>
        <c:delete val="1"/>
        <c:axPos val="b"/>
        <c:numFmt formatCode="General" sourceLinked="1"/>
        <c:majorTickMark val="cross"/>
        <c:minorTickMark val="cross"/>
        <c:tickLblPos val="nextTo"/>
        <c:crossAx val="133263360"/>
        <c:crosses val="autoZero"/>
        <c:auto val="1"/>
        <c:lblAlgn val="ctr"/>
        <c:lblOffset val="100"/>
        <c:noMultiLvlLbl val="1"/>
      </c:catAx>
      <c:valAx>
        <c:axId val="133263360"/>
        <c:scaling>
          <c:orientation val="minMax"/>
        </c:scaling>
        <c:delete val="1"/>
        <c:axPos val="l"/>
        <c:majorGridlines/>
        <c:numFmt formatCode="General" sourceLinked="1"/>
        <c:majorTickMark val="cross"/>
        <c:minorTickMark val="cross"/>
        <c:tickLblPos val="nextTo"/>
        <c:crossAx val="131592192"/>
        <c:crosses val="autoZero"/>
        <c:crossBetween val="between"/>
      </c:valAx>
    </c:plotArea>
    <c:legend>
      <c:legendPos val="r"/>
      <c:layout>
        <c:manualLayout>
          <c:xMode val="edge"/>
          <c:yMode val="edge"/>
          <c:x val="0.71485958929219695"/>
          <c:y val="0.11458916593759114"/>
          <c:w val="0.27072593668239803"/>
          <c:h val="0.79396981627296592"/>
        </c:manualLayout>
      </c:layout>
      <c:overlay val="1"/>
      <c:txPr>
        <a:bodyPr/>
        <a:lstStyle/>
        <a:p>
          <a:pPr>
            <a:defRPr lang="ru-RU"/>
          </a:pPr>
          <a:endParaRPr lang="ru-RU"/>
        </a:p>
      </c:txPr>
    </c:legend>
    <c:plotVisOnly val="1"/>
    <c:dispBlanksAs val="zero"/>
    <c:showDLblsOverMax val="1"/>
  </c:chart>
  <c:spPr>
    <a:ln>
      <a:noFill/>
    </a:ln>
  </c:spPr>
  <c:txPr>
    <a:bodyPr/>
    <a:lstStyle/>
    <a:p>
      <a:pPr>
        <a:defRPr baseline="0">
          <a:latin typeface="Times New Roman" pitchFamily="18" charset="0"/>
        </a:defRPr>
      </a:pPr>
      <a:endParaRPr lang="ru-RU"/>
    </a:p>
  </c:txPr>
  <c:externalData r:id="rId2">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19</Pages>
  <Words>7392</Words>
  <Characters>42135</Characters>
  <Application>Microsoft Office Word</Application>
  <DocSecurity>0</DocSecurity>
  <Lines>351</Lines>
  <Paragraphs>98</Paragraphs>
  <ScaleCrop>false</ScaleCrop>
  <Company/>
  <LinksUpToDate>false</LinksUpToDate>
  <CharactersWithSpaces>49429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Анна Кирейцева</cp:lastModifiedBy>
  <cp:revision>3</cp:revision>
  <dcterms:created xsi:type="dcterms:W3CDTF">2023-09-17T07:28:00Z</dcterms:created>
  <dcterms:modified xsi:type="dcterms:W3CDTF">2025-02-11T04:54:00Z</dcterms:modified>
</cp:coreProperties>
</file>