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75F2" w14:textId="0DA08091" w:rsidR="00FF5043" w:rsidRDefault="00340447" w:rsidP="00FF5043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</w:t>
      </w:r>
      <w:r w:rsidR="0068196D">
        <w:rPr>
          <w:b/>
          <w:sz w:val="28"/>
          <w:szCs w:val="28"/>
          <w:lang w:val="uk-UA"/>
        </w:rPr>
        <w:t>4</w:t>
      </w:r>
      <w:r w:rsidR="0051494E" w:rsidRPr="0051494E">
        <w:rPr>
          <w:b/>
          <w:sz w:val="28"/>
          <w:szCs w:val="28"/>
        </w:rPr>
        <w:t xml:space="preserve">. </w:t>
      </w:r>
      <w:r w:rsidR="0068196D" w:rsidRPr="004632B4">
        <w:rPr>
          <w:b/>
          <w:bCs/>
          <w:sz w:val="28"/>
          <w:szCs w:val="28"/>
        </w:rPr>
        <w:t>Угода про асоціацію між Україною та Європейським Союзом</w:t>
      </w:r>
      <w:r w:rsidR="0068196D">
        <w:rPr>
          <w:b/>
          <w:bCs/>
          <w:sz w:val="28"/>
          <w:szCs w:val="28"/>
          <w:lang w:val="uk-UA"/>
        </w:rPr>
        <w:t xml:space="preserve"> (Частина 1)</w:t>
      </w:r>
    </w:p>
    <w:p w14:paraId="054F799E" w14:textId="5E48AD70" w:rsidR="0051494E" w:rsidRDefault="0051494E" w:rsidP="006B7E81">
      <w:pPr>
        <w:overflowPunct w:val="0"/>
        <w:ind w:firstLine="709"/>
        <w:jc w:val="center"/>
        <w:rPr>
          <w:b/>
          <w:bCs/>
          <w:sz w:val="28"/>
          <w:szCs w:val="28"/>
        </w:rPr>
      </w:pPr>
    </w:p>
    <w:p w14:paraId="06076B6D" w14:textId="77777777" w:rsidR="006B7E81" w:rsidRPr="0051494E" w:rsidRDefault="006B7E81" w:rsidP="006B7E81">
      <w:pPr>
        <w:overflowPunct w:val="0"/>
        <w:ind w:firstLine="709"/>
        <w:jc w:val="center"/>
        <w:rPr>
          <w:b/>
        </w:rPr>
      </w:pPr>
    </w:p>
    <w:p w14:paraId="54F95EB8" w14:textId="77777777" w:rsidR="0051494E" w:rsidRDefault="0051494E" w:rsidP="006676EC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5447D8BF" w14:textId="45424D45" w:rsidR="0068196D" w:rsidRPr="004632B4" w:rsidRDefault="0068196D" w:rsidP="0068196D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4632B4">
        <w:rPr>
          <w:b/>
          <w:bCs/>
          <w:sz w:val="28"/>
          <w:szCs w:val="28"/>
          <w:lang w:val="uk-UA"/>
        </w:rPr>
        <w:t xml:space="preserve">1. </w:t>
      </w:r>
      <w:r w:rsidRPr="004632B4">
        <w:rPr>
          <w:b/>
          <w:bCs/>
          <w:sz w:val="28"/>
          <w:szCs w:val="28"/>
        </w:rPr>
        <w:t>Угода про асоціацію між Україною та Європейським Союзом</w:t>
      </w:r>
      <w:r w:rsidRPr="004632B4">
        <w:rPr>
          <w:rFonts w:eastAsia="PingFang TC"/>
          <w:b/>
          <w:bCs/>
          <w:sz w:val="28"/>
          <w:szCs w:val="28"/>
          <w:lang w:val="uk-UA"/>
        </w:rPr>
        <w:t xml:space="preserve"> – хронологія подій</w:t>
      </w:r>
      <w:r>
        <w:rPr>
          <w:rFonts w:eastAsia="PingFang TC"/>
          <w:b/>
          <w:bCs/>
          <w:sz w:val="28"/>
          <w:szCs w:val="28"/>
          <w:lang w:val="uk-UA"/>
        </w:rPr>
        <w:t>.</w:t>
      </w:r>
    </w:p>
    <w:p w14:paraId="6352EFCD" w14:textId="1B9B3872" w:rsidR="0068196D" w:rsidRPr="004632B4" w:rsidRDefault="0068196D" w:rsidP="0068196D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6214B">
        <w:rPr>
          <w:rFonts w:eastAsia="PingFang TC"/>
          <w:b/>
          <w:bCs/>
          <w:sz w:val="28"/>
          <w:szCs w:val="28"/>
          <w:lang w:val="uk-UA"/>
        </w:rPr>
        <w:t>2.</w:t>
      </w:r>
      <w:r>
        <w:rPr>
          <w:rFonts w:eastAsia="PingFang TC"/>
          <w:b/>
          <w:bCs/>
          <w:sz w:val="28"/>
          <w:szCs w:val="28"/>
          <w:lang w:val="uk-UA"/>
        </w:rPr>
        <w:t xml:space="preserve"> Правова природа та структура Угоди про асоціацію.</w:t>
      </w:r>
    </w:p>
    <w:p w14:paraId="7FC67232" w14:textId="2CD121DE" w:rsidR="0068196D" w:rsidRDefault="0068196D" w:rsidP="0068196D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4632B4">
        <w:rPr>
          <w:rFonts w:eastAsia="PingFang TC"/>
          <w:b/>
          <w:bCs/>
          <w:sz w:val="28"/>
          <w:szCs w:val="28"/>
          <w:lang w:val="uk-UA"/>
        </w:rPr>
        <w:t xml:space="preserve">3. </w:t>
      </w:r>
      <w:r>
        <w:rPr>
          <w:rFonts w:eastAsia="PingFang TC"/>
          <w:b/>
          <w:bCs/>
          <w:sz w:val="28"/>
          <w:szCs w:val="28"/>
          <w:lang w:val="uk-UA"/>
        </w:rPr>
        <w:t>Вплив Угоди про асоціацію на економіку України та наближення законодавства України до права Європейського Союзу.</w:t>
      </w:r>
    </w:p>
    <w:p w14:paraId="68BBC0EB" w14:textId="77777777" w:rsidR="0068196D" w:rsidRDefault="0068196D" w:rsidP="0068196D">
      <w:pPr>
        <w:pStyle w:val="p1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4EED79A3" w:rsidR="0051494E" w:rsidRPr="007B582B" w:rsidRDefault="0068196D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 w:rsidRPr="007B582B">
        <w:rPr>
          <w:sz w:val="28"/>
        </w:rPr>
        <w:t xml:space="preserve">Хронологія подій (переговорний процес), що передувала набуттю чинності </w:t>
      </w:r>
      <w:r w:rsidRPr="007B582B">
        <w:rPr>
          <w:color w:val="000000" w:themeColor="text1"/>
          <w:sz w:val="28"/>
          <w:szCs w:val="28"/>
        </w:rPr>
        <w:t>Угодою про асоціацію між Україною та ЄС.</w:t>
      </w:r>
    </w:p>
    <w:p w14:paraId="4AE97904" w14:textId="0118D163" w:rsidR="0028435F" w:rsidRPr="007B582B" w:rsidRDefault="0068196D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7B582B">
        <w:rPr>
          <w:sz w:val="28"/>
        </w:rPr>
        <w:t xml:space="preserve">У чому полягає </w:t>
      </w:r>
      <w:proofErr w:type="spellStart"/>
      <w:r w:rsidRPr="007B582B">
        <w:rPr>
          <w:sz w:val="28"/>
        </w:rPr>
        <w:t>всеохопність</w:t>
      </w:r>
      <w:proofErr w:type="spellEnd"/>
      <w:r w:rsidRPr="007B582B">
        <w:rPr>
          <w:sz w:val="28"/>
        </w:rPr>
        <w:t xml:space="preserve">, комплексність та обумовленість </w:t>
      </w:r>
      <w:r w:rsidRPr="007B582B">
        <w:rPr>
          <w:color w:val="171717"/>
          <w:sz w:val="28"/>
          <w:szCs w:val="28"/>
          <w:shd w:val="clear" w:color="auto" w:fill="FFFFFF"/>
        </w:rPr>
        <w:t xml:space="preserve">Угоди про асоціацію між Україною та ЄС? </w:t>
      </w:r>
    </w:p>
    <w:p w14:paraId="52D7AFA7" w14:textId="1943B4C1" w:rsidR="0068196D" w:rsidRPr="007B582B" w:rsidRDefault="0068196D" w:rsidP="0068196D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7B582B">
        <w:rPr>
          <w:sz w:val="28"/>
          <w:szCs w:val="28"/>
        </w:rPr>
        <w:t xml:space="preserve">Структура </w:t>
      </w:r>
      <w:r w:rsidRPr="007B582B">
        <w:rPr>
          <w:color w:val="171717"/>
          <w:sz w:val="28"/>
          <w:szCs w:val="28"/>
          <w:shd w:val="clear" w:color="auto" w:fill="FFFFFF"/>
        </w:rPr>
        <w:t>Угоди про асоціацію між Україною та ЄС.</w:t>
      </w:r>
    </w:p>
    <w:p w14:paraId="36C01C5A" w14:textId="5C1D538C" w:rsidR="0051494E" w:rsidRPr="007B582B" w:rsidRDefault="0068196D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 w:rsidRPr="007B582B">
        <w:rPr>
          <w:rFonts w:eastAsia="PingFang TC"/>
          <w:sz w:val="28"/>
          <w:szCs w:val="28"/>
        </w:rPr>
        <w:t>Ключові напрямки в досягненні економічної інтеграції України та ЄС.</w:t>
      </w:r>
    </w:p>
    <w:p w14:paraId="16DF5425" w14:textId="42038774" w:rsidR="006676EC" w:rsidRPr="007B582B" w:rsidRDefault="0068196D" w:rsidP="006676E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  <w:szCs w:val="28"/>
        </w:rPr>
      </w:pPr>
      <w:r w:rsidRPr="007B582B">
        <w:rPr>
          <w:sz w:val="28"/>
          <w:szCs w:val="28"/>
        </w:rPr>
        <w:t xml:space="preserve">Що таке регламент, рішення, директива та </w:t>
      </w:r>
      <w:proofErr w:type="spellStart"/>
      <w:r w:rsidRPr="007B582B">
        <w:rPr>
          <w:color w:val="171717"/>
          <w:sz w:val="28"/>
          <w:szCs w:val="28"/>
          <w:shd w:val="clear" w:color="auto" w:fill="FFFFFF"/>
        </w:rPr>
        <w:t>acquis</w:t>
      </w:r>
      <w:proofErr w:type="spellEnd"/>
      <w:r w:rsidRPr="007B582B">
        <w:rPr>
          <w:color w:val="171717"/>
          <w:sz w:val="28"/>
          <w:szCs w:val="28"/>
          <w:shd w:val="clear" w:color="auto" w:fill="FFFFFF"/>
        </w:rPr>
        <w:t xml:space="preserve"> ЄС?</w:t>
      </w:r>
    </w:p>
    <w:p w14:paraId="7323B5EF" w14:textId="77777777" w:rsidR="0068196D" w:rsidRPr="0068196D" w:rsidRDefault="0068196D" w:rsidP="0068196D">
      <w:pPr>
        <w:tabs>
          <w:tab w:val="left" w:pos="1222"/>
        </w:tabs>
        <w:jc w:val="both"/>
        <w:rPr>
          <w:sz w:val="28"/>
          <w:szCs w:val="28"/>
        </w:rPr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026319EE" w14:textId="559B7020" w:rsidR="0068196D" w:rsidRDefault="0068196D" w:rsidP="00BD46F9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rFonts w:ascii="-webkit-standard" w:hAnsi="-webkit-standard"/>
          <w:color w:val="000000"/>
          <w:sz w:val="27"/>
          <w:szCs w:val="27"/>
        </w:rPr>
        <w:t>Моніторинг виконання Україною зобов’язань за Угодою про асоціацію</w:t>
      </w:r>
      <w:r w:rsidR="00366A5D">
        <w:rPr>
          <w:rFonts w:ascii="-webkit-standard" w:hAnsi="-webkit-standard"/>
          <w:color w:val="000000"/>
          <w:sz w:val="27"/>
          <w:szCs w:val="27"/>
        </w:rPr>
        <w:t xml:space="preserve">: проаналізувати Звіт уряду про виконання Угоди </w:t>
      </w:r>
      <w:r w:rsidR="00366A5D" w:rsidRPr="004632B4">
        <w:rPr>
          <w:color w:val="171717"/>
          <w:shd w:val="clear" w:color="auto" w:fill="FFFFFF"/>
        </w:rPr>
        <w:t>про асоціацію між Україною та ЄС</w:t>
      </w:r>
      <w:r w:rsidR="00366A5D">
        <w:rPr>
          <w:color w:val="171717"/>
          <w:shd w:val="clear" w:color="auto" w:fill="FFFFFF"/>
        </w:rPr>
        <w:t xml:space="preserve"> за 2024 рік </w:t>
      </w:r>
      <w:r w:rsidR="001148F1" w:rsidRPr="001148F1">
        <w:rPr>
          <w:color w:val="171717"/>
          <w:shd w:val="clear" w:color="auto" w:fill="FFFFFF"/>
        </w:rPr>
        <w:t>(</w:t>
      </w:r>
      <w:r w:rsidR="00366A5D">
        <w:rPr>
          <w:color w:val="171717"/>
          <w:shd w:val="clear" w:color="auto" w:fill="FFFFFF"/>
        </w:rPr>
        <w:t xml:space="preserve">Розділ </w:t>
      </w:r>
      <w:r w:rsidR="001148F1">
        <w:rPr>
          <w:color w:val="171717"/>
          <w:shd w:val="clear" w:color="auto" w:fill="FFFFFF"/>
        </w:rPr>
        <w:t>І</w:t>
      </w:r>
      <w:r w:rsidR="001148F1">
        <w:rPr>
          <w:color w:val="171717"/>
          <w:shd w:val="clear" w:color="auto" w:fill="FFFFFF"/>
          <w:lang w:val="en-US"/>
        </w:rPr>
        <w:t>V</w:t>
      </w:r>
      <w:r w:rsidR="001148F1" w:rsidRPr="001148F1">
        <w:rPr>
          <w:color w:val="171717"/>
          <w:shd w:val="clear" w:color="auto" w:fill="FFFFFF"/>
        </w:rPr>
        <w:t xml:space="preserve">) </w:t>
      </w:r>
      <w:r w:rsidR="001148F1">
        <w:rPr>
          <w:color w:val="171717"/>
          <w:shd w:val="clear" w:color="auto" w:fill="FFFFFF"/>
        </w:rPr>
        <w:t>у напрямках:</w:t>
      </w:r>
    </w:p>
    <w:p w14:paraId="19B1D188" w14:textId="33AB034A" w:rsidR="001148F1" w:rsidRDefault="001148F1" w:rsidP="00BD46F9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політичний діалог, національна безпека, оборона;</w:t>
      </w:r>
    </w:p>
    <w:p w14:paraId="0C1D223E" w14:textId="59F3B048" w:rsidR="001148F1" w:rsidRDefault="001148F1" w:rsidP="00BD46F9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юстиція, свобода, безпека та права людини;</w:t>
      </w:r>
    </w:p>
    <w:p w14:paraId="52D53A8B" w14:textId="27AEF498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 xml:space="preserve">- технічні </w:t>
      </w:r>
      <w:proofErr w:type="spellStart"/>
      <w:r>
        <w:rPr>
          <w:color w:val="171717"/>
          <w:shd w:val="clear" w:color="auto" w:fill="FFFFFF"/>
        </w:rPr>
        <w:t>барʼєри</w:t>
      </w:r>
      <w:proofErr w:type="spellEnd"/>
      <w:r>
        <w:rPr>
          <w:color w:val="171717"/>
          <w:shd w:val="clear" w:color="auto" w:fill="FFFFFF"/>
        </w:rPr>
        <w:t xml:space="preserve"> в торгівлі;</w:t>
      </w:r>
    </w:p>
    <w:p w14:paraId="4DC083E6" w14:textId="5271FFF2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митні питання;</w:t>
      </w:r>
    </w:p>
    <w:p w14:paraId="6EDC5DB6" w14:textId="5E35B01F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державні закупівлі;</w:t>
      </w:r>
    </w:p>
    <w:p w14:paraId="7714AAD1" w14:textId="6CB7E500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оподаткування;</w:t>
      </w:r>
    </w:p>
    <w:p w14:paraId="53A9BE75" w14:textId="4FCA3297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фінансові послуги;</w:t>
      </w:r>
    </w:p>
    <w:p w14:paraId="78040916" w14:textId="0F0CFEB4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сільське господарство;</w:t>
      </w:r>
    </w:p>
    <w:p w14:paraId="45CDAC59" w14:textId="549905A6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>
        <w:rPr>
          <w:color w:val="171717"/>
          <w:shd w:val="clear" w:color="auto" w:fill="FFFFFF"/>
        </w:rPr>
        <w:t>- освіта, навчання та молодь.</w:t>
      </w:r>
    </w:p>
    <w:p w14:paraId="189743B3" w14:textId="77777777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</w:p>
    <w:p w14:paraId="3301FE8E" w14:textId="70E5BCD2" w:rsid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  <w:r w:rsidRPr="001148F1">
        <w:rPr>
          <w:color w:val="171717"/>
          <w:shd w:val="clear" w:color="auto" w:fill="FFFFFF"/>
        </w:rPr>
        <w:t>https://www.kmu.gov.ua/storage/app/sites/1/55-GOEEI/Звіти%20про%20виконання%20Угоди%20про%20асоціацію/zvit-pro-vikonannia-ugodi-pro-asociaciiu-za-2024-rik.pdf</w:t>
      </w:r>
    </w:p>
    <w:p w14:paraId="1B5D50AE" w14:textId="77777777" w:rsidR="001148F1" w:rsidRPr="001148F1" w:rsidRDefault="001148F1" w:rsidP="001148F1">
      <w:pPr>
        <w:pStyle w:val="a3"/>
        <w:ind w:left="0" w:right="108" w:firstLine="567"/>
        <w:rPr>
          <w:color w:val="171717"/>
          <w:shd w:val="clear" w:color="auto" w:fill="FFFFFF"/>
        </w:rPr>
      </w:pPr>
    </w:p>
    <w:p w14:paraId="0396469A" w14:textId="30ECAAD9" w:rsidR="00BD46F9" w:rsidRPr="00C21F7C" w:rsidRDefault="00BD46F9" w:rsidP="00BD46F9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>
        <w:rPr>
          <w:color w:val="000207"/>
        </w:rPr>
        <w:t>, презентацію тривалість до 1</w:t>
      </w:r>
      <w:r w:rsidRPr="00C21F7C">
        <w:rPr>
          <w:color w:val="000207"/>
        </w:rPr>
        <w:t>0-15 хвилин</w:t>
      </w:r>
      <w:r>
        <w:rPr>
          <w:color w:val="000207"/>
        </w:rPr>
        <w:t>.</w:t>
      </w: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D5963"/>
    <w:rsid w:val="0020117F"/>
    <w:rsid w:val="0028435F"/>
    <w:rsid w:val="00296B9F"/>
    <w:rsid w:val="002B1A38"/>
    <w:rsid w:val="00340447"/>
    <w:rsid w:val="00366A5D"/>
    <w:rsid w:val="0051494E"/>
    <w:rsid w:val="006676EC"/>
    <w:rsid w:val="0068196D"/>
    <w:rsid w:val="006B7E81"/>
    <w:rsid w:val="007B582B"/>
    <w:rsid w:val="007D7B21"/>
    <w:rsid w:val="00841E0C"/>
    <w:rsid w:val="00A44819"/>
    <w:rsid w:val="00A74C21"/>
    <w:rsid w:val="00AE4493"/>
    <w:rsid w:val="00BD46F9"/>
    <w:rsid w:val="00C21F7C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2025-10-01T06:52:00Z</dcterms:created>
  <dcterms:modified xsi:type="dcterms:W3CDTF">2025-10-01T06:54:00Z</dcterms:modified>
</cp:coreProperties>
</file>