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FD2" w14:textId="2AE441AA" w:rsidR="005860AE" w:rsidRPr="00633B16" w:rsidRDefault="005860AE" w:rsidP="00F70829">
      <w:pPr>
        <w:pStyle w:val="2"/>
        <w:widowControl w:val="0"/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Практична робота</w:t>
      </w:r>
    </w:p>
    <w:p w14:paraId="52984F67" w14:textId="77777777" w:rsidR="00E148BE" w:rsidRPr="00E148BE" w:rsidRDefault="005860AE" w:rsidP="00E148BE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48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E148BE" w:rsidRPr="00E148B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Дослідження локальних екологічних проблем</w:t>
      </w:r>
    </w:p>
    <w:p w14:paraId="00FAD519" w14:textId="34B2E6E7" w:rsidR="00633B16" w:rsidRPr="00E148BE" w:rsidRDefault="005305EC" w:rsidP="00E148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B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="00E148BE" w:rsidRPr="00E148BE">
        <w:rPr>
          <w:rFonts w:ascii="Times New Roman" w:hAnsi="Times New Roman" w:cs="Times New Roman"/>
          <w:sz w:val="28"/>
          <w:szCs w:val="28"/>
        </w:rPr>
        <w:t>Формування усвідомленого ставлення до власного впливу на довкілля через кількісний аналіз особистого екологічного сліду та розробку практичних заходів щодо його зменшення</w:t>
      </w:r>
      <w:r w:rsidR="00633B16" w:rsidRPr="00E148BE">
        <w:rPr>
          <w:rFonts w:ascii="Times New Roman" w:hAnsi="Times New Roman" w:cs="Times New Roman"/>
          <w:sz w:val="28"/>
          <w:szCs w:val="28"/>
        </w:rPr>
        <w:t>.</w:t>
      </w:r>
    </w:p>
    <w:p w14:paraId="0214BDC5" w14:textId="24C82F74" w:rsidR="005860AE" w:rsidRDefault="005860AE" w:rsidP="00F7082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33B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Теоретичні відомості:</w:t>
      </w:r>
    </w:p>
    <w:p w14:paraId="0E005319" w14:textId="7D063568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абір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індикаторів - це інструменти, які дозволяють органам місцевого самоврядування оцінити поточну ситуацію, зрозуміти їх природну еволюцію та оцінити вплив вибраних рішень. Отже, предметом аналізу індикаторів є послуги, які надає орган місцевого самоврядування (ОМС), їх якість та доступність, а також комплексність і ефективність. </w:t>
      </w:r>
    </w:p>
    <w:p w14:paraId="2ED12B3D" w14:textId="02082857" w:rsidR="00E703A6" w:rsidRP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Громадянина цікавлять досягнуті результати діяльності ОМС як для усвідомлення правильності обраного курсу соціального та економічного розвитку, так і для прийняття особистого рішення в період виборів. Об’єктом аналізу є не орган місцевого самоврядування, а результат діяльності та ефективність управління. Орган управління є тільки організаційною структурою, що забезпечує отримання необхідного результату діяльності. Тому тут можна застосувати дві характеристики в підходах. Це -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компетентністний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та ресурсний підходи, тобто наскільки ефективно працює сама структура управління ОМС і наскільки ефективно використовується потенціал, яким ОМС може користуватися. Компетентність органів місцевого самоврядування визначається у якісному наданні громадських послуг місцевому населенню (задоволеність роботою органів місцевого самоврядування). Ресурсний же потенціал є наявністю ресурсів матеріальних, технічних, природних, інформаційних тощо з можливістю їх перетворення на продукт (послуги для населення) та ступінь задоволення цими послугами від мешканців громади.</w:t>
      </w:r>
    </w:p>
    <w:p w14:paraId="0825BBEC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Результатом якісного планування економічного розвитку громади є ефективно діюча модель МЕР (місцевий економічний розвиток). </w:t>
      </w:r>
    </w:p>
    <w:p w14:paraId="65667647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МОДЕЛЬ МЕР – це: набір різноманітних дій, способів та інструментів залежно від стратегії розвитку громади, направлений на: покращення добробуту та проживання мешканців; збільшення доходів місцевого бюджету та розвиток економічної привабливості території. </w:t>
      </w:r>
    </w:p>
    <w:p w14:paraId="3CEE7A76" w14:textId="3DB42788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Шляхи реалізації: залучення додаткових інвестицій; використання коштів із проектів МТД (міжнародної технічної допомоги); зростання економічної активності мешканців; розвиток туристичного потенціал;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територій. </w:t>
      </w:r>
    </w:p>
    <w:p w14:paraId="5F7526C2" w14:textId="1B64EECC" w:rsidR="00E703A6" w:rsidRP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>Якісний економічний розвиток громади можливий лише в трикутнику: влада, громада, бізнес з урахуванням інтересів кожної із сторін процесу. Основні методологічні принципи розробки плану економічного розвитку: врахування інтересів, пропозицій, цілей та завдань від усіх зацікавлених сторін на основі партнерства з приватним сектором та сектором громадянського суспільства; зосередження на тих напрямах економічного розвитку громади, які матимуть найвищу результативність у майбутньому; участь громадян та консультації щодо розробки документу; розуміння представниками місцевої спільноти рішень та завдань, які приймаються в рамках стратегії;</w:t>
      </w:r>
    </w:p>
    <w:p w14:paraId="7F4D4CCE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lastRenderedPageBreak/>
        <w:t xml:space="preserve">АНАЛІЗ МІСЦЕВОЇ ЕКОНОМІЧНОЇ СТРУКТУРИ: Характерні особливості та тенденції (географія, економічні та регіональні переваги, які суб’єкти господарювання та бізнеси переважають); </w:t>
      </w:r>
    </w:p>
    <w:p w14:paraId="3643DC0A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Економічний профіль території (включаючи податкові надходження, формування доходів місцевого бюджету по видах економічної та функціональної класифікацій і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., доступ до фінансування, рівень міжбюджетних трансфертів та цільових дотацій); </w:t>
      </w:r>
    </w:p>
    <w:p w14:paraId="660BC97C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Основні «точки зростання» (бюджетоутворюючі підприємства, ключові природні ресурси, особливості географії); </w:t>
      </w:r>
    </w:p>
    <w:p w14:paraId="6D0BD52C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Міжсекторальне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співробітництво і взаємодія на місцевому рівні (економічний розвиток, молодіжна політика, благоустрій, культурний розвиток, потреби людей поважного віку, взаємодія з громадськими активістами та організаціями, впровадження органів самоорганізації населення тощо); Інвестиції в розвиток територій (приватні, закордонні, ДФРР); </w:t>
      </w:r>
    </w:p>
    <w:p w14:paraId="1E2285A3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Земельні ресурси та інфраструктури (включаючи наявність вільних ділянок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Braunfeld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, наявність газорозподільчих станцій, ж/д, водопостачання, високовольтні лінії та дороги державного значення); </w:t>
      </w:r>
    </w:p>
    <w:p w14:paraId="5CA94E36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Кваліфіковані трудові ресурси,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(доступність до інфраструктури людей з обмеженими можливостями, наявність професійних кадрів. Прикладів, коли після побудови та запуску підприємства виявляється, що інвестору треба звозити людей майже із сусідніх районів, є багато); </w:t>
      </w:r>
    </w:p>
    <w:p w14:paraId="152C2D3A" w14:textId="7F7CDFBE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Маркетинг та промоція території (проведення масових заходів,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території, інформаційна політика, наявність домовленостей з місцевим бізнесом про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промоційні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кампанії тощо)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44243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Механізм застосування та реалізації інструменту: </w:t>
      </w:r>
    </w:p>
    <w:p w14:paraId="337E60BB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Прийняття рішень місцевими радами щодо виділення коштів на компенсацію відсотків за кредитами; </w:t>
      </w:r>
    </w:p>
    <w:p w14:paraId="63E68FBB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Надання цільових амортизаційних, податкових і кредитних пільг; </w:t>
      </w:r>
    </w:p>
    <w:p w14:paraId="65EA02BE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Сприяння участі суб’єктів підприємництва в державних програмах; </w:t>
      </w:r>
    </w:p>
    <w:p w14:paraId="63B7534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Здійснення партнерства між ОМС та бізнесом шляхом укладання договорів пайової участі забудовників на розвиток соціальної та інженерно-транспортної інфраструктури населених пунктів; </w:t>
      </w:r>
    </w:p>
    <w:p w14:paraId="5FA8FAA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Створення умов для розвитку малих та середніх підприємств; </w:t>
      </w:r>
    </w:p>
    <w:p w14:paraId="6E7414BB" w14:textId="77777777" w:rsidR="00E703A6" w:rsidRDefault="00E703A6" w:rsidP="00F70829">
      <w:pPr>
        <w:spacing w:line="240" w:lineRule="auto"/>
        <w:ind w:firstLine="709"/>
        <w:jc w:val="both"/>
      </w:pPr>
      <w:r w:rsidRPr="00E703A6">
        <w:rPr>
          <w:rFonts w:ascii="Times New Roman" w:hAnsi="Times New Roman" w:cs="Times New Roman"/>
          <w:sz w:val="28"/>
          <w:szCs w:val="28"/>
        </w:rPr>
        <w:t>Участь у міжнародних програмах розвитку бізнесу</w:t>
      </w:r>
      <w:r>
        <w:t xml:space="preserve">; </w:t>
      </w:r>
    </w:p>
    <w:p w14:paraId="74A06824" w14:textId="77D5653E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A6">
        <w:rPr>
          <w:rFonts w:ascii="Times New Roman" w:hAnsi="Times New Roman" w:cs="Times New Roman"/>
          <w:sz w:val="28"/>
          <w:szCs w:val="28"/>
        </w:rPr>
        <w:t>Укладання договорів міжмуніципального співробітництва із сусідніми громадами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9E275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ЗАЛУЧЕННЯ ЗОВНІШНІХ РЕСУРСІВ </w:t>
      </w:r>
    </w:p>
    <w:p w14:paraId="7BDF0AD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Залежно від способу залучення ресурсів, виокремлюють такі джерела фінансування місцевого соціально-економічного розвитку: </w:t>
      </w:r>
    </w:p>
    <w:p w14:paraId="078F8230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Бюджетні; </w:t>
      </w:r>
    </w:p>
    <w:p w14:paraId="461F6639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Інвестиційні. Одним із дієвих інституційних інструментів залучення інвестицій є створення індустріальних (промислових) парків. Основні типи індустріальних (промислових) парків: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грінфілд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>). Індустріальний парк типу «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Грінфілд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» – парк, створюваний на новій відведеній незабудованій земельній ділянці, як правило, не забезпеченій інфраструктурою;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браунфілд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</w:t>
      </w:r>
      <w:r w:rsidRPr="00E703A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brownfield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). Парк типу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браунфілд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– парк, створюваний на основі раніше існуючих виробничих майданчиків, як правило, забезпечених будівлями, спорудами та інфраструктурою, щодо яких проводиться реконструкція і (або) капітальний ремонт, відповідно до спеціалізації парку і потреб його резидентів. </w:t>
      </w:r>
    </w:p>
    <w:p w14:paraId="75669A0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Кредитні; </w:t>
      </w:r>
    </w:p>
    <w:p w14:paraId="5099E266" w14:textId="7C2FADBF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>Альтернативні (грантові). Враховуючи специфічні ознаки альтернативних джерел, можна надати таке визначення: альтернативні джерела фінансування розвитку ОМС – це сукупність фінансових ресурсів, які безповоротно надаються на конкурсній основі на чітко визначені цілі щодо вирішення потреб соціально-економічного розвитку місцевої громади (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) у формі міжнародної технічної допомоги, грантів міжнародних донорських організацій, благодійних внесків та пожертв, а також в межах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корпоративної соціальної відповідальності.</w:t>
      </w:r>
    </w:p>
    <w:p w14:paraId="4D5B4CC9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Механізм застосування та реалізації інструменту: </w:t>
      </w:r>
    </w:p>
    <w:p w14:paraId="356CAAAD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кошти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міжнародної технічної допомоги; </w:t>
      </w:r>
    </w:p>
    <w:p w14:paraId="3B5D9AA5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створення інвестиційних паспортів громади; наявність і доступність до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Greenfield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03A6">
        <w:rPr>
          <w:rFonts w:ascii="Times New Roman" w:hAnsi="Times New Roman" w:cs="Times New Roman"/>
          <w:sz w:val="28"/>
          <w:szCs w:val="28"/>
        </w:rPr>
        <w:t>Braunfeld</w:t>
      </w:r>
      <w:proofErr w:type="spellEnd"/>
      <w:r w:rsidRPr="00E703A6">
        <w:rPr>
          <w:rFonts w:ascii="Times New Roman" w:hAnsi="Times New Roman" w:cs="Times New Roman"/>
          <w:sz w:val="28"/>
          <w:szCs w:val="28"/>
        </w:rPr>
        <w:t xml:space="preserve"> громади; </w:t>
      </w:r>
    </w:p>
    <w:p w14:paraId="27F2E56B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супровід інвестора («інвестиційна няня» в ОМС); </w:t>
      </w:r>
    </w:p>
    <w:p w14:paraId="4655A8B1" w14:textId="77777777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 xml:space="preserve">постійна робота з донорськими організаціями; </w:t>
      </w:r>
    </w:p>
    <w:p w14:paraId="4C296302" w14:textId="5375D715" w:rsidR="00E703A6" w:rsidRDefault="00E703A6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A6">
        <w:rPr>
          <w:rFonts w:ascii="Times New Roman" w:hAnsi="Times New Roman" w:cs="Times New Roman"/>
          <w:sz w:val="28"/>
          <w:szCs w:val="28"/>
        </w:rPr>
        <w:t>інвестиційні та логістичні парки; використання географічного положення в економічних цілях.</w:t>
      </w:r>
    </w:p>
    <w:p w14:paraId="0F8A7968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Рекомендації: </w:t>
      </w:r>
    </w:p>
    <w:p w14:paraId="37DB4BB3" w14:textId="72F3D6F5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Головними умовами реалізації грантової допомоги є: </w:t>
      </w:r>
    </w:p>
    <w:p w14:paraId="5D07BE3C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чітке окреслення проблем і потреб розвитку Громади; </w:t>
      </w:r>
    </w:p>
    <w:p w14:paraId="3521BED6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обґрунтування напрямів їх перспективного вирішення; </w:t>
      </w:r>
    </w:p>
    <w:p w14:paraId="050CD5FB" w14:textId="77777777" w:rsidR="005B15A0" w:rsidRDefault="005B15A0" w:rsidP="00F7082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визначення очікуваних результатів та необхідних обсягів фінансування (потреби в ресурсах). Ключові завдання, які постають перед Громадою для втілення ідей розвитку, є розширення можливостей залучення різних джерел фінансування, в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. альтернативних. </w:t>
      </w:r>
    </w:p>
    <w:p w14:paraId="6653B08C" w14:textId="77777777" w:rsidR="005B15A0" w:rsidRPr="005B15A0" w:rsidRDefault="005B15A0" w:rsidP="005B15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ЗАЛУЧЕННЯ ЗОВНІШНІХ РЕСУРСІВ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 території, фестивалі, конкурси, місця відпочинку, майданчики, легенди, туристичні локації, промоція територій.</w:t>
      </w:r>
    </w:p>
    <w:p w14:paraId="6F7A3712" w14:textId="71088418" w:rsidR="005B15A0" w:rsidRDefault="005B15A0" w:rsidP="005B15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5A0">
        <w:rPr>
          <w:rFonts w:ascii="Times New Roman" w:hAnsi="Times New Roman" w:cs="Times New Roman"/>
          <w:sz w:val="28"/>
          <w:szCs w:val="28"/>
        </w:rPr>
        <w:t>Механізм застосування та реалізації інструменту: Основною складовою інструменту створення іміджу громади в успішності індикатору місцевого економічного розвитку є брендинг території. За допомогою «бренду» тієї чи іншої території можна розвивати туристичний напрям, сформувати внутрішню та навіть регіональну розважальну індустрію, поринути у простір місцевих промислів та розвинути сферу послуг. Варто сказати, що кожна територія (село, селище, місто, область, регіон) має свої унікальні місця або ознаки, які можна зробити привабливими. Якщо з якихось причин їх немає, їх можна створити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C08A4C" w14:textId="064F51B1" w:rsidR="005B15A0" w:rsidRPr="008A752B" w:rsidRDefault="005B15A0" w:rsidP="008A752B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5A0">
        <w:rPr>
          <w:rFonts w:ascii="Times New Roman" w:hAnsi="Times New Roman" w:cs="Times New Roman"/>
          <w:sz w:val="28"/>
          <w:szCs w:val="28"/>
        </w:rPr>
        <w:t xml:space="preserve">Наприклад, якась громада може славитись майстрами (наприклад, гончарне мистецтво), хтось — піснярами чи танцюристами, а в якійсь здійснюють діяльність талановиті художники. В Україні та і у світі в цілому є маса прикладів успішного брендингу територій. Бренд громади - це не лише графічне зображення (логотип, картинка), що формується на базі поширення про нього </w:t>
      </w:r>
      <w:r w:rsidRPr="005B15A0">
        <w:rPr>
          <w:rFonts w:ascii="Times New Roman" w:hAnsi="Times New Roman" w:cs="Times New Roman"/>
          <w:sz w:val="28"/>
          <w:szCs w:val="28"/>
        </w:rPr>
        <w:lastRenderedPageBreak/>
        <w:t xml:space="preserve">інформації, реальних аргументів щодо його функціонування i можливостей для відвідувачів. Для створення потужного бренду й ефективного брендингу потрібно використовувати сучасні інструменти, тобто такі, які б базувались на новітніх технологіях і засобах комунікацій. До інструментів створення бренду громад у традиційному розумінні належать комплекс засобів маркетингових комунікацій: реклама, зв’язки з громадськістю, продажі (поштою і за каталогами),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телемаркетинг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, електронна торгівля, відгуки відвідувачів тощо. Не менш важливими інструментами створення бренду міста є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айдентика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B15A0">
        <w:rPr>
          <w:rFonts w:ascii="Times New Roman" w:hAnsi="Times New Roman" w:cs="Times New Roman"/>
          <w:sz w:val="28"/>
          <w:szCs w:val="28"/>
        </w:rPr>
        <w:t>івентмаркетинг</w:t>
      </w:r>
      <w:proofErr w:type="spellEnd"/>
      <w:r w:rsidRPr="005B15A0">
        <w:rPr>
          <w:rFonts w:ascii="Times New Roman" w:hAnsi="Times New Roman" w:cs="Times New Roman"/>
          <w:sz w:val="28"/>
          <w:szCs w:val="28"/>
        </w:rPr>
        <w:t xml:space="preserve">. Формуючи бренд громади, потрібно визначити його унікальність і чим вона буде корисним майбутнім туристам (історія, архітектура, клімат, природні джерела, вигідне географічне розташування, промислові об’єкти). Розташування міста й історико-культурна спадщина роблять місто особливим, при цьому головним акцентом бренду є історія і культура (Львів, Чернівці); туризм (Львів); духовний центр (Київ, Почаїв); освітній простір (Харків, Київ, Дніпро); промисловий центр (Кривий Ріг); зона відпочинку і розваг (Одеса); місто лиха чи катастроф (Чорнобиль). Кожне місто є автентичним і тому досить важко надати поради щодо поліпшення бренду міста. Основними складовими бренду є місце або територія, товари та послуги, які виробляють </w:t>
      </w:r>
      <w:r w:rsidRPr="008A752B">
        <w:rPr>
          <w:rFonts w:ascii="Times New Roman" w:hAnsi="Times New Roman" w:cs="Times New Roman"/>
          <w:sz w:val="28"/>
          <w:szCs w:val="28"/>
        </w:rPr>
        <w:t>місцеві підприємства, фінансові ресурси, забезпечення правопорядку і безпеки громадян, відпочинок і навчання, просування власне самого бренду.</w:t>
      </w:r>
    </w:p>
    <w:p w14:paraId="5FB4841C" w14:textId="33A8D82E" w:rsidR="00C009E4" w:rsidRPr="008A752B" w:rsidRDefault="00C009E4" w:rsidP="008A752B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52B">
        <w:rPr>
          <w:rFonts w:ascii="Times New Roman" w:hAnsi="Times New Roman" w:cs="Times New Roman"/>
          <w:b/>
          <w:bCs/>
          <w:sz w:val="28"/>
          <w:szCs w:val="28"/>
        </w:rPr>
        <w:t>Практичне завдання</w:t>
      </w:r>
    </w:p>
    <w:p w14:paraId="3BC73C27" w14:textId="77777777" w:rsidR="008A752B" w:rsidRPr="008A752B" w:rsidRDefault="008A752B" w:rsidP="00807DA4">
      <w:pPr>
        <w:pStyle w:val="whitespace-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Оберіть конкретну територіальну громаду для аналізу.</w:t>
      </w:r>
    </w:p>
    <w:p w14:paraId="655B88F2" w14:textId="77777777" w:rsidR="008A752B" w:rsidRPr="008A752B" w:rsidRDefault="008A752B" w:rsidP="00807DA4">
      <w:pPr>
        <w:pStyle w:val="whitespace-normal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 xml:space="preserve">Проведіть аналіз економічної структури обраної громади за такими напрямками: </w:t>
      </w:r>
    </w:p>
    <w:p w14:paraId="03A19185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Географічні, економічні та регіональні переваги</w:t>
      </w:r>
    </w:p>
    <w:p w14:paraId="68585A7B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Основні суб'єкти господарювання та їх внесок у місцеву економіку</w:t>
      </w:r>
    </w:p>
    <w:p w14:paraId="2093FF3F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Економічний профіль території (податкові надходження, формування доходів місцевого бюджету)</w:t>
      </w:r>
    </w:p>
    <w:p w14:paraId="68B3D034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Потенційні "точки зростання" (бюджетоутворюючі підприємства, ключові ресурси)</w:t>
      </w:r>
    </w:p>
    <w:p w14:paraId="55473D32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Земельні ресурси та інфраструктура</w:t>
      </w:r>
    </w:p>
    <w:p w14:paraId="29038CFE" w14:textId="77777777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Трудові ресурси та можливості інклюзивного розвитку</w:t>
      </w:r>
    </w:p>
    <w:p w14:paraId="5093C22A" w14:textId="003A595E" w:rsidR="008A752B" w:rsidRPr="008A752B" w:rsidRDefault="008A752B" w:rsidP="00807DA4">
      <w:pPr>
        <w:pStyle w:val="whitespace-normal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Наявні інструменти маркетингу та промоції території розвитку</w:t>
      </w:r>
    </w:p>
    <w:p w14:paraId="4F8CA910" w14:textId="77777777" w:rsidR="008A752B" w:rsidRPr="008A752B" w:rsidRDefault="008A752B" w:rsidP="00807DA4">
      <w:pPr>
        <w:pStyle w:val="whitespace-normal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 xml:space="preserve">На основі проведеного аналізу та Національних цілей сталого розвитку України оберіть 3 стратегічні напрямки, найбільш актуальні для вашої громади. Наприклад: </w:t>
      </w:r>
    </w:p>
    <w:p w14:paraId="623EA28D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Сприяння інклюзивному економічному зростанню</w:t>
      </w:r>
    </w:p>
    <w:p w14:paraId="17EEEFF7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Забезпечення доступу до економічно прийнятних джерел енергії</w:t>
      </w:r>
    </w:p>
    <w:p w14:paraId="44788A0E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Сталий розвиток агропромислового комплексу</w:t>
      </w:r>
    </w:p>
    <w:p w14:paraId="5F55252F" w14:textId="77777777" w:rsidR="008A752B" w:rsidRPr="008A752B" w:rsidRDefault="008A752B" w:rsidP="00807DA4">
      <w:pPr>
        <w:pStyle w:val="whitespace-normal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Інші напрямки з документу про Національні цілі сталого розвитку</w:t>
      </w:r>
    </w:p>
    <w:p w14:paraId="60805DB4" w14:textId="77777777" w:rsidR="008A752B" w:rsidRPr="008A752B" w:rsidRDefault="008A752B" w:rsidP="00807DA4">
      <w:pPr>
        <w:pStyle w:val="whitespace-normal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752B">
        <w:rPr>
          <w:sz w:val="28"/>
          <w:szCs w:val="28"/>
        </w:rPr>
        <w:t>Для кожного обраного напрямку виберіть 2-3 операційні цілі та обґрунтуйте свій вибір.</w:t>
      </w:r>
    </w:p>
    <w:p w14:paraId="132D388B" w14:textId="3B6C3452" w:rsidR="00AC0FAF" w:rsidRPr="00633B16" w:rsidRDefault="00AC0FAF" w:rsidP="00F70829">
      <w:pPr>
        <w:spacing w:line="240" w:lineRule="auto"/>
        <w:ind w:right="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C0FAF" w:rsidRPr="00633B16" w:rsidSect="00392B53">
      <w:pgSz w:w="11909" w:h="16834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C00B" w14:textId="77777777" w:rsidR="009A4589" w:rsidRDefault="009A4589">
      <w:pPr>
        <w:spacing w:line="240" w:lineRule="auto"/>
      </w:pPr>
      <w:r>
        <w:separator/>
      </w:r>
    </w:p>
  </w:endnote>
  <w:endnote w:type="continuationSeparator" w:id="0">
    <w:p w14:paraId="5711D909" w14:textId="77777777" w:rsidR="009A4589" w:rsidRDefault="009A4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4A87" w14:textId="77777777" w:rsidR="009A4589" w:rsidRDefault="009A4589">
      <w:pPr>
        <w:spacing w:line="240" w:lineRule="auto"/>
      </w:pPr>
      <w:r>
        <w:separator/>
      </w:r>
    </w:p>
  </w:footnote>
  <w:footnote w:type="continuationSeparator" w:id="0">
    <w:p w14:paraId="4D9BCC7B" w14:textId="77777777" w:rsidR="009A4589" w:rsidRDefault="009A4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991"/>
    <w:multiLevelType w:val="multilevel"/>
    <w:tmpl w:val="D1E4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11825"/>
    <w:multiLevelType w:val="multilevel"/>
    <w:tmpl w:val="FAFE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87D3E"/>
    <w:multiLevelType w:val="multilevel"/>
    <w:tmpl w:val="FFE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050191">
    <w:abstractNumId w:val="1"/>
  </w:num>
  <w:num w:numId="2" w16cid:durableId="660817428">
    <w:abstractNumId w:val="0"/>
  </w:num>
  <w:num w:numId="3" w16cid:durableId="19274182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AF"/>
    <w:rsid w:val="00031F5B"/>
    <w:rsid w:val="00036FEA"/>
    <w:rsid w:val="0004288C"/>
    <w:rsid w:val="00044E0F"/>
    <w:rsid w:val="000460EA"/>
    <w:rsid w:val="00053EB9"/>
    <w:rsid w:val="00080811"/>
    <w:rsid w:val="000A24DE"/>
    <w:rsid w:val="000B23B9"/>
    <w:rsid w:val="000D1815"/>
    <w:rsid w:val="00105C55"/>
    <w:rsid w:val="00132604"/>
    <w:rsid w:val="001B0135"/>
    <w:rsid w:val="001B2A08"/>
    <w:rsid w:val="001B4F80"/>
    <w:rsid w:val="001C2FCF"/>
    <w:rsid w:val="001C4F5B"/>
    <w:rsid w:val="001E0C07"/>
    <w:rsid w:val="001F5084"/>
    <w:rsid w:val="002177A0"/>
    <w:rsid w:val="00224568"/>
    <w:rsid w:val="00251B99"/>
    <w:rsid w:val="002576B4"/>
    <w:rsid w:val="002614A0"/>
    <w:rsid w:val="00271949"/>
    <w:rsid w:val="002A496C"/>
    <w:rsid w:val="00301A25"/>
    <w:rsid w:val="003152C8"/>
    <w:rsid w:val="00326C40"/>
    <w:rsid w:val="00333CF9"/>
    <w:rsid w:val="003368B6"/>
    <w:rsid w:val="003461CE"/>
    <w:rsid w:val="00351B1B"/>
    <w:rsid w:val="003615E1"/>
    <w:rsid w:val="003845B5"/>
    <w:rsid w:val="00392B53"/>
    <w:rsid w:val="00393E05"/>
    <w:rsid w:val="003F0EDA"/>
    <w:rsid w:val="003F6759"/>
    <w:rsid w:val="00403524"/>
    <w:rsid w:val="004376C3"/>
    <w:rsid w:val="00451035"/>
    <w:rsid w:val="00461436"/>
    <w:rsid w:val="004D273E"/>
    <w:rsid w:val="004D489D"/>
    <w:rsid w:val="00503C30"/>
    <w:rsid w:val="005305EC"/>
    <w:rsid w:val="00534CC3"/>
    <w:rsid w:val="00553DEE"/>
    <w:rsid w:val="00555DDF"/>
    <w:rsid w:val="00565971"/>
    <w:rsid w:val="005860AE"/>
    <w:rsid w:val="005B15A0"/>
    <w:rsid w:val="005C1250"/>
    <w:rsid w:val="005C64F6"/>
    <w:rsid w:val="00632BA0"/>
    <w:rsid w:val="00633B16"/>
    <w:rsid w:val="006B54E6"/>
    <w:rsid w:val="006D7BA7"/>
    <w:rsid w:val="00721758"/>
    <w:rsid w:val="00741011"/>
    <w:rsid w:val="007744F1"/>
    <w:rsid w:val="007B20C7"/>
    <w:rsid w:val="007B7CAD"/>
    <w:rsid w:val="007B7F09"/>
    <w:rsid w:val="007D5FA9"/>
    <w:rsid w:val="007E4137"/>
    <w:rsid w:val="00807DA4"/>
    <w:rsid w:val="00813D78"/>
    <w:rsid w:val="0082646B"/>
    <w:rsid w:val="008273D5"/>
    <w:rsid w:val="008338DA"/>
    <w:rsid w:val="00840F53"/>
    <w:rsid w:val="00841964"/>
    <w:rsid w:val="008541F3"/>
    <w:rsid w:val="00863818"/>
    <w:rsid w:val="00877876"/>
    <w:rsid w:val="008811F1"/>
    <w:rsid w:val="008A2652"/>
    <w:rsid w:val="008A752B"/>
    <w:rsid w:val="008B34D5"/>
    <w:rsid w:val="008C671F"/>
    <w:rsid w:val="008F7DD7"/>
    <w:rsid w:val="00946EE2"/>
    <w:rsid w:val="0096107D"/>
    <w:rsid w:val="00972B32"/>
    <w:rsid w:val="00977626"/>
    <w:rsid w:val="00986DD3"/>
    <w:rsid w:val="009A4589"/>
    <w:rsid w:val="009A74DF"/>
    <w:rsid w:val="009C79A6"/>
    <w:rsid w:val="009F5DD3"/>
    <w:rsid w:val="00A13A65"/>
    <w:rsid w:val="00A2749A"/>
    <w:rsid w:val="00A61E3F"/>
    <w:rsid w:val="00A90E7D"/>
    <w:rsid w:val="00AB28F0"/>
    <w:rsid w:val="00AC0FAF"/>
    <w:rsid w:val="00AC394C"/>
    <w:rsid w:val="00AF01AC"/>
    <w:rsid w:val="00B06E03"/>
    <w:rsid w:val="00B07586"/>
    <w:rsid w:val="00B101D6"/>
    <w:rsid w:val="00B33833"/>
    <w:rsid w:val="00B55BE2"/>
    <w:rsid w:val="00B76526"/>
    <w:rsid w:val="00BA573F"/>
    <w:rsid w:val="00BC7062"/>
    <w:rsid w:val="00BF64DA"/>
    <w:rsid w:val="00BF7591"/>
    <w:rsid w:val="00C009E4"/>
    <w:rsid w:val="00C07220"/>
    <w:rsid w:val="00C17770"/>
    <w:rsid w:val="00C3506D"/>
    <w:rsid w:val="00C35A7C"/>
    <w:rsid w:val="00C505C4"/>
    <w:rsid w:val="00C701C4"/>
    <w:rsid w:val="00CD1365"/>
    <w:rsid w:val="00D30CF0"/>
    <w:rsid w:val="00D37802"/>
    <w:rsid w:val="00D4493E"/>
    <w:rsid w:val="00DE45DA"/>
    <w:rsid w:val="00DF199F"/>
    <w:rsid w:val="00DF489D"/>
    <w:rsid w:val="00DF58AE"/>
    <w:rsid w:val="00E03830"/>
    <w:rsid w:val="00E148BE"/>
    <w:rsid w:val="00E16E42"/>
    <w:rsid w:val="00E57935"/>
    <w:rsid w:val="00E703A6"/>
    <w:rsid w:val="00E70814"/>
    <w:rsid w:val="00EC65F6"/>
    <w:rsid w:val="00F657F7"/>
    <w:rsid w:val="00F70829"/>
    <w:rsid w:val="00F85AF5"/>
    <w:rsid w:val="00F91286"/>
    <w:rsid w:val="00F92BE1"/>
    <w:rsid w:val="00FA38BF"/>
    <w:rsid w:val="00FB110D"/>
    <w:rsid w:val="00FB68CF"/>
    <w:rsid w:val="00FC2B31"/>
    <w:rsid w:val="00FD16D4"/>
    <w:rsid w:val="00FF176D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93F4"/>
  <w15:docId w15:val="{415CB298-D76D-4DBC-8A09-3AAF3A3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ind w:right="-32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unhideWhenUsed/>
    <w:rsid w:val="00044E0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E0F"/>
  </w:style>
  <w:style w:type="paragraph" w:styleId="a7">
    <w:name w:val="footer"/>
    <w:basedOn w:val="a"/>
    <w:link w:val="a8"/>
    <w:uiPriority w:val="99"/>
    <w:unhideWhenUsed/>
    <w:rsid w:val="00044E0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E0F"/>
  </w:style>
  <w:style w:type="table" w:styleId="a9">
    <w:name w:val="Table Grid"/>
    <w:basedOn w:val="a1"/>
    <w:uiPriority w:val="39"/>
    <w:rsid w:val="00044E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99F"/>
    <w:pPr>
      <w:ind w:left="720"/>
      <w:contextualSpacing/>
    </w:pPr>
  </w:style>
  <w:style w:type="character" w:styleId="ab">
    <w:name w:val="Strong"/>
    <w:basedOn w:val="a0"/>
    <w:uiPriority w:val="22"/>
    <w:qFormat/>
    <w:rsid w:val="00B07586"/>
    <w:rPr>
      <w:b/>
      <w:bCs/>
    </w:rPr>
  </w:style>
  <w:style w:type="character" w:styleId="ac">
    <w:name w:val="Emphasis"/>
    <w:basedOn w:val="a0"/>
    <w:uiPriority w:val="20"/>
    <w:qFormat/>
    <w:rsid w:val="00B07586"/>
    <w:rPr>
      <w:i/>
      <w:iCs/>
    </w:rPr>
  </w:style>
  <w:style w:type="paragraph" w:styleId="ad">
    <w:name w:val="Normal (Web)"/>
    <w:basedOn w:val="a"/>
    <w:uiPriority w:val="99"/>
    <w:semiHidden/>
    <w:unhideWhenUsed/>
    <w:rsid w:val="009A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e">
    <w:name w:val="Hyperlink"/>
    <w:basedOn w:val="a0"/>
    <w:uiPriority w:val="99"/>
    <w:unhideWhenUsed/>
    <w:rsid w:val="00FD16D4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16D4"/>
    <w:rPr>
      <w:color w:val="605E5C"/>
      <w:shd w:val="clear" w:color="auto" w:fill="E1DFDD"/>
    </w:rPr>
  </w:style>
  <w:style w:type="paragraph" w:customStyle="1" w:styleId="whitespace-normal">
    <w:name w:val="whitespace-normal"/>
    <w:basedOn w:val="a"/>
    <w:rsid w:val="00C0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whitespace-pre-wrap">
    <w:name w:val="whitespace-pre-wrap"/>
    <w:basedOn w:val="a"/>
    <w:rsid w:val="0063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7880-0FEA-4EBD-8299-CF6AE555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6927</Words>
  <Characters>3949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Світлана Хоменко</cp:lastModifiedBy>
  <cp:revision>2</cp:revision>
  <dcterms:created xsi:type="dcterms:W3CDTF">2025-09-11T09:17:00Z</dcterms:created>
  <dcterms:modified xsi:type="dcterms:W3CDTF">2025-09-11T09:17:00Z</dcterms:modified>
</cp:coreProperties>
</file>