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0DD" w:rsidRDefault="009A10DD" w:rsidP="009A10DD">
      <w:pPr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Лекція №12</w:t>
      </w:r>
    </w:p>
    <w:p w:rsidR="009A10DD" w:rsidRDefault="009A10DD" w:rsidP="009A10DD">
      <w:pPr>
        <w:jc w:val="center"/>
        <w:outlineLvl w:val="0"/>
        <w:rPr>
          <w:b/>
          <w:bCs/>
          <w:sz w:val="28"/>
          <w:szCs w:val="28"/>
        </w:rPr>
      </w:pPr>
      <w:r w:rsidRPr="006C65B4">
        <w:rPr>
          <w:b/>
          <w:bCs/>
          <w:color w:val="000000"/>
          <w:kern w:val="36"/>
          <w:sz w:val="28"/>
          <w:szCs w:val="28"/>
          <w:lang w:val="uk-UA"/>
        </w:rPr>
        <w:t>Тема</w:t>
      </w:r>
      <w:r w:rsidRPr="006C65B4">
        <w:rPr>
          <w:b/>
          <w:bCs/>
          <w:color w:val="000000"/>
          <w:kern w:val="36"/>
          <w:sz w:val="28"/>
          <w:szCs w:val="28"/>
        </w:rPr>
        <w:t xml:space="preserve">: </w:t>
      </w:r>
      <w:r w:rsidRPr="006C65B4">
        <w:rPr>
          <w:b/>
          <w:bCs/>
          <w:sz w:val="28"/>
          <w:szCs w:val="28"/>
        </w:rPr>
        <w:t>Оксигеновмісні органічні сполуки. Спирти, альдегіди, кетони, карбонові кислоти</w:t>
      </w:r>
    </w:p>
    <w:p w:rsidR="009A10DD" w:rsidRPr="006C65B4" w:rsidRDefault="009A10DD" w:rsidP="009A10DD">
      <w:pPr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План:</w:t>
      </w:r>
    </w:p>
    <w:p w:rsidR="009A10DD" w:rsidRPr="006C65B4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6C65B4">
        <w:rPr>
          <w:b/>
          <w:bCs/>
          <w:color w:val="000000"/>
          <w:sz w:val="28"/>
          <w:szCs w:val="28"/>
        </w:rPr>
        <w:t xml:space="preserve">1. Вступ до оксигеновмісних органічних сполук </w:t>
      </w:r>
    </w:p>
    <w:p w:rsidR="009A10DD" w:rsidRPr="006C65B4" w:rsidRDefault="009A10DD" w:rsidP="009A10D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Загальна характеристика та класифікація</w:t>
      </w:r>
    </w:p>
    <w:p w:rsidR="009A10DD" w:rsidRPr="006C65B4" w:rsidRDefault="009A10DD" w:rsidP="009A10D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Значення оксигеновмісних сполук у природі та агрономії</w:t>
      </w:r>
    </w:p>
    <w:p w:rsidR="009A10DD" w:rsidRPr="006C65B4" w:rsidRDefault="009A10DD" w:rsidP="009A10D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Функціональні групи як основа класифікації</w:t>
      </w:r>
    </w:p>
    <w:p w:rsidR="009A10DD" w:rsidRPr="006C65B4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6C65B4">
        <w:rPr>
          <w:b/>
          <w:bCs/>
          <w:color w:val="000000"/>
          <w:sz w:val="28"/>
          <w:szCs w:val="28"/>
        </w:rPr>
        <w:t>2. Спирти</w:t>
      </w:r>
    </w:p>
    <w:p w:rsidR="009A10DD" w:rsidRPr="006C65B4" w:rsidRDefault="009A10DD" w:rsidP="009A10DD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Визначення та загальна формула спиртів (R-OH)</w:t>
      </w:r>
    </w:p>
    <w:p w:rsidR="009A10DD" w:rsidRPr="006C65B4" w:rsidRDefault="009A10DD" w:rsidP="009A10DD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Класифікація спиртів (одноатомні, багатоатомні)</w:t>
      </w:r>
    </w:p>
    <w:p w:rsidR="009A10DD" w:rsidRPr="006C65B4" w:rsidRDefault="009A10DD" w:rsidP="009A10DD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Фізичні властивості: розчинність у воді, температури кипіння</w:t>
      </w:r>
    </w:p>
    <w:p w:rsidR="009A10DD" w:rsidRPr="006C65B4" w:rsidRDefault="009A10DD" w:rsidP="009A10DD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Хімічні властивості: взаємодія з натрієм, окислення</w:t>
      </w:r>
    </w:p>
    <w:p w:rsidR="009A10DD" w:rsidRPr="006C65B4" w:rsidRDefault="009A10DD" w:rsidP="009A10DD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Приклади важливих спиртів в агрономії:</w:t>
      </w:r>
    </w:p>
    <w:p w:rsidR="009A10DD" w:rsidRPr="006C65B4" w:rsidRDefault="009A10DD" w:rsidP="009A10DD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Етанол: застосування як біопаливо</w:t>
      </w:r>
    </w:p>
    <w:p w:rsidR="009A10DD" w:rsidRPr="006C65B4" w:rsidRDefault="009A10DD" w:rsidP="009A10DD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Гліцерол: роль у захисті рослин від замерзання</w:t>
      </w:r>
    </w:p>
    <w:p w:rsidR="009A10DD" w:rsidRPr="006C65B4" w:rsidRDefault="009A10DD" w:rsidP="009A10DD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Спирти як компоненти фунгіцидів та інсектицидів</w:t>
      </w:r>
    </w:p>
    <w:p w:rsidR="009A10DD" w:rsidRPr="006C65B4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6C65B4">
        <w:rPr>
          <w:b/>
          <w:bCs/>
          <w:color w:val="000000"/>
          <w:sz w:val="28"/>
          <w:szCs w:val="28"/>
        </w:rPr>
        <w:t xml:space="preserve">3. Альдегіди </w:t>
      </w:r>
    </w:p>
    <w:p w:rsidR="009A10DD" w:rsidRPr="006C65B4" w:rsidRDefault="009A10DD" w:rsidP="009A10DD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Визначення та загальна формула (R-CHO)</w:t>
      </w:r>
    </w:p>
    <w:p w:rsidR="009A10DD" w:rsidRPr="006C65B4" w:rsidRDefault="009A10DD" w:rsidP="009A10DD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Фізичні властивості альдегідів</w:t>
      </w:r>
    </w:p>
    <w:p w:rsidR="009A10DD" w:rsidRPr="006C65B4" w:rsidRDefault="009A10DD" w:rsidP="009A10DD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Хімічні властивості: окислення, відновлення</w:t>
      </w:r>
    </w:p>
    <w:p w:rsidR="009A10DD" w:rsidRPr="006C65B4" w:rsidRDefault="009A10DD" w:rsidP="009A10DD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Застосування в сільському господарстві:</w:t>
      </w:r>
    </w:p>
    <w:p w:rsidR="009A10DD" w:rsidRPr="006C65B4" w:rsidRDefault="009A10DD" w:rsidP="009A10DD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Формальдегід як дезінфікуючий засіб для насіння</w:t>
      </w:r>
    </w:p>
    <w:p w:rsidR="009A10DD" w:rsidRPr="006C65B4" w:rsidRDefault="009A10DD" w:rsidP="009A10DD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Альдегіди як ароматичні сполуки рослин</w:t>
      </w:r>
    </w:p>
    <w:p w:rsidR="009A10DD" w:rsidRPr="006C65B4" w:rsidRDefault="009A10DD" w:rsidP="009A10DD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Роль альдегідів у процесах дозрівання плодів</w:t>
      </w:r>
    </w:p>
    <w:p w:rsidR="009A10DD" w:rsidRPr="006C65B4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6C65B4">
        <w:rPr>
          <w:b/>
          <w:bCs/>
          <w:color w:val="000000"/>
          <w:sz w:val="28"/>
          <w:szCs w:val="28"/>
        </w:rPr>
        <w:t>4. Кетони</w:t>
      </w:r>
    </w:p>
    <w:p w:rsidR="009A10DD" w:rsidRPr="006C65B4" w:rsidRDefault="009A10DD" w:rsidP="009A10DD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Визначення та загальна формула (R-CO-R')</w:t>
      </w:r>
    </w:p>
    <w:p w:rsidR="009A10DD" w:rsidRPr="006C65B4" w:rsidRDefault="009A10DD" w:rsidP="009A10DD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Порівняння з альдегідами: структурні відмінності</w:t>
      </w:r>
    </w:p>
    <w:p w:rsidR="009A10DD" w:rsidRPr="006C65B4" w:rsidRDefault="009A10DD" w:rsidP="009A10DD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Фізичні та хімічні властивості</w:t>
      </w:r>
    </w:p>
    <w:p w:rsidR="009A10DD" w:rsidRPr="006C65B4" w:rsidRDefault="009A10DD" w:rsidP="009A10DD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Значення в агрономії:</w:t>
      </w:r>
    </w:p>
    <w:p w:rsidR="009A10DD" w:rsidRPr="006C65B4" w:rsidRDefault="009A10DD" w:rsidP="009A10DD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Ацетон та його використання</w:t>
      </w:r>
    </w:p>
    <w:p w:rsidR="009A10DD" w:rsidRPr="006C65B4" w:rsidRDefault="009A10DD" w:rsidP="009A10DD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Кетони як компоненти рослинних ефірних олій</w:t>
      </w:r>
    </w:p>
    <w:p w:rsidR="009A10DD" w:rsidRPr="006C65B4" w:rsidRDefault="009A10DD" w:rsidP="009A10DD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Роль кетонів у формуванні аромату плодів</w:t>
      </w:r>
    </w:p>
    <w:p w:rsidR="009A10DD" w:rsidRPr="006C65B4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6C65B4">
        <w:rPr>
          <w:b/>
          <w:bCs/>
          <w:color w:val="000000"/>
          <w:sz w:val="28"/>
          <w:szCs w:val="28"/>
        </w:rPr>
        <w:t>5. Карбонові кислоти</w:t>
      </w:r>
    </w:p>
    <w:p w:rsidR="009A10DD" w:rsidRPr="006C65B4" w:rsidRDefault="009A10DD" w:rsidP="009A10D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Визначення та загальна формула (R-COOH)</w:t>
      </w:r>
    </w:p>
    <w:p w:rsidR="009A10DD" w:rsidRPr="006C65B4" w:rsidRDefault="009A10DD" w:rsidP="009A10D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Класифікація карбонових кислот</w:t>
      </w:r>
    </w:p>
    <w:p w:rsidR="009A10DD" w:rsidRPr="006C65B4" w:rsidRDefault="009A10DD" w:rsidP="009A10D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Фізичні властивості: водневі зв'язки, розчинність</w:t>
      </w:r>
    </w:p>
    <w:p w:rsidR="009A10DD" w:rsidRPr="006C65B4" w:rsidRDefault="009A10DD" w:rsidP="009A10D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Хімічні властивості: дисоціація, утворення солей, естерів</w:t>
      </w:r>
    </w:p>
    <w:p w:rsidR="009A10DD" w:rsidRPr="006C65B4" w:rsidRDefault="009A10DD" w:rsidP="009A10DD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Важливі карбонові кислоти в агрономії:</w:t>
      </w:r>
    </w:p>
    <w:p w:rsidR="009A10DD" w:rsidRPr="006C65B4" w:rsidRDefault="009A10DD" w:rsidP="009A10DD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Оцтова кислота: використання як гербіцид</w:t>
      </w:r>
    </w:p>
    <w:p w:rsidR="009A10DD" w:rsidRPr="006C65B4" w:rsidRDefault="009A10DD" w:rsidP="009A10DD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Яблучна та лимонна кислоти в плодах рослин</w:t>
      </w:r>
    </w:p>
    <w:p w:rsidR="009A10DD" w:rsidRPr="006C65B4" w:rsidRDefault="009A10DD" w:rsidP="009A10DD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Жирні кислоти: роль у формуванні восків та кутикули</w:t>
      </w:r>
    </w:p>
    <w:p w:rsidR="009A10DD" w:rsidRPr="006C65B4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6C65B4">
        <w:rPr>
          <w:b/>
          <w:bCs/>
          <w:color w:val="000000"/>
          <w:sz w:val="28"/>
          <w:szCs w:val="28"/>
        </w:rPr>
        <w:t xml:space="preserve">6. Практичне значення оксигеновмісних сполук в агрономії </w:t>
      </w:r>
    </w:p>
    <w:p w:rsidR="009A10DD" w:rsidRPr="006C65B4" w:rsidRDefault="009A10DD" w:rsidP="009A10D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lastRenderedPageBreak/>
        <w:t>Оксигеновмісні сполуки як фітогормони</w:t>
      </w:r>
    </w:p>
    <w:p w:rsidR="009A10DD" w:rsidRPr="006C65B4" w:rsidRDefault="009A10DD" w:rsidP="009A10D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Роль у процесах фотосинтезу та дихання рослин</w:t>
      </w:r>
    </w:p>
    <w:p w:rsidR="009A10DD" w:rsidRPr="006C65B4" w:rsidRDefault="009A10DD" w:rsidP="009A10D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Застосування в якості засобів захисту рослин</w:t>
      </w:r>
    </w:p>
    <w:p w:rsidR="009A10DD" w:rsidRPr="006C65B4" w:rsidRDefault="009A10DD" w:rsidP="009A10DD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C65B4">
        <w:rPr>
          <w:color w:val="000000"/>
          <w:sz w:val="28"/>
          <w:szCs w:val="28"/>
        </w:rPr>
        <w:t>Участь у формуванні якості сільськогосподарської продукції</w:t>
      </w:r>
    </w:p>
    <w:p w:rsidR="009A10DD" w:rsidRDefault="009A10DD" w:rsidP="009A10DD">
      <w:pPr>
        <w:jc w:val="both"/>
        <w:outlineLvl w:val="1"/>
        <w:rPr>
          <w:b/>
          <w:bCs/>
          <w:color w:val="000000"/>
          <w:sz w:val="28"/>
          <w:szCs w:val="28"/>
        </w:rPr>
      </w:pPr>
    </w:p>
    <w:p w:rsidR="009A10DD" w:rsidRDefault="009A10DD"/>
    <w:p w:rsidR="009A10DD" w:rsidRDefault="009A10DD" w:rsidP="009A10DD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9A10DD" w:rsidRPr="00A314C6" w:rsidRDefault="009A10DD" w:rsidP="009A10DD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9A10DD" w:rsidRPr="00355405" w:rsidRDefault="009A10DD" w:rsidP="009A10DD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9A10DD" w:rsidRPr="00F91887" w:rsidRDefault="009A10DD" w:rsidP="009A10DD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9A10DD" w:rsidRPr="00F91887" w:rsidRDefault="009A10DD" w:rsidP="009A10DD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9A10DD" w:rsidRPr="00F91887" w:rsidRDefault="009A10DD" w:rsidP="009A10DD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9A10DD" w:rsidRPr="00F91887" w:rsidRDefault="009A10DD" w:rsidP="009A10DD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9A10DD" w:rsidRPr="00F91887" w:rsidRDefault="009A10DD" w:rsidP="009A10DD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9A10DD" w:rsidRPr="00F91887" w:rsidRDefault="009A10DD" w:rsidP="009A10DD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 xml:space="preserve">, М. А., Христич, О. В. Хімія: збірник завдань та тестів. Харків : НУЦЗУ, 2021. 93 с. URL: </w:t>
      </w:r>
      <w:r w:rsidRPr="00F91887">
        <w:rPr>
          <w:color w:val="000000"/>
          <w:sz w:val="28"/>
          <w:szCs w:val="28"/>
        </w:rPr>
        <w:lastRenderedPageBreak/>
        <w:t>http://repositsc.nuczu.edu.ua/bitstream/123456789/18648/1/Хімія_Збірник%20завдань%20та%20тестів.pdf (дата звернення: 23.06.2025).</w:t>
      </w:r>
    </w:p>
    <w:p w:rsidR="009A10DD" w:rsidRPr="00287C93" w:rsidRDefault="009A10DD" w:rsidP="009A10DD">
      <w:pPr>
        <w:ind w:right="450" w:hanging="360"/>
        <w:rPr>
          <w:sz w:val="28"/>
          <w:szCs w:val="28"/>
          <w:lang w:val="uk-UA"/>
        </w:rPr>
      </w:pPr>
    </w:p>
    <w:p w:rsidR="009A10DD" w:rsidRPr="007938CA" w:rsidRDefault="009A10DD" w:rsidP="009A10DD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9A10DD" w:rsidRPr="007938CA" w:rsidRDefault="009A10DD" w:rsidP="009A10DD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9A10DD" w:rsidRPr="007938CA" w:rsidRDefault="009A10DD" w:rsidP="009A10DD">
      <w:pPr>
        <w:numPr>
          <w:ilvl w:val="0"/>
          <w:numId w:val="7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9A10DD" w:rsidRPr="007938CA" w:rsidRDefault="009A10DD" w:rsidP="009A10DD">
      <w:pPr>
        <w:numPr>
          <w:ilvl w:val="0"/>
          <w:numId w:val="8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9A10DD" w:rsidRPr="007938CA" w:rsidRDefault="009A10DD" w:rsidP="009A10DD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9A10DD" w:rsidRPr="007938CA" w:rsidRDefault="009A10DD" w:rsidP="009A10DD">
      <w:pPr>
        <w:numPr>
          <w:ilvl w:val="0"/>
          <w:numId w:val="8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9A10DD" w:rsidRPr="007938CA" w:rsidRDefault="009A10DD" w:rsidP="009A10DD">
      <w:pPr>
        <w:numPr>
          <w:ilvl w:val="0"/>
          <w:numId w:val="8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9A10DD" w:rsidRPr="007938CA" w:rsidRDefault="009A10DD" w:rsidP="009A10DD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9A10DD" w:rsidRPr="007938CA" w:rsidRDefault="009A10DD" w:rsidP="009A10DD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9A10DD" w:rsidRPr="007938CA" w:rsidRDefault="009A10DD" w:rsidP="009A10DD">
      <w:pPr>
        <w:numPr>
          <w:ilvl w:val="0"/>
          <w:numId w:val="9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9A10DD" w:rsidRPr="007938CA" w:rsidRDefault="009A10DD" w:rsidP="009A10DD">
      <w:pPr>
        <w:numPr>
          <w:ilvl w:val="0"/>
          <w:numId w:val="9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9A10DD" w:rsidRPr="007938CA" w:rsidRDefault="009A10DD" w:rsidP="009A10DD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9A10DD" w:rsidRPr="007938CA" w:rsidRDefault="009A10DD" w:rsidP="009A10DD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9A10DD" w:rsidRDefault="009A10DD"/>
    <w:sectPr w:rsidR="009A1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4A0F"/>
    <w:multiLevelType w:val="multilevel"/>
    <w:tmpl w:val="E84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E489E"/>
    <w:multiLevelType w:val="multilevel"/>
    <w:tmpl w:val="450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62CB1"/>
    <w:multiLevelType w:val="multilevel"/>
    <w:tmpl w:val="736C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7D"/>
    <w:multiLevelType w:val="multilevel"/>
    <w:tmpl w:val="36B4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C1E13"/>
    <w:multiLevelType w:val="multilevel"/>
    <w:tmpl w:val="EB7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C1B94"/>
    <w:multiLevelType w:val="multilevel"/>
    <w:tmpl w:val="7D0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835207">
    <w:abstractNumId w:val="3"/>
  </w:num>
  <w:num w:numId="2" w16cid:durableId="356278730">
    <w:abstractNumId w:val="7"/>
  </w:num>
  <w:num w:numId="3" w16cid:durableId="1790466253">
    <w:abstractNumId w:val="4"/>
  </w:num>
  <w:num w:numId="4" w16cid:durableId="1440367252">
    <w:abstractNumId w:val="9"/>
  </w:num>
  <w:num w:numId="5" w16cid:durableId="1029987241">
    <w:abstractNumId w:val="8"/>
  </w:num>
  <w:num w:numId="6" w16cid:durableId="1783573146">
    <w:abstractNumId w:val="0"/>
  </w:num>
  <w:num w:numId="7" w16cid:durableId="476652490">
    <w:abstractNumId w:val="2"/>
  </w:num>
  <w:num w:numId="8" w16cid:durableId="621115598">
    <w:abstractNumId w:val="5"/>
  </w:num>
  <w:num w:numId="9" w16cid:durableId="1316446126">
    <w:abstractNumId w:val="1"/>
  </w:num>
  <w:num w:numId="10" w16cid:durableId="1782139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D"/>
    <w:rsid w:val="009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42D39"/>
  <w15:chartTrackingRefBased/>
  <w15:docId w15:val="{48D11418-A3B1-DA4B-8B55-0BD45CC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D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A10D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A10DD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0DD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9A10DD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9A10D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2025-06-26T15:09:00Z</dcterms:created>
  <dcterms:modified xsi:type="dcterms:W3CDTF">2025-06-26T15:10:00Z</dcterms:modified>
</cp:coreProperties>
</file>