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3B8" w:rsidRPr="005E3C3B" w:rsidRDefault="000C73B8" w:rsidP="000C73B8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5E3C3B">
        <w:rPr>
          <w:b/>
          <w:bCs/>
          <w:color w:val="000000"/>
          <w:kern w:val="36"/>
          <w:sz w:val="28"/>
          <w:szCs w:val="28"/>
          <w:lang w:val="uk-UA"/>
        </w:rPr>
        <w:t>Тема№</w:t>
      </w:r>
      <w:r>
        <w:rPr>
          <w:b/>
          <w:bCs/>
          <w:color w:val="000000"/>
          <w:kern w:val="36"/>
          <w:sz w:val="28"/>
          <w:szCs w:val="28"/>
          <w:lang w:val="uk-UA"/>
        </w:rPr>
        <w:t>8</w:t>
      </w:r>
      <w:r w:rsidRPr="005E3C3B">
        <w:rPr>
          <w:b/>
          <w:bCs/>
          <w:color w:val="000000"/>
          <w:kern w:val="36"/>
          <w:sz w:val="28"/>
          <w:szCs w:val="28"/>
          <w:lang w:val="uk-UA"/>
        </w:rPr>
        <w:t xml:space="preserve">: </w:t>
      </w:r>
      <w:r w:rsidRPr="00531088">
        <w:rPr>
          <w:b/>
          <w:bCs/>
          <w:color w:val="000000"/>
          <w:kern w:val="36"/>
          <w:sz w:val="28"/>
          <w:szCs w:val="28"/>
        </w:rPr>
        <w:t>Основи електрохімії. Електродні потенціали.</w:t>
      </w:r>
    </w:p>
    <w:p w:rsidR="000C73B8" w:rsidRPr="00531088" w:rsidRDefault="000C73B8" w:rsidP="000C73B8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531088">
        <w:rPr>
          <w:b/>
          <w:bCs/>
          <w:color w:val="000000"/>
          <w:kern w:val="36"/>
          <w:sz w:val="28"/>
          <w:szCs w:val="28"/>
        </w:rPr>
        <w:t>Гальванічні елементи</w:t>
      </w:r>
    </w:p>
    <w:p w:rsidR="000C73B8" w:rsidRPr="005E3C3B" w:rsidRDefault="000C73B8" w:rsidP="000C73B8">
      <w:pPr>
        <w:jc w:val="center"/>
        <w:outlineLvl w:val="1"/>
        <w:rPr>
          <w:b/>
          <w:bCs/>
          <w:color w:val="000000"/>
          <w:sz w:val="28"/>
          <w:szCs w:val="28"/>
          <w:lang w:val="uk-UA"/>
        </w:rPr>
      </w:pPr>
      <w:r w:rsidRPr="005E3C3B">
        <w:rPr>
          <w:b/>
          <w:bCs/>
          <w:color w:val="000000"/>
          <w:sz w:val="28"/>
          <w:szCs w:val="28"/>
          <w:lang w:val="uk-UA"/>
        </w:rPr>
        <w:t>План:</w:t>
      </w:r>
    </w:p>
    <w:p w:rsidR="000C73B8" w:rsidRPr="00531088" w:rsidRDefault="000C73B8" w:rsidP="000C73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531088">
        <w:rPr>
          <w:b/>
          <w:bCs/>
          <w:color w:val="000000"/>
          <w:sz w:val="28"/>
          <w:szCs w:val="28"/>
        </w:rPr>
        <w:t>І. Вступна частина</w:t>
      </w:r>
    </w:p>
    <w:p w:rsidR="000C73B8" w:rsidRPr="00531088" w:rsidRDefault="000C73B8" w:rsidP="000C73B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Мета та завдання лекції</w:t>
      </w:r>
    </w:p>
    <w:p w:rsidR="000C73B8" w:rsidRPr="00531088" w:rsidRDefault="000C73B8" w:rsidP="000C73B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Значення електрохімічних процесів у агрономії</w:t>
      </w:r>
    </w:p>
    <w:p w:rsidR="000C73B8" w:rsidRPr="00531088" w:rsidRDefault="000C73B8" w:rsidP="000C73B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Короткий історичний огляд розвитку електрохімії</w:t>
      </w:r>
    </w:p>
    <w:p w:rsidR="000C73B8" w:rsidRPr="00531088" w:rsidRDefault="000C73B8" w:rsidP="000C73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531088">
        <w:rPr>
          <w:b/>
          <w:bCs/>
          <w:color w:val="000000"/>
          <w:sz w:val="28"/>
          <w:szCs w:val="28"/>
        </w:rPr>
        <w:t>ІІ. Основи електрохімії</w:t>
      </w:r>
    </w:p>
    <w:p w:rsidR="000C73B8" w:rsidRPr="00531088" w:rsidRDefault="000C73B8" w:rsidP="000C73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Поняття про окисно-відновні реакції</w:t>
      </w:r>
    </w:p>
    <w:p w:rsidR="000C73B8" w:rsidRPr="00531088" w:rsidRDefault="000C73B8" w:rsidP="000C73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Визначення та загальна характеристика</w:t>
      </w:r>
    </w:p>
    <w:p w:rsidR="000C73B8" w:rsidRPr="00531088" w:rsidRDefault="000C73B8" w:rsidP="000C73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Особливості протікання окисно-відновних реакцій</w:t>
      </w:r>
    </w:p>
    <w:p w:rsidR="000C73B8" w:rsidRPr="00531088" w:rsidRDefault="000C73B8" w:rsidP="000C73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Метод електронного балансу</w:t>
      </w:r>
    </w:p>
    <w:p w:rsidR="000C73B8" w:rsidRPr="00531088" w:rsidRDefault="000C73B8" w:rsidP="000C73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Електрохімічні системи</w:t>
      </w:r>
    </w:p>
    <w:p w:rsidR="000C73B8" w:rsidRPr="00531088" w:rsidRDefault="000C73B8" w:rsidP="000C73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Визначення та класифікація</w:t>
      </w:r>
    </w:p>
    <w:p w:rsidR="000C73B8" w:rsidRPr="00531088" w:rsidRDefault="000C73B8" w:rsidP="000C73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Електрохімічні процеси у ґрунтах</w:t>
      </w:r>
    </w:p>
    <w:p w:rsidR="000C73B8" w:rsidRPr="00531088" w:rsidRDefault="000C73B8" w:rsidP="000C73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Вплив електрохімічних процесів на доступність поживних елементів для рослин</w:t>
      </w:r>
    </w:p>
    <w:p w:rsidR="000C73B8" w:rsidRPr="00531088" w:rsidRDefault="000C73B8" w:rsidP="000C73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531088">
        <w:rPr>
          <w:b/>
          <w:bCs/>
          <w:color w:val="000000"/>
          <w:sz w:val="28"/>
          <w:szCs w:val="28"/>
        </w:rPr>
        <w:t>ІІІ. Електродні потенціали</w:t>
      </w:r>
    </w:p>
    <w:p w:rsidR="000C73B8" w:rsidRPr="00531088" w:rsidRDefault="000C73B8" w:rsidP="000C73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Механізм виникнення електродних потенціалів</w:t>
      </w:r>
    </w:p>
    <w:p w:rsidR="000C73B8" w:rsidRPr="00531088" w:rsidRDefault="000C73B8" w:rsidP="000C73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Подвійний електричний шар</w:t>
      </w:r>
    </w:p>
    <w:p w:rsidR="000C73B8" w:rsidRPr="00531088" w:rsidRDefault="000C73B8" w:rsidP="000C73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Рівняння Нернста</w:t>
      </w:r>
    </w:p>
    <w:p w:rsidR="000C73B8" w:rsidRPr="00531088" w:rsidRDefault="000C73B8" w:rsidP="000C73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Стандартні електродні потенціали</w:t>
      </w:r>
    </w:p>
    <w:p w:rsidR="000C73B8" w:rsidRPr="00531088" w:rsidRDefault="000C73B8" w:rsidP="000C73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Визначення та значення</w:t>
      </w:r>
    </w:p>
    <w:p w:rsidR="000C73B8" w:rsidRPr="00531088" w:rsidRDefault="000C73B8" w:rsidP="000C73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Водневий електрод як стандарт порівняння</w:t>
      </w:r>
    </w:p>
    <w:p w:rsidR="000C73B8" w:rsidRPr="00531088" w:rsidRDefault="000C73B8" w:rsidP="000C73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Електродні процеси в агрохімії</w:t>
      </w:r>
    </w:p>
    <w:p w:rsidR="000C73B8" w:rsidRPr="00531088" w:rsidRDefault="000C73B8" w:rsidP="000C73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Вплив рН ґрунту на окисно-відновні процеси</w:t>
      </w:r>
    </w:p>
    <w:p w:rsidR="000C73B8" w:rsidRPr="00531088" w:rsidRDefault="000C73B8" w:rsidP="000C73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ОВП ґрунтових розчинів та його значення</w:t>
      </w:r>
    </w:p>
    <w:p w:rsidR="000C73B8" w:rsidRPr="00531088" w:rsidRDefault="000C73B8" w:rsidP="000C73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531088">
        <w:rPr>
          <w:b/>
          <w:bCs/>
          <w:color w:val="000000"/>
          <w:sz w:val="28"/>
          <w:szCs w:val="28"/>
        </w:rPr>
        <w:t>IV. Гальванічні елементи</w:t>
      </w:r>
    </w:p>
    <w:p w:rsidR="000C73B8" w:rsidRPr="00531088" w:rsidRDefault="000C73B8" w:rsidP="000C73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Принцип дії гальванічного елемента</w:t>
      </w:r>
    </w:p>
    <w:p w:rsidR="000C73B8" w:rsidRPr="00531088" w:rsidRDefault="000C73B8" w:rsidP="000C73B8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Будова та види гальванічних елементів</w:t>
      </w:r>
    </w:p>
    <w:p w:rsidR="000C73B8" w:rsidRPr="00531088" w:rsidRDefault="000C73B8" w:rsidP="000C73B8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Хімічні джерела струму</w:t>
      </w:r>
    </w:p>
    <w:p w:rsidR="000C73B8" w:rsidRPr="00531088" w:rsidRDefault="000C73B8" w:rsidP="000C73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Електрорушійна сила (ЕРС) гальванічного елемента</w:t>
      </w:r>
    </w:p>
    <w:p w:rsidR="000C73B8" w:rsidRPr="00531088" w:rsidRDefault="000C73B8" w:rsidP="000C73B8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Розрахунок ЕРС</w:t>
      </w:r>
    </w:p>
    <w:p w:rsidR="000C73B8" w:rsidRPr="00531088" w:rsidRDefault="000C73B8" w:rsidP="000C73B8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Залежність ЕРС від концентрації та температури</w:t>
      </w:r>
    </w:p>
    <w:p w:rsidR="000C73B8" w:rsidRPr="00531088" w:rsidRDefault="000C73B8" w:rsidP="000C73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Застосування гальванічних елементів у сільському господарстві</w:t>
      </w:r>
    </w:p>
    <w:p w:rsidR="000C73B8" w:rsidRPr="00531088" w:rsidRDefault="000C73B8" w:rsidP="000C73B8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Датчики для агрохімічного аналізу</w:t>
      </w:r>
    </w:p>
    <w:p w:rsidR="000C73B8" w:rsidRPr="00531088" w:rsidRDefault="000C73B8" w:rsidP="000C73B8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Прилади для вимірювання кислотності ґрунтів</w:t>
      </w:r>
    </w:p>
    <w:p w:rsidR="000C73B8" w:rsidRPr="00531088" w:rsidRDefault="000C73B8" w:rsidP="000C73B8">
      <w:pPr>
        <w:numPr>
          <w:ilvl w:val="1"/>
          <w:numId w:val="4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Портативні аналізатори на основі гальванічних елементів</w:t>
      </w:r>
    </w:p>
    <w:p w:rsidR="000C73B8" w:rsidRPr="00531088" w:rsidRDefault="000C73B8" w:rsidP="000C73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531088">
        <w:rPr>
          <w:b/>
          <w:bCs/>
          <w:color w:val="000000"/>
          <w:sz w:val="28"/>
          <w:szCs w:val="28"/>
        </w:rPr>
        <w:t>V. Практичне значення електрохімії в агрономії</w:t>
      </w:r>
    </w:p>
    <w:p w:rsidR="000C73B8" w:rsidRPr="00531088" w:rsidRDefault="000C73B8" w:rsidP="000C73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Електрохімічні методи аналізу ґрунтів</w:t>
      </w:r>
    </w:p>
    <w:p w:rsidR="000C73B8" w:rsidRPr="00531088" w:rsidRDefault="000C73B8" w:rsidP="000C73B8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Потенціометричні методи</w:t>
      </w:r>
    </w:p>
    <w:p w:rsidR="000C73B8" w:rsidRPr="00531088" w:rsidRDefault="000C73B8" w:rsidP="000C73B8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Кондуктометрія</w:t>
      </w:r>
    </w:p>
    <w:p w:rsidR="000C73B8" w:rsidRPr="00531088" w:rsidRDefault="000C73B8" w:rsidP="000C73B8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Полярографія</w:t>
      </w:r>
    </w:p>
    <w:p w:rsidR="000C73B8" w:rsidRPr="00531088" w:rsidRDefault="000C73B8" w:rsidP="000C73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lastRenderedPageBreak/>
        <w:t>Корозія металів та захист сільськогосподарського обладнання</w:t>
      </w:r>
    </w:p>
    <w:p w:rsidR="000C73B8" w:rsidRPr="00531088" w:rsidRDefault="000C73B8" w:rsidP="000C73B8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Види корозії</w:t>
      </w:r>
    </w:p>
    <w:p w:rsidR="000C73B8" w:rsidRPr="00531088" w:rsidRDefault="000C73B8" w:rsidP="000C73B8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Методи захисту від корозії</w:t>
      </w:r>
    </w:p>
    <w:p w:rsidR="000C73B8" w:rsidRPr="00531088" w:rsidRDefault="000C73B8" w:rsidP="000C73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Електрохімічна обробка насіння та поливної води</w:t>
      </w:r>
    </w:p>
    <w:p w:rsidR="000C73B8" w:rsidRPr="00531088" w:rsidRDefault="000C73B8" w:rsidP="000C73B8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Електростимуляція насіння</w:t>
      </w:r>
    </w:p>
    <w:p w:rsidR="000C73B8" w:rsidRPr="00531088" w:rsidRDefault="000C73B8" w:rsidP="000C73B8">
      <w:pPr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Електроактивована вода в агрономії</w:t>
      </w:r>
    </w:p>
    <w:p w:rsidR="000C73B8" w:rsidRPr="00531088" w:rsidRDefault="000C73B8" w:rsidP="000C73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531088">
        <w:rPr>
          <w:b/>
          <w:bCs/>
          <w:color w:val="000000"/>
          <w:sz w:val="28"/>
          <w:szCs w:val="28"/>
        </w:rPr>
        <w:t>VI. Висновки</w:t>
      </w:r>
    </w:p>
    <w:p w:rsidR="000C73B8" w:rsidRPr="00531088" w:rsidRDefault="000C73B8" w:rsidP="000C73B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Узагальнення основних понять електрохімії</w:t>
      </w:r>
    </w:p>
    <w:p w:rsidR="000C73B8" w:rsidRPr="00531088" w:rsidRDefault="000C73B8" w:rsidP="000C73B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Значення електрохімічних процесів для агрохімії та ґрунтознавства</w:t>
      </w:r>
    </w:p>
    <w:p w:rsidR="000C73B8" w:rsidRPr="00531088" w:rsidRDefault="000C73B8" w:rsidP="000C73B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Перспективи застосування електрохімічних методів у сучасному землеробстві</w:t>
      </w:r>
    </w:p>
    <w:p w:rsidR="000C73B8" w:rsidRPr="00531088" w:rsidRDefault="000C73B8" w:rsidP="000C73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531088">
        <w:rPr>
          <w:b/>
          <w:bCs/>
          <w:color w:val="000000"/>
          <w:sz w:val="28"/>
          <w:szCs w:val="28"/>
        </w:rPr>
        <w:t>Питання для самоконтролю:</w:t>
      </w:r>
    </w:p>
    <w:p w:rsidR="000C73B8" w:rsidRPr="00531088" w:rsidRDefault="000C73B8" w:rsidP="000C73B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Що таке електродний потенціал і як він виникає?</w:t>
      </w:r>
    </w:p>
    <w:p w:rsidR="000C73B8" w:rsidRPr="00531088" w:rsidRDefault="000C73B8" w:rsidP="000C73B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Як електрохімічні процеси впливають на доступність елементів живлення в ґрунті?</w:t>
      </w:r>
    </w:p>
    <w:p w:rsidR="000C73B8" w:rsidRPr="00531088" w:rsidRDefault="000C73B8" w:rsidP="000C73B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Яка роль окисно-відновних реакцій у ґрунтоутворенні?</w:t>
      </w:r>
    </w:p>
    <w:p w:rsidR="000C73B8" w:rsidRPr="00531088" w:rsidRDefault="000C73B8" w:rsidP="000C73B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Принцип дії рН-метра на основі гальванічного елемента.</w:t>
      </w:r>
    </w:p>
    <w:p w:rsidR="000C73B8" w:rsidRPr="00531088" w:rsidRDefault="000C73B8" w:rsidP="000C73B8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531088">
        <w:rPr>
          <w:color w:val="000000"/>
          <w:sz w:val="28"/>
          <w:szCs w:val="28"/>
        </w:rPr>
        <w:t>Методи захисту сільськогосподарської техніки від електрохімічної корозії.</w:t>
      </w:r>
    </w:p>
    <w:p w:rsidR="000C73B8" w:rsidRDefault="000C73B8"/>
    <w:p w:rsidR="000C73B8" w:rsidRDefault="000C73B8"/>
    <w:p w:rsidR="000C73B8" w:rsidRDefault="000C73B8" w:rsidP="000C73B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0C73B8" w:rsidRPr="00A314C6" w:rsidRDefault="000C73B8" w:rsidP="000C73B8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0C73B8" w:rsidRPr="00355405" w:rsidRDefault="000C73B8" w:rsidP="000C73B8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0C73B8" w:rsidRPr="00F91887" w:rsidRDefault="000C73B8" w:rsidP="000C73B8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0C73B8" w:rsidRPr="00F91887" w:rsidRDefault="000C73B8" w:rsidP="000C73B8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0C73B8" w:rsidRPr="00F91887" w:rsidRDefault="000C73B8" w:rsidP="000C73B8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 xml:space="preserve"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</w:t>
      </w:r>
      <w:r w:rsidRPr="00F91887">
        <w:rPr>
          <w:color w:val="000000"/>
          <w:sz w:val="28"/>
          <w:szCs w:val="28"/>
        </w:rPr>
        <w:lastRenderedPageBreak/>
        <w:t>технології», «Екологія», «Агрономія». Полтава : Вид-во ДЗ «ЛНУ імені Тараса Шевченка», 2024. 109 с.</w:t>
      </w:r>
    </w:p>
    <w:p w:rsidR="000C73B8" w:rsidRPr="00F91887" w:rsidRDefault="000C73B8" w:rsidP="000C73B8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0C73B8" w:rsidRPr="00F91887" w:rsidRDefault="000C73B8" w:rsidP="000C73B8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0C73B8" w:rsidRPr="00F91887" w:rsidRDefault="000C73B8" w:rsidP="000C73B8">
      <w:pPr>
        <w:pStyle w:val="NormalWeb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0C73B8" w:rsidRPr="00287C93" w:rsidRDefault="000C73B8" w:rsidP="000C73B8">
      <w:pPr>
        <w:ind w:right="450" w:hanging="360"/>
        <w:rPr>
          <w:sz w:val="28"/>
          <w:szCs w:val="28"/>
          <w:lang w:val="uk-UA"/>
        </w:rPr>
      </w:pPr>
    </w:p>
    <w:p w:rsidR="000C73B8" w:rsidRPr="007938CA" w:rsidRDefault="000C73B8" w:rsidP="000C73B8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0C73B8" w:rsidRPr="007938CA" w:rsidRDefault="000C73B8" w:rsidP="000C73B8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0C73B8" w:rsidRPr="007938CA" w:rsidRDefault="000C73B8" w:rsidP="000C73B8">
      <w:pPr>
        <w:numPr>
          <w:ilvl w:val="0"/>
          <w:numId w:val="8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0C73B8" w:rsidRPr="007938CA" w:rsidRDefault="000C73B8" w:rsidP="000C73B8">
      <w:pPr>
        <w:numPr>
          <w:ilvl w:val="0"/>
          <w:numId w:val="9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0C73B8" w:rsidRPr="007938CA" w:rsidRDefault="000C73B8" w:rsidP="000C73B8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0C73B8" w:rsidRPr="007938CA" w:rsidRDefault="000C73B8" w:rsidP="000C73B8">
      <w:pPr>
        <w:numPr>
          <w:ilvl w:val="0"/>
          <w:numId w:val="9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0C73B8" w:rsidRPr="007938CA" w:rsidRDefault="000C73B8" w:rsidP="000C73B8">
      <w:pPr>
        <w:numPr>
          <w:ilvl w:val="0"/>
          <w:numId w:val="9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0C73B8" w:rsidRPr="007938CA" w:rsidRDefault="000C73B8" w:rsidP="000C73B8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0C73B8" w:rsidRPr="007938CA" w:rsidRDefault="000C73B8" w:rsidP="000C73B8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0C73B8" w:rsidRPr="007938CA" w:rsidRDefault="000C73B8" w:rsidP="000C73B8">
      <w:pPr>
        <w:numPr>
          <w:ilvl w:val="0"/>
          <w:numId w:val="10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0C73B8" w:rsidRPr="007938CA" w:rsidRDefault="000C73B8" w:rsidP="000C73B8">
      <w:pPr>
        <w:numPr>
          <w:ilvl w:val="0"/>
          <w:numId w:val="10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0C73B8" w:rsidRPr="007938CA" w:rsidRDefault="000C73B8" w:rsidP="000C73B8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lastRenderedPageBreak/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0C73B8" w:rsidRPr="007938CA" w:rsidRDefault="000C73B8" w:rsidP="000C73B8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0C73B8" w:rsidRDefault="000C73B8"/>
    <w:sectPr w:rsidR="000C7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02"/>
    <w:multiLevelType w:val="multilevel"/>
    <w:tmpl w:val="88EA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B2E71"/>
    <w:multiLevelType w:val="multilevel"/>
    <w:tmpl w:val="C93E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70EF1"/>
    <w:multiLevelType w:val="multilevel"/>
    <w:tmpl w:val="A8A4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7173D"/>
    <w:multiLevelType w:val="multilevel"/>
    <w:tmpl w:val="432C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105DDB"/>
    <w:multiLevelType w:val="multilevel"/>
    <w:tmpl w:val="B05E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42362"/>
    <w:multiLevelType w:val="multilevel"/>
    <w:tmpl w:val="640E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F564B"/>
    <w:multiLevelType w:val="multilevel"/>
    <w:tmpl w:val="92E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883832">
    <w:abstractNumId w:val="1"/>
  </w:num>
  <w:num w:numId="2" w16cid:durableId="1006516390">
    <w:abstractNumId w:val="9"/>
  </w:num>
  <w:num w:numId="3" w16cid:durableId="378675969">
    <w:abstractNumId w:val="10"/>
  </w:num>
  <w:num w:numId="4" w16cid:durableId="2068913823">
    <w:abstractNumId w:val="2"/>
  </w:num>
  <w:num w:numId="5" w16cid:durableId="460193926">
    <w:abstractNumId w:val="0"/>
  </w:num>
  <w:num w:numId="6" w16cid:durableId="812871932">
    <w:abstractNumId w:val="7"/>
  </w:num>
  <w:num w:numId="7" w16cid:durableId="1479959510">
    <w:abstractNumId w:val="5"/>
  </w:num>
  <w:num w:numId="8" w16cid:durableId="476652490">
    <w:abstractNumId w:val="4"/>
  </w:num>
  <w:num w:numId="9" w16cid:durableId="621115598">
    <w:abstractNumId w:val="6"/>
  </w:num>
  <w:num w:numId="10" w16cid:durableId="1316446126">
    <w:abstractNumId w:val="3"/>
  </w:num>
  <w:num w:numId="11" w16cid:durableId="1782139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B8"/>
    <w:rsid w:val="000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17786"/>
  <w15:chartTrackingRefBased/>
  <w15:docId w15:val="{D4F67F7F-9B36-294A-B64C-39A46740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C73B8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0C73B8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3B8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0C73B8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0C73B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2025-06-26T15:00:00Z</dcterms:created>
  <dcterms:modified xsi:type="dcterms:W3CDTF">2025-06-26T15:04:00Z</dcterms:modified>
</cp:coreProperties>
</file>