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4A" w:rsidRPr="006830D9" w:rsidRDefault="00685E9B" w:rsidP="0004784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Лекція 11</w:t>
      </w:r>
      <w:r w:rsidR="0004784A"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bookmarkStart w:id="1" w:name="_Hlk118666468"/>
      <w:bookmarkEnd w:id="0"/>
    </w:p>
    <w:bookmarkEnd w:id="1"/>
    <w:p w:rsidR="0004784A" w:rsidRPr="006830D9" w:rsidRDefault="0004784A" w:rsidP="006830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Невербальне маніпулювання</w:t>
      </w:r>
    </w:p>
    <w:p w:rsidR="00D72FCC" w:rsidRPr="006830D9" w:rsidRDefault="0004784A" w:rsidP="006830D9">
      <w:pPr>
        <w:pStyle w:val="a3"/>
        <w:numPr>
          <w:ilvl w:val="0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0D9">
        <w:rPr>
          <w:rFonts w:ascii="Times New Roman" w:hAnsi="Times New Roman" w:cs="Times New Roman"/>
          <w:sz w:val="24"/>
          <w:szCs w:val="24"/>
        </w:rPr>
        <w:t xml:space="preserve">Суть невербального маніпулювання. Основні функції невербального маніпулювання. </w:t>
      </w:r>
    </w:p>
    <w:p w:rsidR="00065AD4" w:rsidRPr="006830D9" w:rsidRDefault="0004784A" w:rsidP="006830D9">
      <w:pPr>
        <w:pStyle w:val="a3"/>
        <w:numPr>
          <w:ilvl w:val="0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0D9">
        <w:rPr>
          <w:rFonts w:ascii="Times New Roman" w:hAnsi="Times New Roman" w:cs="Times New Roman"/>
          <w:sz w:val="24"/>
          <w:szCs w:val="24"/>
        </w:rPr>
        <w:t xml:space="preserve">Невербальні засоби спілкування: просодія та </w:t>
      </w:r>
      <w:proofErr w:type="spellStart"/>
      <w:r w:rsidRPr="006830D9">
        <w:rPr>
          <w:rFonts w:ascii="Times New Roman" w:hAnsi="Times New Roman" w:cs="Times New Roman"/>
          <w:sz w:val="24"/>
          <w:szCs w:val="24"/>
        </w:rPr>
        <w:t>екстралінвістика</w:t>
      </w:r>
      <w:proofErr w:type="spellEnd"/>
      <w:r w:rsidRPr="00683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30D9">
        <w:rPr>
          <w:rFonts w:ascii="Times New Roman" w:hAnsi="Times New Roman" w:cs="Times New Roman"/>
          <w:sz w:val="24"/>
          <w:szCs w:val="24"/>
        </w:rPr>
        <w:t>кінесика</w:t>
      </w:r>
      <w:proofErr w:type="spellEnd"/>
      <w:r w:rsidRPr="00683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30D9">
        <w:rPr>
          <w:rFonts w:ascii="Times New Roman" w:hAnsi="Times New Roman" w:cs="Times New Roman"/>
          <w:sz w:val="24"/>
          <w:szCs w:val="24"/>
        </w:rPr>
        <w:t>такесика</w:t>
      </w:r>
      <w:proofErr w:type="spellEnd"/>
      <w:r w:rsidRPr="006830D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30D9">
        <w:rPr>
          <w:rFonts w:ascii="Times New Roman" w:hAnsi="Times New Roman" w:cs="Times New Roman"/>
          <w:sz w:val="24"/>
          <w:szCs w:val="24"/>
        </w:rPr>
        <w:t>проксеміка</w:t>
      </w:r>
      <w:proofErr w:type="spellEnd"/>
      <w:r w:rsidRPr="00683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4BFD" w:rsidRDefault="006830D9" w:rsidP="006830D9">
      <w:pPr>
        <w:pStyle w:val="a3"/>
        <w:numPr>
          <w:ilvl w:val="0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30D9">
        <w:rPr>
          <w:rFonts w:ascii="Times New Roman" w:hAnsi="Times New Roman" w:cs="Times New Roman"/>
          <w:sz w:val="24"/>
          <w:szCs w:val="24"/>
        </w:rPr>
        <w:t>Інтерпретація</w:t>
      </w:r>
      <w:r w:rsidR="0004784A" w:rsidRPr="006830D9">
        <w:rPr>
          <w:rFonts w:ascii="Times New Roman" w:hAnsi="Times New Roman" w:cs="Times New Roman"/>
          <w:sz w:val="24"/>
          <w:szCs w:val="24"/>
        </w:rPr>
        <w:t xml:space="preserve"> невербальної поведінки. </w:t>
      </w:r>
    </w:p>
    <w:p w:rsidR="006830D9" w:rsidRPr="006830D9" w:rsidRDefault="006830D9" w:rsidP="006830D9">
      <w:pPr>
        <w:pStyle w:val="a3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784A" w:rsidRPr="009C7438" w:rsidRDefault="0004784A" w:rsidP="00047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438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Була С. П. Свідерська О. І. Соціальні мережі як інструмент політичної маніпуляції. </w:t>
      </w: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: наук. журнал. 2020. № 4. С. 21–25. </w:t>
      </w:r>
      <w:hyperlink r:id="rId5" w:history="1">
        <w:r w:rsidRPr="009C743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http://dspace.pdpu.edu.ua/bitstream/123456789/10335/1/Bula%2c%20Sviderska.pdf</w:t>
        </w:r>
      </w:hyperlink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9C7438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. 2014. № 83. </w:t>
      </w:r>
      <w:hyperlink r:id="rId6" w:history="1">
        <w:r w:rsidRPr="009C743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Мошак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 Д. С. Сучасні політичні маніпуляції: політико-комунікаційний та політико-технологічний виміри. </w:t>
      </w: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: наук. журнал. 2020. № 4. С. 42–46. </w:t>
      </w:r>
      <w:hyperlink r:id="rId7" w:history="1">
        <w:r w:rsidRPr="009C743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http://dspace.pdpu.edu.ua/bitstream/123456789/10338/1/Moshak.pdf</w:t>
        </w:r>
      </w:hyperlink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Павлов Д. Політична пропаганда: до визначення поняття. </w:t>
      </w:r>
      <w:proofErr w:type="spellStart"/>
      <w:r w:rsidRPr="009C7438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8" w:history="1">
        <w:r w:rsidRPr="009C743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Руденко Н. В. Сугестія як засіб формування громадської думки в сучасних англомовних інтернет-виданнях: інформаційно-комунікаційні стратегії та способи їх реалізації: </w:t>
      </w: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....д-ра філософії: 061. Суми, 2022. 235 с. </w:t>
      </w:r>
      <w:hyperlink r:id="rId9" w:history="1">
        <w:r w:rsidRPr="009C743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10" w:history="1">
        <w:r w:rsidRPr="009C743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2" w:name="_Hlk118663163"/>
    </w:p>
    <w:p w:rsidR="0004784A" w:rsidRPr="009C7438" w:rsidRDefault="0004784A" w:rsidP="0004784A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9C7438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9C7438">
        <w:rPr>
          <w:rFonts w:ascii="Times New Roman" w:hAnsi="Times New Roman" w:cs="Times New Roman"/>
          <w:sz w:val="24"/>
          <w:szCs w:val="24"/>
          <w:lang w:val="uk-UA"/>
        </w:rPr>
        <w:t>, 2018, 170 p.</w:t>
      </w:r>
      <w:bookmarkEnd w:id="2"/>
    </w:p>
    <w:p w:rsidR="0004784A" w:rsidRDefault="0004784A">
      <w:pPr>
        <w:rPr>
          <w:lang w:val="uk-UA"/>
        </w:rPr>
      </w:pPr>
    </w:p>
    <w:p w:rsidR="0004784A" w:rsidRPr="006830D9" w:rsidRDefault="006830D9" w:rsidP="006830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1. </w:t>
      </w:r>
      <w:r w:rsidRPr="006830D9">
        <w:rPr>
          <w:rFonts w:ascii="Times New Roman" w:hAnsi="Times New Roman" w:cs="Times New Roman"/>
          <w:b/>
          <w:i/>
          <w:sz w:val="24"/>
          <w:szCs w:val="24"/>
        </w:rPr>
        <w:t xml:space="preserve">Суть невербального </w:t>
      </w:r>
      <w:proofErr w:type="spellStart"/>
      <w:r w:rsidRPr="006830D9">
        <w:rPr>
          <w:rFonts w:ascii="Times New Roman" w:hAnsi="Times New Roman" w:cs="Times New Roman"/>
          <w:b/>
          <w:i/>
          <w:sz w:val="24"/>
          <w:szCs w:val="24"/>
        </w:rPr>
        <w:t>маніпулювання</w:t>
      </w:r>
      <w:proofErr w:type="spellEnd"/>
      <w:r w:rsidRPr="006830D9">
        <w:rPr>
          <w:rFonts w:ascii="Times New Roman" w:hAnsi="Times New Roman" w:cs="Times New Roman"/>
          <w:b/>
          <w:i/>
          <w:sz w:val="24"/>
          <w:szCs w:val="24"/>
        </w:rPr>
        <w:t xml:space="preserve">. Основні функції невербального маніпулювання. </w:t>
      </w:r>
    </w:p>
    <w:p w:rsidR="0004784A" w:rsidRPr="006830D9" w:rsidRDefault="0004784A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6830D9" w:rsidRPr="006830D9">
        <w:rPr>
          <w:rFonts w:ascii="Times New Roman" w:hAnsi="Times New Roman" w:cs="Times New Roman"/>
          <w:b/>
          <w:sz w:val="24"/>
          <w:szCs w:val="24"/>
          <w:lang w:val="uk-UA"/>
        </w:rPr>
        <w:t>евербальна комунікація</w:t>
      </w:r>
      <w:r w:rsidR="006830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t>— спілкування за допомогою</w:t>
      </w:r>
      <w:r w:rsidR="006830D9"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жестів (мови жестів), міміки, рухів </w:t>
      </w:r>
      <w:r w:rsidR="006830D9"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тіла й деяких інших засобів, за 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виключенням </w:t>
      </w:r>
      <w:proofErr w:type="spellStart"/>
      <w:r w:rsidRPr="006830D9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Pr="006830D9">
        <w:rPr>
          <w:rFonts w:ascii="Times New Roman" w:hAnsi="Times New Roman" w:cs="Times New Roman"/>
          <w:sz w:val="24"/>
          <w:szCs w:val="24"/>
          <w:lang w:val="uk-UA"/>
        </w:rPr>
        <w:t>. Невербальна комуні</w:t>
      </w:r>
      <w:r w:rsidR="006830D9"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кація у різних народів має свої 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t>специфічні характеристики.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6830D9" w:rsidRPr="006830D9" w:rsidRDefault="0004784A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Можна виділити три види відхилень від правильного розуміння </w:t>
      </w:r>
      <w:r w:rsidR="006830D9" w:rsidRPr="006830D9">
        <w:rPr>
          <w:rFonts w:ascii="Times New Roman" w:hAnsi="Times New Roman" w:cs="Times New Roman"/>
          <w:sz w:val="24"/>
          <w:szCs w:val="24"/>
          <w:lang w:val="uk-UA"/>
        </w:rPr>
        <w:t>невербальних засобів спілкування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при переході від однієї культури до іншої: </w:t>
      </w:r>
    </w:p>
    <w:p w:rsidR="006830D9" w:rsidRPr="006830D9" w:rsidRDefault="0004784A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1) неправильна інтерпретація, </w:t>
      </w:r>
    </w:p>
    <w:p w:rsidR="006830D9" w:rsidRPr="006830D9" w:rsidRDefault="0004784A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2) неповна інтерпретація, </w:t>
      </w:r>
    </w:p>
    <w:p w:rsidR="0004784A" w:rsidRPr="006830D9" w:rsidRDefault="0004784A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3) надлишкова інтерпретація.</w:t>
      </w:r>
    </w:p>
    <w:p w:rsidR="0004784A" w:rsidRPr="006830D9" w:rsidRDefault="0004784A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3C99" w:rsidRPr="006830D9" w:rsidRDefault="00A63C9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Невербальні засоби спілкування супроводжують, доповнюють мову, а в деяких випадках і заміняють її (у таких випадках кажуть – «зрозуміло без слів»). Невербальні сигнали виконують такі функції:</w:t>
      </w:r>
    </w:p>
    <w:p w:rsidR="00A63C99" w:rsidRPr="006830D9" w:rsidRDefault="00A63C9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– передають інформацію співрозмовнику;</w:t>
      </w:r>
    </w:p>
    <w:p w:rsidR="00A63C99" w:rsidRPr="006830D9" w:rsidRDefault="00A63C9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– впливають на співрозмовника;</w:t>
      </w:r>
    </w:p>
    <w:p w:rsidR="00A63C99" w:rsidRPr="006830D9" w:rsidRDefault="00A63C9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– впливають на того, хто говорить (</w:t>
      </w:r>
      <w:proofErr w:type="spellStart"/>
      <w:r w:rsidRPr="006830D9">
        <w:rPr>
          <w:rFonts w:ascii="Times New Roman" w:hAnsi="Times New Roman" w:cs="Times New Roman"/>
          <w:sz w:val="24"/>
          <w:szCs w:val="24"/>
          <w:lang w:val="uk-UA"/>
        </w:rPr>
        <w:t>самовплив</w:t>
      </w:r>
      <w:proofErr w:type="spellEnd"/>
      <w:r w:rsidRPr="006830D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63C99" w:rsidRPr="006830D9" w:rsidRDefault="00A63C9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В усіх цих трьох функціях невербальні сигнали можуть використовуватись </w:t>
      </w:r>
      <w:proofErr w:type="spellStart"/>
      <w:r w:rsidRPr="006830D9">
        <w:rPr>
          <w:rFonts w:ascii="Times New Roman" w:hAnsi="Times New Roman" w:cs="Times New Roman"/>
          <w:sz w:val="24"/>
          <w:szCs w:val="24"/>
          <w:lang w:val="uk-UA"/>
        </w:rPr>
        <w:t>комунікантами</w:t>
      </w:r>
      <w:proofErr w:type="spellEnd"/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свідомо чи підсвідомо.</w:t>
      </w:r>
    </w:p>
    <w:p w:rsidR="00A63C99" w:rsidRPr="006830D9" w:rsidRDefault="00A63C9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Трактування засобів невербальної комунікації залежать від:</w:t>
      </w:r>
    </w:p>
    <w:p w:rsidR="0029180C" w:rsidRPr="006830D9" w:rsidRDefault="00685E9B" w:rsidP="006830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індивідуально-психологічних особливостей;</w:t>
      </w:r>
    </w:p>
    <w:p w:rsidR="0029180C" w:rsidRPr="006830D9" w:rsidRDefault="00685E9B" w:rsidP="006830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середовища;</w:t>
      </w:r>
    </w:p>
    <w:p w:rsidR="0029180C" w:rsidRPr="006830D9" w:rsidRDefault="00685E9B" w:rsidP="006830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дотримання норм етикету;</w:t>
      </w:r>
    </w:p>
    <w:p w:rsidR="0029180C" w:rsidRPr="006830D9" w:rsidRDefault="00685E9B" w:rsidP="006830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віку;</w:t>
      </w:r>
    </w:p>
    <w:p w:rsidR="0029180C" w:rsidRPr="006830D9" w:rsidRDefault="00685E9B" w:rsidP="006830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типу темпераменту людини;</w:t>
      </w:r>
    </w:p>
    <w:p w:rsidR="0029180C" w:rsidRPr="006830D9" w:rsidRDefault="00685E9B" w:rsidP="006830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національної належності особистості.</w:t>
      </w:r>
    </w:p>
    <w:p w:rsidR="006830D9" w:rsidRDefault="006830D9" w:rsidP="006830D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30D9" w:rsidRPr="006830D9" w:rsidRDefault="006830D9" w:rsidP="00683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2. Невербальні засоби спілкування: просодія та </w:t>
      </w:r>
      <w:proofErr w:type="spellStart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>екстралінвістика</w:t>
      </w:r>
      <w:proofErr w:type="spellEnd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>кінесика</w:t>
      </w:r>
      <w:proofErr w:type="spellEnd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>такесика</w:t>
      </w:r>
      <w:proofErr w:type="spellEnd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 </w:t>
      </w:r>
      <w:proofErr w:type="spellStart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проксеміка</w:t>
      </w:r>
      <w:proofErr w:type="spellEnd"/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:rsidR="0004784A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0926">
        <w:rPr>
          <w:rFonts w:ascii="Times New Roman" w:hAnsi="Times New Roman" w:cs="Times New Roman"/>
          <w:b/>
          <w:sz w:val="24"/>
          <w:szCs w:val="24"/>
          <w:lang w:val="uk-UA"/>
        </w:rPr>
        <w:t>Просодія</w:t>
      </w:r>
      <w:r w:rsidRPr="006830D9">
        <w:rPr>
          <w:rFonts w:ascii="Times New Roman" w:hAnsi="Times New Roman" w:cs="Times New Roman"/>
          <w:sz w:val="24"/>
          <w:szCs w:val="24"/>
          <w:lang w:val="uk-UA"/>
        </w:rPr>
        <w:t xml:space="preserve"> - це важливий аспект невербальної комунікації, що стосується звукових особливостей мовлення, таких як інтонація, темп, гучність та тон. Ці елементи можуть змінювати значення слів та додавати додатковий зміст до спілкування.</w:t>
      </w:r>
    </w:p>
    <w:p w:rsidR="00C9471D" w:rsidRPr="006830D9" w:rsidRDefault="00C9471D" w:rsidP="006830D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Інтонація:</w:t>
      </w: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Спосіб, яким ми вимовляємо слова, може змінювати їхнє значення. Наприклад, інтонація запитання, прохання або твердження може змінювати емоційне забарвлення та інформувати про наміри співрозмовника.</w:t>
      </w:r>
    </w:p>
    <w:p w:rsidR="00C9471D" w:rsidRPr="006830D9" w:rsidRDefault="00C9471D" w:rsidP="006830D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Темп:</w:t>
      </w: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Швидкість, з якою ми говоримо, також може впливати на сприйняття. Швидке мовлення може бути сприйняте як нервозність або поспішність, а повільн</w:t>
      </w:r>
      <w:r w:rsidR="00460926">
        <w:rPr>
          <w:rFonts w:ascii="Times New Roman" w:hAnsi="Times New Roman" w:cs="Times New Roman"/>
          <w:iCs/>
          <w:sz w:val="24"/>
          <w:szCs w:val="24"/>
          <w:lang w:val="uk-UA"/>
        </w:rPr>
        <w:t>е - як розміреність або роздумування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C9471D" w:rsidRPr="006830D9" w:rsidRDefault="00C9471D" w:rsidP="006830D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Гучність:</w:t>
      </w: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Гучність голосу також може передавати емоції та сигнали. Наприклад, голосити або кричати можуть бути ознакою гніву, а тихе мовлення - тихості.</w:t>
      </w:r>
    </w:p>
    <w:p w:rsidR="00C9471D" w:rsidRPr="006830D9" w:rsidRDefault="00C9471D" w:rsidP="006830D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Тон:</w:t>
      </w: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Тон голосу може передавати різні емоції, такі як радість, сум, гнів або страх. </w:t>
      </w: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6830D9">
        <w:rPr>
          <w:rFonts w:ascii="Times New Roman" w:hAnsi="Times New Roman" w:cs="Times New Roman"/>
          <w:b/>
          <w:iCs/>
          <w:sz w:val="24"/>
          <w:szCs w:val="24"/>
          <w:lang w:val="uk-UA"/>
        </w:rPr>
        <w:t>Екстралінгвістика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або позамовна комунікація, включає невербальні засоби, які допомагають передавати інформацію та емоції без використання слів. Це можуть бути міміка, жести, пози, рухи, а також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паралінгвістичні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елементи, як-то тон голосу, інтонація та темп мовлення. 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Пауза – один з найяскравіших виражальних засобів, здатна привернути увагу до виголошуваної інформації. Під час виступу доцільно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послуговуватись логічними (дають змогу обдумати наступну фразу) та організаційними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паузами (допомагають зосередитися, перейти від одного етапу спілкування до іншого, стимулюють мимовільну увагу). 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Покашлювання може бути стандартною реакцією організму на тривале говоріння. Воно є небажаним під час виголошення промови та може зіпсувати враження про оратора. Варто запобігати цього явища, так як воно відволікає слухачів від змісту виступу. У той же час, навмисне покашлювання може застосовуватись як акцентуаційний засіб та засіб привернення уваги під час виступу. 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Позитивно впливає на настрій аудиторії сміх. Говорять, що виступ розпочатий з жарту зацікавить слухачів та змусить слухати оратора краще, ніж стандартний вступ. Саме тому важливо послуговуватись ним під час виступів. </w:t>
      </w:r>
    </w:p>
    <w:p w:rsidR="00C9471D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Діапазон – вроджена характеристика голосу, має важливе значення під час виступу. Об’єм голосу створює бажання чи небажання у слухачів слухати виступ.</w:t>
      </w:r>
    </w:p>
    <w:p w:rsidR="00C9471D" w:rsidRPr="006830D9" w:rsidRDefault="00C9471D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6830D9">
        <w:rPr>
          <w:rFonts w:ascii="Times New Roman" w:hAnsi="Times New Roman" w:cs="Times New Roman"/>
          <w:b/>
          <w:iCs/>
          <w:sz w:val="24"/>
          <w:szCs w:val="24"/>
          <w:lang w:val="uk-UA"/>
        </w:rPr>
        <w:t>Проксеміка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– наука про тимчасову і просторову організацію спілкування – описує наступні способи розміщення слухачів в аудиторії: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Проксеміка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досліджує просторові умови спілкування – розташування співрозмовників в момент їх контакту. Східні культури допускають меншу відстань при спілкуванні, ніж західні. Слід мати на увазі, що у різних народів дистанції помітно відрізняться. Наприклад, під час ділової розмови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>латиноамериканці мимоволі прагнуть наблизитися до партнера, а громадяни США – навпаки.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065AD4" w:rsidRPr="006830D9" w:rsidRDefault="00065AD4" w:rsidP="006830D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6830D9">
        <w:rPr>
          <w:b/>
          <w:bCs/>
          <w:iCs/>
          <w:lang w:val="uk-UA"/>
        </w:rPr>
        <w:t>Кінесика</w:t>
      </w:r>
      <w:proofErr w:type="spellEnd"/>
      <w:r w:rsidRPr="006830D9">
        <w:rPr>
          <w:b/>
          <w:bCs/>
          <w:iCs/>
          <w:lang w:val="uk-UA"/>
        </w:rPr>
        <w:t> </w:t>
      </w:r>
      <w:r w:rsidRPr="006830D9">
        <w:rPr>
          <w:iCs/>
          <w:lang w:val="uk-UA"/>
        </w:rPr>
        <w:t>- зорово сприйнятий діапазон рухів (відбиваються за допомогою оптичної</w:t>
      </w:r>
      <w:r w:rsidR="006830D9">
        <w:rPr>
          <w:lang w:val="uk-UA"/>
        </w:rPr>
        <w:t xml:space="preserve"> </w:t>
      </w:r>
      <w:r w:rsidR="00D20F30">
        <w:rPr>
          <w:iCs/>
          <w:lang w:val="uk-UA"/>
        </w:rPr>
        <w:t>системи суб</w:t>
      </w:r>
      <w:r w:rsidR="00D20F30" w:rsidRPr="006830D9">
        <w:rPr>
          <w:iCs/>
          <w:lang w:val="uk-UA"/>
        </w:rPr>
        <w:t>’єкту</w:t>
      </w:r>
      <w:r w:rsidRPr="006830D9">
        <w:rPr>
          <w:iCs/>
          <w:lang w:val="uk-UA"/>
        </w:rPr>
        <w:t>), що виконають експресивно-регулятивну функцію в спілкуванні</w:t>
      </w:r>
      <w:r w:rsidR="006830D9">
        <w:rPr>
          <w:lang w:val="uk-UA"/>
        </w:rPr>
        <w:t xml:space="preserve"> </w:t>
      </w:r>
      <w:r w:rsidRPr="006830D9">
        <w:rPr>
          <w:iCs/>
          <w:lang w:val="uk-UA"/>
        </w:rPr>
        <w:t>(жести, пози, міміка, оформлення зовнішності, почерк тощо).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Згідно з найпоширенішою класифікацією, жести поділяються на: 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природні (спонтанні); 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штучні (жести глухонімих, професійні жести диригентів, біржовиків та ін.). </w:t>
      </w:r>
    </w:p>
    <w:p w:rsidR="006830D9" w:rsidRDefault="006830D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Відповідно до класифікації відомого дослідника невербальної поведінки А.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Штангля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виділяються: 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жести рук: руки, що мляво звисають уздовж, – пасивність,</w:t>
      </w:r>
      <w:r w:rsidR="009E1BE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нестача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волі; схрещені на грудях руки – тенденція до дистанціювання, ізоляція, вичікування та ін.; 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жести рук: відкрита долоня обернена вгору – пояснення, переконання, відкрите уявлення, віддання; руки заховані в кишенях –</w:t>
      </w:r>
      <w:r w:rsidR="009E1BE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невпевненість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втрата безпосередності; рука стискається в кулак – концентрація, прагнення до самоствердження та ін.; 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«гра рук»: пальці барабанять по столу – демонстрація незацікавленості. </w:t>
      </w:r>
    </w:p>
    <w:p w:rsid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жести пальців: палець щільно притиснутий до рота – прагнення запобігти всякому прояву, імпульс до оволодіння собою; палець торкається очей або вух – опосередкований знак незручності, поганий настрій, відома боязкість та ін.; </w:t>
      </w:r>
    </w:p>
    <w:p w:rsidR="00C9471D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sym w:font="Symbol" w:char="F0B7"/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рукостискання: тверде, енергійне, важке, таке, що тисне, безбарвне, слабке й ін.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6830D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Такесика</w:t>
      </w:r>
      <w:proofErr w:type="spellEnd"/>
      <w:r w:rsidRPr="006830D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 </w:t>
      </w:r>
      <w:r w:rsidR="00D20F30">
        <w:rPr>
          <w:rFonts w:ascii="Times New Roman" w:hAnsi="Times New Roman" w:cs="Times New Roman"/>
          <w:iCs/>
          <w:sz w:val="24"/>
          <w:szCs w:val="24"/>
          <w:lang w:val="uk-UA"/>
        </w:rPr>
        <w:t>- невербальна комунікація, пов</w:t>
      </w:r>
      <w:r w:rsidR="00D20F30" w:rsidRPr="006830D9">
        <w:rPr>
          <w:rFonts w:ascii="Times New Roman" w:hAnsi="Times New Roman" w:cs="Times New Roman"/>
          <w:iCs/>
          <w:sz w:val="24"/>
          <w:szCs w:val="24"/>
          <w:lang w:val="uk-UA"/>
        </w:rPr>
        <w:t>’язана</w:t>
      </w:r>
      <w:bookmarkStart w:id="3" w:name="_GoBack"/>
      <w:bookmarkEnd w:id="3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 тактильною системою сприймання; включає різноманітні дотики — рукостискання, поцілунки,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поглажування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, плескання, обійми.</w:t>
      </w:r>
    </w:p>
    <w:p w:rsidR="00065AD4" w:rsidRPr="006830D9" w:rsidRDefault="00065AD4" w:rsidP="006830D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6830D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Типи відстані спілкування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1. Інтимна відстань (від безпосереднього фізичного контакту до 40-45 см) передбачає тісне і близьке спілкування, хоча не обов'язково позитивно забарвлене (наприклад, обійми, вовтузіння з дитиною або бійка). Партнери на цій відстані не тільки бачать, але й відчувають один одного.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2. Особиста відстань може досягати 1</w:t>
      </w:r>
      <w:r w:rsidR="00460926">
        <w:rPr>
          <w:rFonts w:ascii="Times New Roman" w:hAnsi="Times New Roman" w:cs="Times New Roman"/>
          <w:iCs/>
          <w:sz w:val="24"/>
          <w:szCs w:val="24"/>
          <w:lang w:val="uk-UA"/>
        </w:rPr>
        <w:t>20 см, фізичний контакт не обов</w:t>
      </w:r>
      <w:r w:rsidR="00460926" w:rsidRPr="006830D9">
        <w:rPr>
          <w:rFonts w:ascii="Times New Roman" w:hAnsi="Times New Roman" w:cs="Times New Roman"/>
          <w:iCs/>
          <w:sz w:val="24"/>
          <w:szCs w:val="24"/>
          <w:lang w:val="uk-UA"/>
        </w:rPr>
        <w:t>’язковий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3. Соціальна відстань розташуються в проміжках від 120 до 260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cм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. Така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дистанція найбільш зручна для формального спілкування.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4. Публічна відстань характерна для спілкування, в якому не так важливо, хто саме перед нами — таким є спілкування доп</w:t>
      </w:r>
      <w:r w:rsidR="00460926">
        <w:rPr>
          <w:rFonts w:ascii="Times New Roman" w:hAnsi="Times New Roman" w:cs="Times New Roman"/>
          <w:iCs/>
          <w:sz w:val="24"/>
          <w:szCs w:val="24"/>
          <w:lang w:val="uk-UA"/>
        </w:rPr>
        <w:t>овідача з аудиторією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065AD4" w:rsidRPr="006830D9" w:rsidRDefault="00065AD4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830D9" w:rsidRPr="006830D9" w:rsidRDefault="006830D9" w:rsidP="006830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3. </w:t>
      </w:r>
      <w:r w:rsidRPr="006830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Інтерпретація невербальної поведінки. </w:t>
      </w:r>
    </w:p>
    <w:p w:rsidR="00D72FCC" w:rsidRPr="006830D9" w:rsidRDefault="006830D9" w:rsidP="006830D9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Н</w:t>
      </w:r>
      <w:r w:rsidR="00D72FCC"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евербальні впливи виступають в якості індикаторів брехні.</w:t>
      </w:r>
    </w:p>
    <w:p w:rsidR="00D72FCC" w:rsidRPr="006830D9" w:rsidRDefault="00D72FCC" w:rsidP="006830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D9">
        <w:rPr>
          <w:rFonts w:ascii="Times New Roman" w:hAnsi="Times New Roman" w:cs="Times New Roman"/>
          <w:iCs/>
          <w:sz w:val="24"/>
          <w:szCs w:val="24"/>
        </w:rPr>
        <w:t>брехун починає розмову здалека, уникає вашого погляду,</w:t>
      </w:r>
    </w:p>
    <w:p w:rsidR="00D72FCC" w:rsidRPr="006830D9" w:rsidRDefault="00D72FCC" w:rsidP="006830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D9">
        <w:rPr>
          <w:rFonts w:ascii="Times New Roman" w:hAnsi="Times New Roman" w:cs="Times New Roman"/>
          <w:iCs/>
          <w:sz w:val="24"/>
          <w:szCs w:val="24"/>
        </w:rPr>
        <w:t>рідше посміхається, говорить повільніше, має розширені зіниці, рідше і</w:t>
      </w:r>
    </w:p>
    <w:p w:rsidR="006830D9" w:rsidRPr="006830D9" w:rsidRDefault="00D72FCC" w:rsidP="006830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D9">
        <w:rPr>
          <w:rFonts w:ascii="Times New Roman" w:hAnsi="Times New Roman" w:cs="Times New Roman"/>
          <w:iCs/>
          <w:sz w:val="24"/>
          <w:szCs w:val="24"/>
        </w:rPr>
        <w:t>менш активно киває головою, ховає</w:t>
      </w:r>
      <w:r w:rsidR="006830D9" w:rsidRPr="006830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</w:rPr>
        <w:t>руки в кишені,</w:t>
      </w:r>
    </w:p>
    <w:p w:rsidR="006830D9" w:rsidRPr="006830D9" w:rsidRDefault="00D72FCC" w:rsidP="006830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D9">
        <w:rPr>
          <w:rFonts w:ascii="Times New Roman" w:hAnsi="Times New Roman" w:cs="Times New Roman"/>
          <w:iCs/>
          <w:sz w:val="24"/>
          <w:szCs w:val="24"/>
        </w:rPr>
        <w:t xml:space="preserve">використовує оціночний погляд, </w:t>
      </w:r>
    </w:p>
    <w:p w:rsidR="006830D9" w:rsidRPr="006830D9" w:rsidRDefault="00D72FCC" w:rsidP="006830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D9">
        <w:rPr>
          <w:rFonts w:ascii="Times New Roman" w:hAnsi="Times New Roman" w:cs="Times New Roman"/>
          <w:iCs/>
          <w:sz w:val="24"/>
          <w:szCs w:val="24"/>
        </w:rPr>
        <w:t xml:space="preserve">відволікаючись від основної розмови, </w:t>
      </w:r>
    </w:p>
    <w:p w:rsidR="00065AD4" w:rsidRPr="006830D9" w:rsidRDefault="00D72FCC" w:rsidP="006830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D9">
        <w:rPr>
          <w:rFonts w:ascii="Times New Roman" w:hAnsi="Times New Roman" w:cs="Times New Roman"/>
          <w:iCs/>
          <w:sz w:val="24"/>
          <w:szCs w:val="24"/>
        </w:rPr>
        <w:t>невідповідність мови і</w:t>
      </w:r>
      <w:r w:rsidR="006830D9" w:rsidRPr="006830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</w:rPr>
        <w:t>невербальної комунікації тощо</w:t>
      </w:r>
    </w:p>
    <w:p w:rsidR="00D72FCC" w:rsidRPr="006830D9" w:rsidRDefault="00D72FCC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D72FCC" w:rsidRPr="006830D9" w:rsidRDefault="00D72FCC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Так, намагаючись 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>вплинути,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шахрай посмішкою, поглядом впливає на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стереотипизовані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реакції, а за допомогою одягу,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зачіски, прикрас «вписується» 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>у відповідний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образ, запускаючи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відповідну поведінкову схему. Демонстрація жестів відкритості (розкриті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руки долонями нагору, потискування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плечима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що супроводжується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>жестом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відкритих рук,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розстібання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піджака)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запускає відповідні поведінкові схеми,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які супроводжуються позитивними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стереотипізованими</w:t>
      </w:r>
      <w:proofErr w:type="spellEnd"/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реакціями.</w:t>
      </w:r>
      <w:r w:rsidR="006830D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6830D9" w:rsidRDefault="006830D9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D72FCC" w:rsidRPr="006830D9" w:rsidRDefault="00D72FCC" w:rsidP="006830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iCs/>
          <w:sz w:val="24"/>
          <w:szCs w:val="24"/>
          <w:lang w:val="uk-UA"/>
        </w:rPr>
        <w:t>Інтерпретація невербальної поведінки – це процес розуміння повідомлень, переданих без слів. Це включає в себе міміку, жести, положення тіла, тон голосу та інші елементи, що допомагають зрозуміти почуття та наміри людини. </w:t>
      </w:r>
    </w:p>
    <w:p w:rsidR="00D72FCC" w:rsidRPr="006830D9" w:rsidRDefault="00D72FCC" w:rsidP="006830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830D9" w:rsidRPr="006830D9" w:rsidRDefault="006830D9" w:rsidP="006830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6830D9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Як інтерпретувати невербальну поведінку:</w:t>
      </w:r>
    </w:p>
    <w:p w:rsidR="006830D9" w:rsidRPr="006830D9" w:rsidRDefault="006830D9" w:rsidP="006830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>1. Спостережливість:</w:t>
      </w:r>
    </w:p>
    <w:p w:rsidR="006830D9" w:rsidRPr="006830D9" w:rsidRDefault="006830D9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Звертайте увагу на всі елементи невербальної комунікації. </w:t>
      </w:r>
    </w:p>
    <w:p w:rsidR="006830D9" w:rsidRPr="006830D9" w:rsidRDefault="006830D9" w:rsidP="006830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>2. Контекст:</w:t>
      </w:r>
    </w:p>
    <w:p w:rsidR="006830D9" w:rsidRPr="006830D9" w:rsidRDefault="006830D9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Розглядайте невербальні сигнали у контексті ситуації, щоб зрозуміти їх значення. </w:t>
      </w:r>
    </w:p>
    <w:p w:rsidR="006830D9" w:rsidRPr="006830D9" w:rsidRDefault="006830D9" w:rsidP="006830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>3. Культурні відмінності:</w:t>
      </w:r>
    </w:p>
    <w:p w:rsidR="006830D9" w:rsidRPr="006830D9" w:rsidRDefault="006830D9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Звертайте увагу на культурні відмінності в інтерпретації невербальних сигналів. </w:t>
      </w:r>
    </w:p>
    <w:p w:rsidR="006830D9" w:rsidRPr="006830D9" w:rsidRDefault="006830D9" w:rsidP="00683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>4. Інтуїція:</w:t>
      </w:r>
    </w:p>
    <w:p w:rsidR="006830D9" w:rsidRPr="006830D9" w:rsidRDefault="006830D9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Розвивайте свою інтуїцію, щоб швидше розуміти невербальні сигнали. </w:t>
      </w:r>
    </w:p>
    <w:p w:rsidR="006830D9" w:rsidRPr="006830D9" w:rsidRDefault="006830D9" w:rsidP="006830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b/>
          <w:bCs/>
          <w:sz w:val="24"/>
          <w:szCs w:val="24"/>
          <w:lang w:val="uk-UA"/>
        </w:rPr>
        <w:t>5. Увага до поєднань:</w:t>
      </w:r>
    </w:p>
    <w:p w:rsidR="006830D9" w:rsidRPr="006830D9" w:rsidRDefault="006830D9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30D9">
        <w:rPr>
          <w:rFonts w:ascii="Times New Roman" w:hAnsi="Times New Roman" w:cs="Times New Roman"/>
          <w:sz w:val="24"/>
          <w:szCs w:val="24"/>
          <w:lang w:val="uk-UA"/>
        </w:rPr>
        <w:t>Звертайте увагу на поєднання невербальних сигналів, що можуть мати спільне значення (наприклад, погляд убік і рух головою – це може означати відмову). </w:t>
      </w:r>
    </w:p>
    <w:p w:rsidR="0004784A" w:rsidRPr="006830D9" w:rsidRDefault="0004784A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30D9" w:rsidRPr="006830D9" w:rsidRDefault="006830D9" w:rsidP="00683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830D9" w:rsidRPr="0068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539"/>
    <w:multiLevelType w:val="multilevel"/>
    <w:tmpl w:val="0F3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018DD"/>
    <w:multiLevelType w:val="hybridMultilevel"/>
    <w:tmpl w:val="1634208E"/>
    <w:lvl w:ilvl="0" w:tplc="52D4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04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F04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05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0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1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63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2F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68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F74AF3"/>
    <w:multiLevelType w:val="hybridMultilevel"/>
    <w:tmpl w:val="259ACD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530F6B"/>
    <w:multiLevelType w:val="hybridMultilevel"/>
    <w:tmpl w:val="4C76C0A6"/>
    <w:lvl w:ilvl="0" w:tplc="104EB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F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8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67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43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2D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4A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AA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7F3A72"/>
    <w:multiLevelType w:val="hybridMultilevel"/>
    <w:tmpl w:val="CF628FCA"/>
    <w:lvl w:ilvl="0" w:tplc="DD9A10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089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0666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213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A8DD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C0DB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06B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A1F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AB5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73D6E"/>
    <w:multiLevelType w:val="hybridMultilevel"/>
    <w:tmpl w:val="BD200380"/>
    <w:lvl w:ilvl="0" w:tplc="BD4CB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C5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FEE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EA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A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4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62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86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88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0A45EF"/>
    <w:multiLevelType w:val="hybridMultilevel"/>
    <w:tmpl w:val="35C8C062"/>
    <w:lvl w:ilvl="0" w:tplc="FC167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4EB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67D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CF3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CA2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E07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82F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875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80E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E1EA1"/>
    <w:multiLevelType w:val="hybridMultilevel"/>
    <w:tmpl w:val="7DFE175C"/>
    <w:lvl w:ilvl="0" w:tplc="67688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22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CB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4E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4F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63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EC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1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A4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21118C"/>
    <w:multiLevelType w:val="hybridMultilevel"/>
    <w:tmpl w:val="404E59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CD01C6"/>
    <w:multiLevelType w:val="hybridMultilevel"/>
    <w:tmpl w:val="6CCC651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F878C0"/>
    <w:multiLevelType w:val="hybridMultilevel"/>
    <w:tmpl w:val="58483BDA"/>
    <w:lvl w:ilvl="0" w:tplc="A39E4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C6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A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A3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81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29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E6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49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81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E03D91"/>
    <w:multiLevelType w:val="hybridMultilevel"/>
    <w:tmpl w:val="55BA4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F416AD"/>
    <w:multiLevelType w:val="hybridMultilevel"/>
    <w:tmpl w:val="5F3E6C80"/>
    <w:lvl w:ilvl="0" w:tplc="E5765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60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64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85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45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8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0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C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0C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291FCA"/>
    <w:multiLevelType w:val="hybridMultilevel"/>
    <w:tmpl w:val="95704FC6"/>
    <w:lvl w:ilvl="0" w:tplc="CA9C6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EEB50">
      <w:start w:val="238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4EA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4F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64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C6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A9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0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67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CBA3EAB"/>
    <w:multiLevelType w:val="multilevel"/>
    <w:tmpl w:val="EFA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13"/>
  </w:num>
  <w:num w:numId="11">
    <w:abstractNumId w:val="3"/>
  </w:num>
  <w:num w:numId="12">
    <w:abstractNumId w:val="15"/>
  </w:num>
  <w:num w:numId="13">
    <w:abstractNumId w:val="0"/>
  </w:num>
  <w:num w:numId="14">
    <w:abstractNumId w:val="2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EB"/>
    <w:rsid w:val="0004784A"/>
    <w:rsid w:val="00065AD4"/>
    <w:rsid w:val="0029180C"/>
    <w:rsid w:val="003814EB"/>
    <w:rsid w:val="00460926"/>
    <w:rsid w:val="006830D9"/>
    <w:rsid w:val="00685E9B"/>
    <w:rsid w:val="009D4BFD"/>
    <w:rsid w:val="009E1BEF"/>
    <w:rsid w:val="00A63C99"/>
    <w:rsid w:val="00C9471D"/>
    <w:rsid w:val="00D20F30"/>
    <w:rsid w:val="00D7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D813"/>
  <w15:chartTrackingRefBased/>
  <w15:docId w15:val="{079AEA08-9077-42C7-BCD6-866E485C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84A"/>
    <w:pPr>
      <w:ind w:left="720"/>
      <w:contextualSpacing/>
    </w:pPr>
    <w:rPr>
      <w:lang w:val="uk-UA"/>
    </w:rPr>
  </w:style>
  <w:style w:type="character" w:styleId="a4">
    <w:name w:val="Hyperlink"/>
    <w:basedOn w:val="a0"/>
    <w:uiPriority w:val="99"/>
    <w:unhideWhenUsed/>
    <w:rsid w:val="0004784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6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0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6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6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3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2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9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4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18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0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179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64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19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79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0300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303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60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10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5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42787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55689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941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7880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7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84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eya.org/index.php?ng=library&amp;cont=long&amp;id=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pdpu.edu.ua/bitstream/123456789/10338/1/Mosha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download.php?id=1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pdpu.edu.ua/bitstream/123456789/10335/1/Bula%2c%20Sviderska.pdf" TargetMode="External"/><Relationship Id="rId10" Type="http://schemas.openxmlformats.org/officeDocument/2006/relationships/hyperlink" Target="https://adastra.org.ua/blog/supermarket-propagandi-s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2025-05-18T16:56:00Z</dcterms:created>
  <dcterms:modified xsi:type="dcterms:W3CDTF">2025-05-19T10:35:00Z</dcterms:modified>
</cp:coreProperties>
</file>