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8B23" w14:textId="5C92C0C6" w:rsidR="00773801" w:rsidRPr="00773801" w:rsidRDefault="000221CE" w:rsidP="00773801">
      <w:pPr>
        <w:shd w:val="clear" w:color="auto" w:fill="FFFFFF"/>
        <w:spacing w:before="100" w:beforeAutospacing="1" w:after="100" w:afterAutospacing="1" w:line="480" w:lineRule="atLeast"/>
        <w:outlineLvl w:val="0"/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val="uk-UA" w:eastAsia="ru-RU"/>
        </w:rPr>
      </w:pPr>
      <w:r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val="uk-UA" w:eastAsia="ru-RU"/>
        </w:rPr>
        <w:t>Р</w:t>
      </w:r>
      <w:proofErr w:type="spellStart"/>
      <w:r w:rsidR="00773801" w:rsidRPr="00773801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еформа</w:t>
      </w:r>
      <w:proofErr w:type="spellEnd"/>
      <w:r w:rsidR="00773801" w:rsidRPr="00773801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="00773801" w:rsidRPr="00773801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екоконтролю</w:t>
      </w:r>
      <w:proofErr w:type="spellEnd"/>
      <w:r w:rsidR="00773801" w:rsidRPr="00773801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r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val="uk-UA" w:eastAsia="ru-RU"/>
        </w:rPr>
        <w:t xml:space="preserve">в </w:t>
      </w:r>
      <w:proofErr w:type="spellStart"/>
      <w:r w:rsidR="00773801" w:rsidRPr="00773801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>Україн</w:t>
      </w:r>
      <w:proofErr w:type="spellEnd"/>
      <w:r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val="uk-UA" w:eastAsia="ru-RU"/>
        </w:rPr>
        <w:t>і</w:t>
      </w:r>
      <w:r w:rsidR="00773801" w:rsidRPr="00773801">
        <w:rPr>
          <w:rFonts w:ascii="eukrainehead" w:eastAsia="Times New Roman" w:hAnsi="eukrainehead" w:cs="Arial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</w:p>
    <w:p w14:paraId="322F7EC1" w14:textId="04393C55" w:rsidR="00773801" w:rsidRPr="00773801" w:rsidRDefault="00773801" w:rsidP="00773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31E7F10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Європейського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Союзу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знаменує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собою не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відповідність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європейським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стандартам 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сферах,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включаючи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3FD778F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Одним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кроків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шляху є реформа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контролю, яка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наразі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HYPERLINK "https://mepr.gov.ua/chomu-reforma-derzhavnogo-ekologichnogo-kontrolyu-sered-priorytetiv-2024-roku/"</w:instrText>
      </w: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</w: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738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потребує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оновлення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вдосконалення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proofErr w:type="gram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звіті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“</w:t>
      </w:r>
      <w:proofErr w:type="spellStart"/>
      <w:proofErr w:type="gram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2023”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Європейська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комісія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надала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низку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2024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рік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них –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необхідність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ухвалення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закону про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контроль.</w:t>
      </w:r>
    </w:p>
    <w:p w14:paraId="4DE06E42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Ключовий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цієї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реформи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законопроєкт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№3091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прийнятий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Верховною Радою 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першому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читанні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 роки тому. Але просто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прийняти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 з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назвою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замало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директивам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рекомендаціям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Європейського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Союзу.</w:t>
      </w:r>
    </w:p>
    <w:p w14:paraId="35F2B47E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Наприклад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Директива  №</w:t>
      </w:r>
      <w:proofErr w:type="gram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2004/35/ЄС ставить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пріоритет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попередження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усунення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наслідків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завданої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шкоди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2001/331/ЄС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визначають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застосування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 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якості</w:t>
      </w:r>
      <w:proofErr w:type="spellEnd"/>
      <w:proofErr w:type="gram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загальноприйнятої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задач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інспекції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межах</w:t>
      </w:r>
      <w:proofErr w:type="gram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держав-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ЄС.</w:t>
      </w:r>
    </w:p>
    <w:p w14:paraId="3B03096F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Тому,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робочою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групою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другого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доопрацьовано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законопроєкт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урахуванням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Європейського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Союзу. </w:t>
      </w:r>
    </w:p>
    <w:p w14:paraId="7E8DC1FC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Ось 5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прикладів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того, як реформа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екоконтролю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узгоджується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положеннями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норм права ЄС:</w:t>
      </w:r>
    </w:p>
    <w:p w14:paraId="1F57D882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Крок 1.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Єдиний</w:t>
      </w:r>
      <w:proofErr w:type="spellEnd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орган державного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контролю</w:t>
      </w:r>
    </w:p>
    <w:p w14:paraId="0819C5BA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Законопроєкт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№3091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передбачає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оптимізацію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об’єднання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контролюючих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інституцій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єдиний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 державного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контролю.</w:t>
      </w:r>
    </w:p>
    <w:p w14:paraId="5FC32385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Таке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усунення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дублювання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бюрократичних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бар’єрів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вимогам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Директиви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2004/35/ЄС.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норма права ЄС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вимагає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наявності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держав-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національному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компетентного державного органу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контролю. </w:t>
      </w:r>
    </w:p>
    <w:p w14:paraId="5C3692EF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Наразі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 за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різними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компонентами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реалізують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центральних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виконавчої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створює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надмірний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тиск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бізнес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суттєво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ускладнює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реального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оцінювання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впливу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4AFD110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Крок 2.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Розширення</w:t>
      </w:r>
      <w:proofErr w:type="spellEnd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прав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громадськості</w:t>
      </w:r>
      <w:proofErr w:type="spellEnd"/>
    </w:p>
    <w:p w14:paraId="57F41E6A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Директива 2004/35/ЄС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підкреслює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важливість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гарантування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недержавних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громадськості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контролю. </w:t>
      </w:r>
    </w:p>
    <w:p w14:paraId="4B3FACE9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Законопроєкт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№3091 робить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доступнішим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громадян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повідомляти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порушення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адже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запроваджується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електронна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прийому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звернень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допомогою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здійснюється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прийом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24/7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надається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брати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участь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ініційованих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перевірках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4D94FC4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Проєкт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підготовлений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другого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відкриває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недержавних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зможуть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долучатися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відбору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кандидатів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посади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керівників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оновленого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органу державного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національному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регіонах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Така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залученість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недержавних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забезпечить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справедливий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відбору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сприятиме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підбору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FD60C55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проєкт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додатково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встановлює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громадськістю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права як:</w:t>
      </w:r>
    </w:p>
    <w:p w14:paraId="51A41BEE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вільного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доступу до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перевірок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FD04777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пропозицій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перевірок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4525715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оскарження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суду</w:t>
      </w:r>
      <w:proofErr w:type="gram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рішень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бездіяльності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контролю.  </w:t>
      </w:r>
    </w:p>
    <w:p w14:paraId="35E3729B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Закріплення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таких прав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громадськості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гарантує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реалізацію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Орхуської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конвенції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яка </w:t>
      </w:r>
      <w:r w:rsidRPr="007738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зобов’язує</w:t>
      </w:r>
      <w:proofErr w:type="spellEnd"/>
      <w:proofErr w:type="gram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адекватно,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своєчасно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інформувати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громадськість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ранніх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стадіях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прийняття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рішень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забезпечити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“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щоб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відповідному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рішенні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належним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чином були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відображені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громадськості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”.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порушення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участь 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прийнятті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рішень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будь-яка особа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оскаржити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прийняте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рішення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1B08410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Крок 3.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Впровадження</w:t>
      </w:r>
      <w:proofErr w:type="spellEnd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заходів</w:t>
      </w:r>
      <w:proofErr w:type="spellEnd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попередження</w:t>
      </w:r>
      <w:proofErr w:type="spellEnd"/>
    </w:p>
    <w:p w14:paraId="1BC75F43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Проєкт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закону вводить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заходи контролю,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патрулювання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реагування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виклики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рейди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допоможуть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запобігти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шкоді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ранніх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стадіях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підхід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2001/331/ЄС, яка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встановлює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ціллю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інспекцій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захисту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довкілля</w:t>
      </w:r>
      <w:proofErr w:type="spellEnd"/>
    </w:p>
    <w:p w14:paraId="4A9E5426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Пріоритетом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 буде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попередження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шкоди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усунення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наслідків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заміну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численним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перевіркам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бізнесу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обсягам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стягнених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збитків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коефіцієнта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контролю.  </w:t>
      </w:r>
    </w:p>
    <w:p w14:paraId="370F023B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Крок 4.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Професіоналізм</w:t>
      </w:r>
      <w:proofErr w:type="spellEnd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команди</w:t>
      </w:r>
      <w:proofErr w:type="spellEnd"/>
    </w:p>
    <w:p w14:paraId="55D575C3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Рекомендація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2001/331/ЄС, Директива 2004/35/ЄС та 2010/75/ЄС, а також нова Директива 2024/1203 ЄС про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кримінально-правову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охорону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замінює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директиви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2008/99/ЄС та 2009/123/ЄС,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вимагають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держав-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ЄС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впровадження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інспекційної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призначення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компетентного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природоохоронного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органу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впровадження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кращих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щодо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кваліфікації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навчання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інспекторів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9139BFE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Основою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побудови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компетентного органу є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якісна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фахова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команда.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Адже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дієвого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перевірок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інспектор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повинен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володіти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знаннями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щодо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технічних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характеристик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механізмів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промислового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так і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щодо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охорони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червонокнижних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тварин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рослин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0545D88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Законопроєкт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№3091 вводить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відбір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посади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голови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керівників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територіальних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встановлює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кваліфікаційні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інспекторів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органу державного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контролю, а також систему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підготовки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тренінгів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підвищення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кваліфікації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F94E06E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Крім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враховуючи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 державного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набуває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правоохоронного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органу,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додатково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передбачається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впровадження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антикорупційної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визначатиме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щодо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виявлення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протидії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запобігання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корупції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гарантує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екологічний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 буде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здійснюватися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професійно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компетентно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неупереджено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D72B461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Крок 5. 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Застосування</w:t>
      </w:r>
      <w:proofErr w:type="spellEnd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принципу “</w:t>
      </w:r>
      <w:proofErr w:type="spellStart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забруднювач</w:t>
      </w:r>
      <w:proofErr w:type="spellEnd"/>
      <w:r w:rsidRPr="00773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платить”</w:t>
      </w:r>
    </w:p>
    <w:p w14:paraId="447EBBFD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Законопроєкт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proofErr w:type="gram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3091 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запроваджує</w:t>
      </w:r>
      <w:proofErr w:type="spellEnd"/>
      <w:proofErr w:type="gram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принцип «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забруднювач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платить»,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ключовим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порушення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Директиви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2004/35/ЄС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Директиви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2010/75/ЄС.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означає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нести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заподіяну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шкоду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завдали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шкоду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не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індивідуальні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працівники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підприємств-забруднювачів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14:paraId="4CFEAF14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Згідно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діючого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застарілого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законодавства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відшкодування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шкоди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екоінспектор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повинен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визначити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яка  конкретно</w:t>
      </w:r>
      <w:proofErr w:type="gram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посадова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особа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винна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шкоди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Часто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забруднювачі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зловживають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цією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маніпулятивною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вимогою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законодавства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фактично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уникають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18F67C2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Впровадження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адміністративно-господарської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можливість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притягувати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відповідальності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юридичну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особу,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діяльність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фактично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завдала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шкоду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визначати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обов’язок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строки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усунення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наслідків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шкоди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стимулюватиме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мінімізації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негативного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впливу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нього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58C60FB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Реформа державного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 є не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нагальною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потребою,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ключовим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фактором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успішного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євроінтеграційного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курсу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Впровадження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принципів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європейського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екологічного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сприятиме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покращенню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захисту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здоров’я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людей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створенню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сприятливих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умов для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зеленої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відбудови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сталого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5715F6B" w14:textId="77777777" w:rsidR="00773801" w:rsidRPr="00773801" w:rsidRDefault="00773801" w:rsidP="007738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Детальніше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реформування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системи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екоконтролю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читайте за </w:t>
      </w:r>
      <w:proofErr w:type="spellStart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HYPERLINK "https://mepr.gov.ua/usefullinks/ekokontrol/"</w:instrText>
      </w: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</w:r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738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посил</w:t>
      </w:r>
      <w:r w:rsidRPr="007738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</w:t>
      </w:r>
      <w:r w:rsidRPr="007738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нням</w:t>
      </w:r>
      <w:proofErr w:type="spellEnd"/>
      <w:r w:rsidRPr="00773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14:paraId="54F463E2" w14:textId="77777777" w:rsidR="00EE407A" w:rsidRDefault="00EE407A"/>
    <w:sectPr w:rsidR="00EE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ukrainehea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01"/>
    <w:rsid w:val="000221CE"/>
    <w:rsid w:val="0020152F"/>
    <w:rsid w:val="00615DEF"/>
    <w:rsid w:val="00773801"/>
    <w:rsid w:val="00E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7401"/>
  <w15:chartTrackingRefBased/>
  <w15:docId w15:val="{F17E7AAD-EF92-450F-8584-97544C29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6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4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43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Davydova</dc:creator>
  <cp:keywords/>
  <dc:description/>
  <cp:lastModifiedBy>Iryna Davydova</cp:lastModifiedBy>
  <cp:revision>2</cp:revision>
  <dcterms:created xsi:type="dcterms:W3CDTF">2025-04-20T18:51:00Z</dcterms:created>
  <dcterms:modified xsi:type="dcterms:W3CDTF">2025-04-20T18:58:00Z</dcterms:modified>
</cp:coreProperties>
</file>