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B1" w:rsidRPr="00F90499" w:rsidRDefault="00AB3078" w:rsidP="00AB307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F90499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uk-UA"/>
        </w:rPr>
        <w:t>Лекція 1</w:t>
      </w:r>
      <w:r w:rsidR="00F90499" w:rsidRPr="00F90499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uk-UA"/>
        </w:rPr>
        <w:t>5</w:t>
      </w:r>
    </w:p>
    <w:p w:rsidR="00AB3078" w:rsidRPr="00AB3078" w:rsidRDefault="00AB3078" w:rsidP="007B0BE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3078">
        <w:rPr>
          <w:rFonts w:ascii="Times New Roman" w:hAnsi="Times New Roman" w:cs="Times New Roman"/>
          <w:b/>
          <w:sz w:val="24"/>
          <w:szCs w:val="24"/>
          <w:lang w:val="uk-UA"/>
        </w:rPr>
        <w:t>Тема 1</w:t>
      </w:r>
      <w:r w:rsidR="00F90499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AB30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F90499" w:rsidRPr="00F90499">
        <w:rPr>
          <w:rFonts w:ascii="Times New Roman" w:hAnsi="Times New Roman" w:cs="Times New Roman"/>
          <w:b/>
          <w:sz w:val="24"/>
          <w:szCs w:val="24"/>
          <w:lang w:val="uk-UA"/>
        </w:rPr>
        <w:t>Стандартизація та сертифікація ІКС в АУТП</w:t>
      </w:r>
      <w:r w:rsidR="007B0BE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D6085C" w:rsidRPr="00182C10" w:rsidRDefault="00D6085C" w:rsidP="00F9049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</w:t>
      </w:r>
      <w:r w:rsidRPr="00D60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06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bookmarkStart w:id="0" w:name="_GoBack"/>
      <w:bookmarkEnd w:id="0"/>
      <w:r w:rsidR="00D0652B" w:rsidRPr="00D06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знайомити студентів із принципами, завданнями та значенням стандартизації та сертифікації інформаційно-керуючих систем (ІКС) в автоматизованих системах управління технологічними процесами (АУТП); розкрити основні типи стандартів, процедури сертифікації, а також міжнародні та національні нормативні документи, що регламентують розробку, впровадження і експлуатацію ІКС з урахуванням вимог безпеки, надійності та сумісності.</w:t>
      </w:r>
    </w:p>
    <w:p w:rsidR="00F90499" w:rsidRPr="00F90499" w:rsidRDefault="00F90499" w:rsidP="00F90499">
      <w:pPr>
        <w:pStyle w:val="3"/>
        <w:spacing w:line="276" w:lineRule="auto"/>
        <w:ind w:firstLine="567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 xml:space="preserve">У сучасному промисловому виробництві все ширше застосовуються автоматизовані системи управління технологічними процесами (АУТП). Ядром таких систем є інформаційно-керуючі системи (ІКС), які забезпечують збір, обробку, передачу та зберігання інформації, а також формування керуючих дій. У цьому контексті особливе значення має стандартизація та сертифікація ІКС як гарантія їхньої надійності, сумісності, безпеки та ефективності. Інформаційно-керуючі системи (ІКС) в автоматизованих системах управління технологічними процесами (АУТП) є критично важливими для безперервної, точної та безпечної роботи виробництва. У зв’язку з впровадженням цифрових технологій, </w:t>
      </w:r>
      <w:proofErr w:type="spellStart"/>
      <w:r w:rsidRPr="00F90499">
        <w:rPr>
          <w:b w:val="0"/>
          <w:color w:val="000000" w:themeColor="text1"/>
          <w:sz w:val="24"/>
          <w:szCs w:val="24"/>
          <w:lang w:val="uk-UA"/>
        </w:rPr>
        <w:t>IoT</w:t>
      </w:r>
      <w:proofErr w:type="spellEnd"/>
      <w:r w:rsidRPr="00F90499">
        <w:rPr>
          <w:b w:val="0"/>
          <w:color w:val="000000" w:themeColor="text1"/>
          <w:sz w:val="24"/>
          <w:szCs w:val="24"/>
          <w:lang w:val="uk-UA"/>
        </w:rPr>
        <w:t xml:space="preserve">, хмарних сервісів і віддаленого доступу, загрози </w:t>
      </w:r>
      <w:proofErr w:type="spellStart"/>
      <w:r w:rsidRPr="00F90499">
        <w:rPr>
          <w:b w:val="0"/>
          <w:color w:val="000000" w:themeColor="text1"/>
          <w:sz w:val="24"/>
          <w:szCs w:val="24"/>
          <w:lang w:val="uk-UA"/>
        </w:rPr>
        <w:t>кібербезпеки</w:t>
      </w:r>
      <w:proofErr w:type="spellEnd"/>
      <w:r w:rsidRPr="00F90499">
        <w:rPr>
          <w:b w:val="0"/>
          <w:color w:val="000000" w:themeColor="text1"/>
          <w:sz w:val="24"/>
          <w:szCs w:val="24"/>
          <w:lang w:val="uk-UA"/>
        </w:rPr>
        <w:t xml:space="preserve">, відмов, втрати даних або фізичних ушкоджень обладнання стають реальними ризиками. Тому питання стандартизації, сертифікації та </w:t>
      </w:r>
      <w:proofErr w:type="spellStart"/>
      <w:r w:rsidRPr="00F90499">
        <w:rPr>
          <w:b w:val="0"/>
          <w:color w:val="000000" w:themeColor="text1"/>
          <w:sz w:val="24"/>
          <w:szCs w:val="24"/>
          <w:lang w:val="uk-UA"/>
        </w:rPr>
        <w:t>кіберзахисту</w:t>
      </w:r>
      <w:proofErr w:type="spellEnd"/>
      <w:r w:rsidRPr="00F90499">
        <w:rPr>
          <w:b w:val="0"/>
          <w:color w:val="000000" w:themeColor="text1"/>
          <w:sz w:val="24"/>
          <w:szCs w:val="24"/>
          <w:lang w:val="uk-UA"/>
        </w:rPr>
        <w:t xml:space="preserve"> ІКС набувають особливого значення.</w:t>
      </w:r>
    </w:p>
    <w:p w:rsidR="00F90499" w:rsidRPr="00F90499" w:rsidRDefault="00F90499" w:rsidP="00F90499">
      <w:pPr>
        <w:pStyle w:val="3"/>
        <w:spacing w:line="276" w:lineRule="auto"/>
        <w:ind w:firstLine="567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color w:val="000000" w:themeColor="text1"/>
          <w:sz w:val="24"/>
          <w:szCs w:val="24"/>
          <w:lang w:val="uk-UA"/>
        </w:rPr>
        <w:t>Стандартизація</w:t>
      </w:r>
      <w:r w:rsidRPr="00F90499">
        <w:rPr>
          <w:b w:val="0"/>
          <w:color w:val="000000" w:themeColor="text1"/>
          <w:sz w:val="24"/>
          <w:szCs w:val="24"/>
          <w:lang w:val="uk-UA"/>
        </w:rPr>
        <w:t xml:space="preserve"> — це діяльність, спрямована на встановлення єдиних норм, правил і вимог до ІКС, що забезпечують:</w:t>
      </w:r>
    </w:p>
    <w:p w:rsidR="00F90499" w:rsidRPr="00F90499" w:rsidRDefault="00F90499" w:rsidP="00F90499">
      <w:pPr>
        <w:pStyle w:val="3"/>
        <w:numPr>
          <w:ilvl w:val="0"/>
          <w:numId w:val="21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взаємну сумісність компонентів різних виробників;</w:t>
      </w:r>
    </w:p>
    <w:p w:rsidR="00F90499" w:rsidRPr="00F90499" w:rsidRDefault="00F90499" w:rsidP="00F90499">
      <w:pPr>
        <w:pStyle w:val="3"/>
        <w:numPr>
          <w:ilvl w:val="0"/>
          <w:numId w:val="21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мінімізацію ризиків, пов’язаних із впровадженням нових технологій;</w:t>
      </w:r>
    </w:p>
    <w:p w:rsidR="00F90499" w:rsidRPr="00F90499" w:rsidRDefault="00F90499" w:rsidP="00F90499">
      <w:pPr>
        <w:pStyle w:val="3"/>
        <w:numPr>
          <w:ilvl w:val="0"/>
          <w:numId w:val="21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гарантії надійності, продуктивності та безпеки систем;</w:t>
      </w:r>
    </w:p>
    <w:p w:rsidR="00F90499" w:rsidRPr="00F90499" w:rsidRDefault="00F90499" w:rsidP="00F90499">
      <w:pPr>
        <w:pStyle w:val="3"/>
        <w:numPr>
          <w:ilvl w:val="0"/>
          <w:numId w:val="21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 xml:space="preserve">захист від </w:t>
      </w:r>
      <w:proofErr w:type="spellStart"/>
      <w:r w:rsidRPr="00F90499">
        <w:rPr>
          <w:b w:val="0"/>
          <w:color w:val="000000" w:themeColor="text1"/>
          <w:sz w:val="24"/>
          <w:szCs w:val="24"/>
          <w:lang w:val="uk-UA"/>
        </w:rPr>
        <w:t>кіберзагроз</w:t>
      </w:r>
      <w:proofErr w:type="spellEnd"/>
      <w:r w:rsidRPr="00F90499">
        <w:rPr>
          <w:b w:val="0"/>
          <w:color w:val="000000" w:themeColor="text1"/>
          <w:sz w:val="24"/>
          <w:szCs w:val="24"/>
          <w:lang w:val="uk-UA"/>
        </w:rPr>
        <w:t>;</w:t>
      </w:r>
    </w:p>
    <w:p w:rsidR="00F90499" w:rsidRPr="00F90499" w:rsidRDefault="00F90499" w:rsidP="00F90499">
      <w:pPr>
        <w:pStyle w:val="3"/>
        <w:numPr>
          <w:ilvl w:val="0"/>
          <w:numId w:val="21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інтеграцію ІКС у більші інфраструктури (наприклад, SCADA, MES, ERP).</w:t>
      </w:r>
    </w:p>
    <w:p w:rsidR="00F90499" w:rsidRPr="00F90499" w:rsidRDefault="00F90499" w:rsidP="00F90499">
      <w:pPr>
        <w:pStyle w:val="3"/>
        <w:spacing w:line="276" w:lineRule="auto"/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F90499">
        <w:rPr>
          <w:color w:val="000000" w:themeColor="text1"/>
          <w:sz w:val="24"/>
          <w:szCs w:val="24"/>
          <w:lang w:val="uk-UA"/>
        </w:rPr>
        <w:t>Класифікація стандартів у сфері ІКС та АУТП</w:t>
      </w:r>
    </w:p>
    <w:p w:rsidR="00F90499" w:rsidRPr="00F90499" w:rsidRDefault="00F90499" w:rsidP="00F90499">
      <w:pPr>
        <w:pStyle w:val="3"/>
        <w:spacing w:line="276" w:lineRule="auto"/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F90499">
        <w:rPr>
          <w:color w:val="000000" w:themeColor="text1"/>
          <w:sz w:val="24"/>
          <w:szCs w:val="24"/>
          <w:lang w:val="uk-UA"/>
        </w:rPr>
        <w:t>1. За сферою застосування:</w:t>
      </w:r>
    </w:p>
    <w:p w:rsidR="00F90499" w:rsidRPr="00F90499" w:rsidRDefault="00F90499" w:rsidP="00F90499">
      <w:pPr>
        <w:pStyle w:val="3"/>
        <w:numPr>
          <w:ilvl w:val="0"/>
          <w:numId w:val="22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Технічні (апаратне забезпечення)</w:t>
      </w:r>
    </w:p>
    <w:p w:rsidR="00F90499" w:rsidRPr="00F90499" w:rsidRDefault="00F90499" w:rsidP="00F90499">
      <w:pPr>
        <w:pStyle w:val="3"/>
        <w:numPr>
          <w:ilvl w:val="0"/>
          <w:numId w:val="22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Програмні (системне ПЗ, прикладні програми)</w:t>
      </w:r>
    </w:p>
    <w:p w:rsidR="00F90499" w:rsidRPr="00F90499" w:rsidRDefault="00F90499" w:rsidP="00F90499">
      <w:pPr>
        <w:pStyle w:val="3"/>
        <w:numPr>
          <w:ilvl w:val="0"/>
          <w:numId w:val="22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Комунікаційні (мережеві протоколи, інтерфейси)</w:t>
      </w:r>
    </w:p>
    <w:p w:rsidR="00F90499" w:rsidRPr="00F90499" w:rsidRDefault="00F90499" w:rsidP="00F90499">
      <w:pPr>
        <w:pStyle w:val="3"/>
        <w:numPr>
          <w:ilvl w:val="0"/>
          <w:numId w:val="22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Інформаційні (структура даних, бази даних)</w:t>
      </w:r>
    </w:p>
    <w:p w:rsidR="00F90499" w:rsidRPr="00F90499" w:rsidRDefault="00F90499" w:rsidP="00F90499">
      <w:pPr>
        <w:pStyle w:val="3"/>
        <w:spacing w:line="276" w:lineRule="auto"/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F90499">
        <w:rPr>
          <w:color w:val="000000" w:themeColor="text1"/>
          <w:sz w:val="24"/>
          <w:szCs w:val="24"/>
          <w:lang w:val="uk-UA"/>
        </w:rPr>
        <w:t>2. За рівнем дії:</w:t>
      </w:r>
    </w:p>
    <w:p w:rsidR="00F90499" w:rsidRPr="00F90499" w:rsidRDefault="00F90499" w:rsidP="00F90499">
      <w:pPr>
        <w:pStyle w:val="3"/>
        <w:numPr>
          <w:ilvl w:val="0"/>
          <w:numId w:val="23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Міжнародні (ISO, IEC, IEEE)</w:t>
      </w:r>
    </w:p>
    <w:p w:rsidR="00F90499" w:rsidRPr="00F90499" w:rsidRDefault="00F90499" w:rsidP="00F90499">
      <w:pPr>
        <w:pStyle w:val="3"/>
        <w:numPr>
          <w:ilvl w:val="0"/>
          <w:numId w:val="23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Європейські (EN, CENELEC)</w:t>
      </w:r>
    </w:p>
    <w:p w:rsidR="00F90499" w:rsidRPr="00F90499" w:rsidRDefault="00F90499" w:rsidP="00F90499">
      <w:pPr>
        <w:pStyle w:val="3"/>
        <w:numPr>
          <w:ilvl w:val="0"/>
          <w:numId w:val="23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Національні (ДСТУ, ГОСТ)</w:t>
      </w:r>
    </w:p>
    <w:p w:rsidR="00F90499" w:rsidRPr="00F90499" w:rsidRDefault="00F90499" w:rsidP="00F90499">
      <w:pPr>
        <w:pStyle w:val="3"/>
        <w:numPr>
          <w:ilvl w:val="0"/>
          <w:numId w:val="23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Галузеві (наприклад, стандарти нафтогазової, хімічної промисловості)</w:t>
      </w:r>
    </w:p>
    <w:p w:rsidR="00F90499" w:rsidRDefault="00F90499" w:rsidP="00F90499">
      <w:pPr>
        <w:pStyle w:val="3"/>
        <w:spacing w:line="276" w:lineRule="auto"/>
        <w:ind w:firstLine="567"/>
        <w:jc w:val="both"/>
        <w:rPr>
          <w:b w:val="0"/>
          <w:color w:val="000000" w:themeColor="text1"/>
          <w:sz w:val="24"/>
          <w:szCs w:val="24"/>
        </w:rPr>
      </w:pPr>
    </w:p>
    <w:p w:rsidR="00F90499" w:rsidRPr="00F90499" w:rsidRDefault="00F90499" w:rsidP="00F90499">
      <w:pPr>
        <w:pStyle w:val="3"/>
        <w:spacing w:line="276" w:lineRule="auto"/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F90499">
        <w:rPr>
          <w:color w:val="000000" w:themeColor="text1"/>
          <w:sz w:val="24"/>
          <w:szCs w:val="24"/>
          <w:lang w:val="uk-UA"/>
        </w:rPr>
        <w:lastRenderedPageBreak/>
        <w:t>Сертифікація — це підтвердження відповідності ІКС певним стандартам або технічним умовам.</w:t>
      </w:r>
    </w:p>
    <w:p w:rsidR="00F90499" w:rsidRPr="00F90499" w:rsidRDefault="00F90499" w:rsidP="00F90499">
      <w:pPr>
        <w:pStyle w:val="3"/>
        <w:spacing w:line="276" w:lineRule="auto"/>
        <w:ind w:firstLine="567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Основні принципи:</w:t>
      </w:r>
    </w:p>
    <w:p w:rsidR="00F90499" w:rsidRPr="00F90499" w:rsidRDefault="00F90499" w:rsidP="00F90499">
      <w:pPr>
        <w:pStyle w:val="3"/>
        <w:numPr>
          <w:ilvl w:val="0"/>
          <w:numId w:val="24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Незалежність оцінювача (органу сертифікації)</w:t>
      </w:r>
    </w:p>
    <w:p w:rsidR="00F90499" w:rsidRPr="00F90499" w:rsidRDefault="00F90499" w:rsidP="00F90499">
      <w:pPr>
        <w:pStyle w:val="3"/>
        <w:numPr>
          <w:ilvl w:val="0"/>
          <w:numId w:val="24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Об'єктивність випробувань</w:t>
      </w:r>
    </w:p>
    <w:p w:rsidR="00F90499" w:rsidRPr="00F90499" w:rsidRDefault="00F90499" w:rsidP="00F90499">
      <w:pPr>
        <w:pStyle w:val="3"/>
        <w:numPr>
          <w:ilvl w:val="0"/>
          <w:numId w:val="24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Перевірка на відповідність критичним параметрам (надійність, безпека, сумісність)</w:t>
      </w:r>
    </w:p>
    <w:p w:rsidR="00F90499" w:rsidRPr="00F90499" w:rsidRDefault="00F90499" w:rsidP="00F90499">
      <w:pPr>
        <w:pStyle w:val="3"/>
        <w:spacing w:line="276" w:lineRule="auto"/>
        <w:ind w:firstLine="567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Процедура сертифікації включає:</w:t>
      </w:r>
    </w:p>
    <w:p w:rsidR="00F90499" w:rsidRPr="00F90499" w:rsidRDefault="00F90499" w:rsidP="00F90499">
      <w:pPr>
        <w:pStyle w:val="3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Подання документації</w:t>
      </w:r>
    </w:p>
    <w:p w:rsidR="00F90499" w:rsidRPr="00F90499" w:rsidRDefault="00F90499" w:rsidP="00F90499">
      <w:pPr>
        <w:pStyle w:val="3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Проведення випробувань (лабораторних і експлуатаційних)</w:t>
      </w:r>
    </w:p>
    <w:p w:rsidR="00F90499" w:rsidRPr="00F90499" w:rsidRDefault="00F90499" w:rsidP="00F90499">
      <w:pPr>
        <w:pStyle w:val="3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Аналіз результатів</w:t>
      </w:r>
    </w:p>
    <w:p w:rsidR="00F90499" w:rsidRPr="00F90499" w:rsidRDefault="00F90499" w:rsidP="00F90499">
      <w:pPr>
        <w:pStyle w:val="3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Видача сертифіката відповідності</w:t>
      </w:r>
    </w:p>
    <w:p w:rsidR="00F90499" w:rsidRPr="00F90499" w:rsidRDefault="00F90499" w:rsidP="00F90499">
      <w:pPr>
        <w:pStyle w:val="3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F90499">
        <w:rPr>
          <w:b w:val="0"/>
          <w:color w:val="000000" w:themeColor="text1"/>
          <w:sz w:val="24"/>
          <w:szCs w:val="24"/>
          <w:lang w:val="uk-UA"/>
        </w:rPr>
        <w:t>Моніторинг в експлуатації (</w:t>
      </w:r>
      <w:proofErr w:type="spellStart"/>
      <w:r w:rsidRPr="00F90499">
        <w:rPr>
          <w:b w:val="0"/>
          <w:color w:val="000000" w:themeColor="text1"/>
          <w:sz w:val="24"/>
          <w:szCs w:val="24"/>
          <w:lang w:val="uk-UA"/>
        </w:rPr>
        <w:t>післясертифікаційний</w:t>
      </w:r>
      <w:proofErr w:type="spellEnd"/>
      <w:r w:rsidRPr="00F90499">
        <w:rPr>
          <w:b w:val="0"/>
          <w:color w:val="000000" w:themeColor="text1"/>
          <w:sz w:val="24"/>
          <w:szCs w:val="24"/>
          <w:lang w:val="uk-UA"/>
        </w:rPr>
        <w:t xml:space="preserve"> нагляд)</w:t>
      </w:r>
    </w:p>
    <w:p w:rsidR="001B4C12" w:rsidRPr="001B4C12" w:rsidRDefault="001B4C12" w:rsidP="001B4C12">
      <w:pPr>
        <w:pStyle w:val="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B4C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Основні стандарти для ІКС та АУТП:</w:t>
      </w:r>
    </w:p>
    <w:p w:rsidR="001B4C12" w:rsidRPr="001B4C12" w:rsidRDefault="001B4C12" w:rsidP="001B4C12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B4C1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ISO/IEC 27001</w:t>
      </w:r>
      <w:r w:rsidRPr="001B4C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управління інформаційною безпекою</w:t>
      </w:r>
    </w:p>
    <w:p w:rsidR="001B4C12" w:rsidRPr="001B4C12" w:rsidRDefault="001B4C12" w:rsidP="001B4C12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B4C1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IEC 61508</w:t>
      </w:r>
      <w:r w:rsidRPr="001B4C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функціональна безпека електронних систем</w:t>
      </w:r>
    </w:p>
    <w:p w:rsidR="001B4C12" w:rsidRPr="001B4C12" w:rsidRDefault="001B4C12" w:rsidP="001B4C12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B4C1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IEC 62443</w:t>
      </w:r>
      <w:r w:rsidRPr="001B4C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</w:t>
      </w:r>
      <w:proofErr w:type="spellStart"/>
      <w:r w:rsidRPr="001B4C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кібербезпека</w:t>
      </w:r>
      <w:proofErr w:type="spellEnd"/>
      <w:r w:rsidRPr="001B4C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промислових систем автоматизації</w:t>
      </w:r>
    </w:p>
    <w:p w:rsidR="001B4C12" w:rsidRPr="001B4C12" w:rsidRDefault="001B4C12" w:rsidP="001B4C12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B4C1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IEC 61131-3</w:t>
      </w:r>
      <w:r w:rsidRPr="001B4C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програмування ПЛК</w:t>
      </w:r>
    </w:p>
    <w:p w:rsidR="001B4C12" w:rsidRPr="001B4C12" w:rsidRDefault="001B4C12" w:rsidP="001B4C12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B4C1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OPC UA</w:t>
      </w:r>
      <w:r w:rsidRPr="001B4C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стандарт обміну даними в промислових мережах</w:t>
      </w:r>
    </w:p>
    <w:p w:rsidR="001B4C12" w:rsidRPr="001B4C12" w:rsidRDefault="001B4C12" w:rsidP="001B4C12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B4C1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ДСТУ EN 50128</w:t>
      </w:r>
      <w:r w:rsidRPr="001B4C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програмне забезпечення для залізничної автоматики (як приклад галузевого стандарту)</w:t>
      </w:r>
    </w:p>
    <w:p w:rsidR="001B4C12" w:rsidRPr="001B4C12" w:rsidRDefault="001B4C12" w:rsidP="001B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C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Функціональна безпека — це здатність системи виконувати свої функції за умов виникнення відмов або помилок.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B4C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ІКС важливо дотримуватися принципів:</w:t>
      </w:r>
    </w:p>
    <w:p w:rsidR="001B4C12" w:rsidRPr="001B4C12" w:rsidRDefault="001B4C12" w:rsidP="001B4C1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C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резервування компонентів;</w:t>
      </w:r>
    </w:p>
    <w:p w:rsidR="001B4C12" w:rsidRPr="001B4C12" w:rsidRDefault="001B4C12" w:rsidP="001B4C1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C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автоматичного само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B4C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тестування;</w:t>
      </w:r>
    </w:p>
    <w:p w:rsidR="001B4C12" w:rsidRPr="001B4C12" w:rsidRDefault="001B4C12" w:rsidP="001B4C1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C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розділення критичних і некритичних функцій;</w:t>
      </w:r>
    </w:p>
    <w:p w:rsidR="001B4C12" w:rsidRPr="001B4C12" w:rsidRDefault="001B4C12" w:rsidP="001B4C1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C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захисту від зовнішніх впливів (електромагнітних, температурних тощо).</w:t>
      </w:r>
    </w:p>
    <w:p w:rsidR="00F90499" w:rsidRPr="00F90499" w:rsidRDefault="00F90499" w:rsidP="00F90499">
      <w:pPr>
        <w:pStyle w:val="3"/>
        <w:spacing w:line="276" w:lineRule="auto"/>
        <w:ind w:firstLine="567"/>
        <w:jc w:val="both"/>
        <w:rPr>
          <w:b w:val="0"/>
          <w:color w:val="000000" w:themeColor="text1"/>
          <w:sz w:val="24"/>
          <w:szCs w:val="24"/>
        </w:rPr>
      </w:pPr>
    </w:p>
    <w:sectPr w:rsidR="00F90499" w:rsidRPr="00F904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FEE"/>
    <w:multiLevelType w:val="multilevel"/>
    <w:tmpl w:val="8EF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82D53"/>
    <w:multiLevelType w:val="multilevel"/>
    <w:tmpl w:val="FD8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40159"/>
    <w:multiLevelType w:val="multilevel"/>
    <w:tmpl w:val="D8AE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4123A"/>
    <w:multiLevelType w:val="multilevel"/>
    <w:tmpl w:val="E0E6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F3BB3"/>
    <w:multiLevelType w:val="multilevel"/>
    <w:tmpl w:val="F4A4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56279"/>
    <w:multiLevelType w:val="multilevel"/>
    <w:tmpl w:val="33F4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40C6B"/>
    <w:multiLevelType w:val="multilevel"/>
    <w:tmpl w:val="0B36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303DA"/>
    <w:multiLevelType w:val="multilevel"/>
    <w:tmpl w:val="F976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927F4"/>
    <w:multiLevelType w:val="multilevel"/>
    <w:tmpl w:val="0DB4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836A65"/>
    <w:multiLevelType w:val="multilevel"/>
    <w:tmpl w:val="C07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35ADC"/>
    <w:multiLevelType w:val="multilevel"/>
    <w:tmpl w:val="C32A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F04698"/>
    <w:multiLevelType w:val="multilevel"/>
    <w:tmpl w:val="FA8A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5C1B65"/>
    <w:multiLevelType w:val="multilevel"/>
    <w:tmpl w:val="2DF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557AE"/>
    <w:multiLevelType w:val="multilevel"/>
    <w:tmpl w:val="C886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FF3BC1"/>
    <w:multiLevelType w:val="multilevel"/>
    <w:tmpl w:val="3938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296E0E"/>
    <w:multiLevelType w:val="multilevel"/>
    <w:tmpl w:val="AA80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067CDA"/>
    <w:multiLevelType w:val="multilevel"/>
    <w:tmpl w:val="2EFC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65158"/>
    <w:multiLevelType w:val="multilevel"/>
    <w:tmpl w:val="C930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B379F2"/>
    <w:multiLevelType w:val="multilevel"/>
    <w:tmpl w:val="F610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F9680D"/>
    <w:multiLevelType w:val="multilevel"/>
    <w:tmpl w:val="EE64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5613A8"/>
    <w:multiLevelType w:val="multilevel"/>
    <w:tmpl w:val="6EE8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6C4EF9"/>
    <w:multiLevelType w:val="multilevel"/>
    <w:tmpl w:val="F3F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380ED5"/>
    <w:multiLevelType w:val="multilevel"/>
    <w:tmpl w:val="7A08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B74B1"/>
    <w:multiLevelType w:val="multilevel"/>
    <w:tmpl w:val="159E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316F2E"/>
    <w:multiLevelType w:val="multilevel"/>
    <w:tmpl w:val="1B22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1A356A"/>
    <w:multiLevelType w:val="multilevel"/>
    <w:tmpl w:val="ACDC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13790A"/>
    <w:multiLevelType w:val="multilevel"/>
    <w:tmpl w:val="98F2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3"/>
  </w:num>
  <w:num w:numId="3">
    <w:abstractNumId w:val="0"/>
  </w:num>
  <w:num w:numId="4">
    <w:abstractNumId w:val="18"/>
  </w:num>
  <w:num w:numId="5">
    <w:abstractNumId w:val="22"/>
  </w:num>
  <w:num w:numId="6">
    <w:abstractNumId w:val="9"/>
  </w:num>
  <w:num w:numId="7">
    <w:abstractNumId w:val="21"/>
  </w:num>
  <w:num w:numId="8">
    <w:abstractNumId w:val="12"/>
  </w:num>
  <w:num w:numId="9">
    <w:abstractNumId w:val="15"/>
  </w:num>
  <w:num w:numId="10">
    <w:abstractNumId w:val="11"/>
  </w:num>
  <w:num w:numId="11">
    <w:abstractNumId w:val="4"/>
  </w:num>
  <w:num w:numId="12">
    <w:abstractNumId w:val="2"/>
  </w:num>
  <w:num w:numId="13">
    <w:abstractNumId w:val="14"/>
  </w:num>
  <w:num w:numId="14">
    <w:abstractNumId w:val="20"/>
  </w:num>
  <w:num w:numId="15">
    <w:abstractNumId w:val="8"/>
  </w:num>
  <w:num w:numId="16">
    <w:abstractNumId w:val="6"/>
  </w:num>
  <w:num w:numId="17">
    <w:abstractNumId w:val="25"/>
  </w:num>
  <w:num w:numId="18">
    <w:abstractNumId w:val="24"/>
  </w:num>
  <w:num w:numId="19">
    <w:abstractNumId w:val="16"/>
  </w:num>
  <w:num w:numId="20">
    <w:abstractNumId w:val="19"/>
  </w:num>
  <w:num w:numId="21">
    <w:abstractNumId w:val="7"/>
  </w:num>
  <w:num w:numId="22">
    <w:abstractNumId w:val="10"/>
  </w:num>
  <w:num w:numId="23">
    <w:abstractNumId w:val="3"/>
  </w:num>
  <w:num w:numId="24">
    <w:abstractNumId w:val="17"/>
  </w:num>
  <w:num w:numId="25">
    <w:abstractNumId w:val="13"/>
  </w:num>
  <w:num w:numId="26">
    <w:abstractNumId w:val="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9F"/>
    <w:rsid w:val="000B4DDE"/>
    <w:rsid w:val="00182C10"/>
    <w:rsid w:val="001B4C12"/>
    <w:rsid w:val="0043029F"/>
    <w:rsid w:val="005866B8"/>
    <w:rsid w:val="00646ED8"/>
    <w:rsid w:val="006E70F2"/>
    <w:rsid w:val="007B0BEF"/>
    <w:rsid w:val="00896D59"/>
    <w:rsid w:val="008C176C"/>
    <w:rsid w:val="00A335B1"/>
    <w:rsid w:val="00AB3078"/>
    <w:rsid w:val="00B30882"/>
    <w:rsid w:val="00D0652B"/>
    <w:rsid w:val="00D50435"/>
    <w:rsid w:val="00D6085C"/>
    <w:rsid w:val="00F9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111F"/>
  <w15:chartTrackingRefBased/>
  <w15:docId w15:val="{3C66E81E-2896-4527-B235-0C397E8F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0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0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08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6085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608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1"/>
    <w:uiPriority w:val="59"/>
    <w:rsid w:val="00D50435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E70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14</cp:revision>
  <dcterms:created xsi:type="dcterms:W3CDTF">2025-04-02T06:11:00Z</dcterms:created>
  <dcterms:modified xsi:type="dcterms:W3CDTF">2025-04-03T12:05:00Z</dcterms:modified>
</cp:coreProperties>
</file>