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493AAC" w14:textId="658A8008" w:rsidR="00EE28EA" w:rsidRPr="00EE28EA" w:rsidRDefault="00EE28EA" w:rsidP="00EE28EA">
      <w:pPr>
        <w:jc w:val="both"/>
        <w:rPr>
          <w:lang w:val="uk-UA"/>
        </w:rPr>
      </w:pPr>
      <w:r w:rsidRPr="00EE28EA">
        <w:rPr>
          <w:rFonts w:ascii="Times New Roman" w:hAnsi="Times New Roman" w:cs="Times New Roman"/>
          <w:b/>
          <w:i/>
          <w:sz w:val="28"/>
          <w:lang w:val="uk-UA"/>
        </w:rPr>
        <w:t xml:space="preserve">Контрольна робота № 1 </w:t>
      </w:r>
      <w:r w:rsidRPr="00EE28EA">
        <w:rPr>
          <w:rFonts w:ascii="Times New Roman" w:hAnsi="Times New Roman" w:cs="Times New Roman"/>
          <w:b/>
          <w:i/>
          <w:sz w:val="28"/>
        </w:rPr>
        <w:t>(</w:t>
      </w:r>
      <w:r w:rsidRPr="00EE28EA">
        <w:rPr>
          <w:rFonts w:ascii="Times New Roman" w:hAnsi="Times New Roman" w:cs="Times New Roman"/>
          <w:b/>
          <w:i/>
          <w:sz w:val="28"/>
          <w:lang w:val="uk-UA"/>
        </w:rPr>
        <w:t>самостійна робота дистанційна форма) для</w:t>
      </w:r>
      <w:r w:rsidRPr="00EE28EA">
        <w:rPr>
          <w:rFonts w:ascii="Times New Roman" w:hAnsi="Times New Roman" w:cs="Times New Roman"/>
          <w:b/>
          <w:lang w:val="uk-UA"/>
        </w:rPr>
        <w:t xml:space="preserve"> ЗНБ-2</w:t>
      </w:r>
      <w:r w:rsidR="00C06082">
        <w:rPr>
          <w:rFonts w:ascii="Times New Roman" w:hAnsi="Times New Roman" w:cs="Times New Roman"/>
          <w:b/>
          <w:lang w:val="uk-UA"/>
        </w:rPr>
        <w:t>3</w:t>
      </w:r>
      <w:r w:rsidRPr="00EE28EA">
        <w:rPr>
          <w:rFonts w:ascii="Times New Roman" w:hAnsi="Times New Roman" w:cs="Times New Roman"/>
          <w:b/>
          <w:lang w:val="uk-UA"/>
        </w:rPr>
        <w:t>-1</w:t>
      </w:r>
    </w:p>
    <w:p w14:paraId="685CB46B" w14:textId="77777777" w:rsidR="00EE28EA" w:rsidRDefault="00EE28EA" w:rsidP="00EE28EA">
      <w:pPr>
        <w:tabs>
          <w:tab w:val="num" w:pos="720"/>
        </w:tabs>
        <w:spacing w:before="100" w:beforeAutospacing="1" w:after="100" w:afterAutospacing="1" w:line="240" w:lineRule="auto"/>
        <w:ind w:left="720" w:hanging="360"/>
      </w:pPr>
      <w:r>
        <w:rPr>
          <w:rFonts w:ascii="Times New Roman" w:eastAsia="Times New Roman" w:hAnsi="Times New Roman" w:cs="Times New Roman"/>
          <w:b/>
          <w:bCs/>
          <w:sz w:val="28"/>
          <w:szCs w:val="28"/>
          <w:lang w:val="uk-UA" w:eastAsia="ru-UA"/>
        </w:rPr>
        <w:t>Т</w:t>
      </w:r>
      <w:r w:rsidRPr="00EE28EA">
        <w:rPr>
          <w:rFonts w:ascii="Times New Roman" w:eastAsia="Times New Roman" w:hAnsi="Times New Roman" w:cs="Times New Roman"/>
          <w:b/>
          <w:bCs/>
          <w:sz w:val="28"/>
          <w:szCs w:val="28"/>
          <w:lang w:val="uk-UA" w:eastAsia="ru-UA"/>
        </w:rPr>
        <w:t>ем</w:t>
      </w:r>
      <w:r w:rsidR="00947A4F">
        <w:rPr>
          <w:rFonts w:ascii="Times New Roman" w:eastAsia="Times New Roman" w:hAnsi="Times New Roman" w:cs="Times New Roman"/>
          <w:b/>
          <w:bCs/>
          <w:sz w:val="28"/>
          <w:szCs w:val="28"/>
          <w:lang w:val="uk-UA" w:eastAsia="ru-UA"/>
        </w:rPr>
        <w:t>а</w:t>
      </w:r>
      <w:r w:rsidRPr="00EE28EA">
        <w:rPr>
          <w:rFonts w:ascii="Times New Roman" w:eastAsia="Times New Roman" w:hAnsi="Times New Roman" w:cs="Times New Roman"/>
          <w:b/>
          <w:bCs/>
          <w:sz w:val="28"/>
          <w:szCs w:val="28"/>
          <w:lang w:val="uk-UA" w:eastAsia="ru-UA"/>
        </w:rPr>
        <w:t xml:space="preserve"> "Кризовий менеджмент у сфері національної безпеки"</w:t>
      </w:r>
    </w:p>
    <w:p w14:paraId="47826834" w14:textId="77777777" w:rsidR="00EE28EA" w:rsidRPr="00947A4F" w:rsidRDefault="00EE28EA" w:rsidP="00EE28EA">
      <w:pPr>
        <w:rPr>
          <w:rFonts w:ascii="Times New Roman" w:hAnsi="Times New Roman" w:cs="Times New Roman"/>
          <w:i/>
          <w:sz w:val="28"/>
          <w:szCs w:val="28"/>
          <w:lang w:val="uk-UA"/>
        </w:rPr>
      </w:pPr>
      <w:r w:rsidRPr="00947A4F">
        <w:rPr>
          <w:rFonts w:ascii="Times New Roman" w:hAnsi="Times New Roman" w:cs="Times New Roman"/>
          <w:i/>
          <w:sz w:val="28"/>
          <w:lang w:val="uk-UA"/>
        </w:rPr>
        <w:t xml:space="preserve">Завдання 1* : </w:t>
      </w:r>
      <w:r w:rsidRPr="00947A4F">
        <w:rPr>
          <w:rFonts w:ascii="Times New Roman" w:hAnsi="Times New Roman" w:cs="Times New Roman"/>
          <w:i/>
          <w:sz w:val="28"/>
          <w:szCs w:val="28"/>
          <w:lang w:val="uk-UA"/>
        </w:rPr>
        <w:t>Коротко надати відповідь</w:t>
      </w:r>
    </w:p>
    <w:p w14:paraId="70E46BFA" w14:textId="77777777" w:rsidR="00EE28EA" w:rsidRPr="00EE28EA" w:rsidRDefault="00EE28EA" w:rsidP="00EE28EA">
      <w:pPr>
        <w:numPr>
          <w:ilvl w:val="0"/>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EE28EA">
        <w:rPr>
          <w:rFonts w:ascii="Times New Roman" w:eastAsia="Times New Roman" w:hAnsi="Times New Roman" w:cs="Times New Roman"/>
          <w:sz w:val="28"/>
          <w:szCs w:val="28"/>
          <w:lang w:val="uk-UA" w:eastAsia="ru-UA"/>
        </w:rPr>
        <w:t>Що таке кризовий менеджмент у сфері національної безпеки, і які його основні цілі?</w:t>
      </w:r>
    </w:p>
    <w:p w14:paraId="060F54E7" w14:textId="77777777" w:rsidR="00EE28EA" w:rsidRPr="00EE28EA" w:rsidRDefault="00EE28EA" w:rsidP="00EE28EA">
      <w:pPr>
        <w:numPr>
          <w:ilvl w:val="0"/>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EE28EA">
        <w:rPr>
          <w:rFonts w:ascii="Times New Roman" w:eastAsia="Times New Roman" w:hAnsi="Times New Roman" w:cs="Times New Roman"/>
          <w:sz w:val="28"/>
          <w:szCs w:val="28"/>
          <w:lang w:val="uk-UA" w:eastAsia="ru-UA"/>
        </w:rPr>
        <w:t>Які етапи включає процес кризового менеджменту у сфері національної безпеки?</w:t>
      </w:r>
    </w:p>
    <w:p w14:paraId="1538D7CB" w14:textId="77777777" w:rsidR="00EE28EA" w:rsidRPr="00EE28EA" w:rsidRDefault="00EE28EA" w:rsidP="00EE28EA">
      <w:pPr>
        <w:numPr>
          <w:ilvl w:val="0"/>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EE28EA">
        <w:rPr>
          <w:rFonts w:ascii="Times New Roman" w:eastAsia="Times New Roman" w:hAnsi="Times New Roman" w:cs="Times New Roman"/>
          <w:sz w:val="28"/>
          <w:szCs w:val="28"/>
          <w:lang w:val="uk-UA" w:eastAsia="ru-UA"/>
        </w:rPr>
        <w:t>Які типи криз найбільш поширені у сфері національної безпеки (наприклад, військові, екологічні, інформаційні)?</w:t>
      </w:r>
    </w:p>
    <w:p w14:paraId="40BB513A" w14:textId="77777777" w:rsidR="00EE28EA" w:rsidRPr="00EE28EA" w:rsidRDefault="00EE28EA" w:rsidP="00EE28EA">
      <w:pPr>
        <w:numPr>
          <w:ilvl w:val="0"/>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EE28EA">
        <w:rPr>
          <w:rFonts w:ascii="Times New Roman" w:eastAsia="Times New Roman" w:hAnsi="Times New Roman" w:cs="Times New Roman"/>
          <w:sz w:val="28"/>
          <w:szCs w:val="28"/>
          <w:lang w:val="uk-UA" w:eastAsia="ru-UA"/>
        </w:rPr>
        <w:t>Які ключові елементи управління кризовою ситуацією вимагають найшвидшого реагування?</w:t>
      </w:r>
    </w:p>
    <w:p w14:paraId="6D27E6AC" w14:textId="77777777" w:rsidR="00EE28EA" w:rsidRPr="00EE28EA" w:rsidRDefault="00EE28EA" w:rsidP="00EE28EA">
      <w:pPr>
        <w:numPr>
          <w:ilvl w:val="0"/>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EE28EA">
        <w:rPr>
          <w:rFonts w:ascii="Times New Roman" w:eastAsia="Times New Roman" w:hAnsi="Times New Roman" w:cs="Times New Roman"/>
          <w:sz w:val="28"/>
          <w:szCs w:val="28"/>
          <w:lang w:val="uk-UA" w:eastAsia="ru-UA"/>
        </w:rPr>
        <w:t>Що таке національний кризовий центр, і яку роль він відіграє в кризовому управлінні?</w:t>
      </w:r>
    </w:p>
    <w:p w14:paraId="2EC95510" w14:textId="77777777" w:rsidR="00EE28EA" w:rsidRPr="00EE28EA" w:rsidRDefault="00EE28EA" w:rsidP="00EE28EA">
      <w:pPr>
        <w:numPr>
          <w:ilvl w:val="0"/>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EE28EA">
        <w:rPr>
          <w:rFonts w:ascii="Times New Roman" w:eastAsia="Times New Roman" w:hAnsi="Times New Roman" w:cs="Times New Roman"/>
          <w:sz w:val="28"/>
          <w:szCs w:val="28"/>
          <w:lang w:val="uk-UA" w:eastAsia="ru-UA"/>
        </w:rPr>
        <w:t>Які основні методи оцінки ризиків застосовуються у кризовому менеджменті?</w:t>
      </w:r>
    </w:p>
    <w:p w14:paraId="7CD114F6" w14:textId="77777777" w:rsidR="00EE28EA" w:rsidRPr="00EE28EA" w:rsidRDefault="00EE28EA" w:rsidP="00EE28EA">
      <w:pPr>
        <w:numPr>
          <w:ilvl w:val="0"/>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EE28EA">
        <w:rPr>
          <w:rFonts w:ascii="Times New Roman" w:eastAsia="Times New Roman" w:hAnsi="Times New Roman" w:cs="Times New Roman"/>
          <w:sz w:val="28"/>
          <w:szCs w:val="28"/>
          <w:lang w:val="uk-UA" w:eastAsia="ru-UA"/>
        </w:rPr>
        <w:t>Яка роль стратегічного планування у запобіганні криз у сфері національної безпеки?</w:t>
      </w:r>
    </w:p>
    <w:p w14:paraId="7C1E0C83" w14:textId="77777777" w:rsidR="00EE28EA" w:rsidRPr="00EE28EA" w:rsidRDefault="00EE28EA" w:rsidP="00EE28EA">
      <w:pPr>
        <w:numPr>
          <w:ilvl w:val="0"/>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EE28EA">
        <w:rPr>
          <w:rFonts w:ascii="Times New Roman" w:eastAsia="Times New Roman" w:hAnsi="Times New Roman" w:cs="Times New Roman"/>
          <w:sz w:val="28"/>
          <w:szCs w:val="28"/>
          <w:lang w:val="uk-UA" w:eastAsia="ru-UA"/>
        </w:rPr>
        <w:t>Яким чином можна застосовувати міжнародну співпрацю та обмін досвідом у кризовому менеджменті на рівні національної безпеки?</w:t>
      </w:r>
    </w:p>
    <w:p w14:paraId="27D2F434" w14:textId="77777777" w:rsidR="00EE28EA" w:rsidRPr="00EE28EA" w:rsidRDefault="00EE28EA" w:rsidP="00EE28EA">
      <w:pPr>
        <w:numPr>
          <w:ilvl w:val="0"/>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EE28EA">
        <w:rPr>
          <w:rFonts w:ascii="Times New Roman" w:eastAsia="Times New Roman" w:hAnsi="Times New Roman" w:cs="Times New Roman"/>
          <w:sz w:val="28"/>
          <w:szCs w:val="28"/>
          <w:lang w:val="uk-UA" w:eastAsia="ru-UA"/>
        </w:rPr>
        <w:t>Як важливою є роль комунікації та взаємодії між різними державними інститутами під час кризи?</w:t>
      </w:r>
    </w:p>
    <w:p w14:paraId="62EF370B" w14:textId="77777777" w:rsidR="00EE28EA" w:rsidRPr="00EE28EA" w:rsidRDefault="00EE28EA" w:rsidP="00EE28EA">
      <w:pPr>
        <w:numPr>
          <w:ilvl w:val="0"/>
          <w:numId w:val="1"/>
        </w:numPr>
        <w:spacing w:before="100" w:beforeAutospacing="1" w:after="100" w:afterAutospacing="1" w:line="240" w:lineRule="auto"/>
        <w:rPr>
          <w:rFonts w:ascii="Times New Roman" w:eastAsia="Times New Roman" w:hAnsi="Times New Roman" w:cs="Times New Roman"/>
          <w:sz w:val="28"/>
          <w:szCs w:val="28"/>
          <w:lang w:val="uk-UA" w:eastAsia="ru-UA"/>
        </w:rPr>
      </w:pPr>
      <w:r w:rsidRPr="00EE28EA">
        <w:rPr>
          <w:rFonts w:ascii="Times New Roman" w:eastAsia="Times New Roman" w:hAnsi="Times New Roman" w:cs="Times New Roman"/>
          <w:sz w:val="28"/>
          <w:szCs w:val="28"/>
          <w:lang w:val="uk-UA" w:eastAsia="ru-UA"/>
        </w:rPr>
        <w:t>Які кроки варто вжити після завершення кризи для оцінки ефективності дій та запобігання подібним ситуаціям у майбутньому?</w:t>
      </w:r>
    </w:p>
    <w:p w14:paraId="0E1F9E21" w14:textId="77777777" w:rsidR="00947A4F" w:rsidRDefault="00947A4F" w:rsidP="00EE28EA">
      <w:pPr>
        <w:spacing w:before="100" w:beforeAutospacing="1" w:after="100" w:afterAutospacing="1" w:line="240" w:lineRule="auto"/>
        <w:outlineLvl w:val="3"/>
        <w:rPr>
          <w:rFonts w:ascii="Times New Roman" w:eastAsia="Times New Roman" w:hAnsi="Times New Roman" w:cs="Times New Roman"/>
          <w:b/>
          <w:bCs/>
          <w:sz w:val="28"/>
          <w:szCs w:val="28"/>
          <w:lang w:val="uk-UA" w:eastAsia="ru-UA"/>
        </w:rPr>
      </w:pPr>
    </w:p>
    <w:p w14:paraId="6E021880" w14:textId="77777777" w:rsidR="00947A4F" w:rsidRPr="00947A4F" w:rsidRDefault="00947A4F" w:rsidP="00EE28EA">
      <w:pPr>
        <w:spacing w:before="100" w:beforeAutospacing="1" w:after="100" w:afterAutospacing="1" w:line="240" w:lineRule="auto"/>
        <w:outlineLvl w:val="3"/>
        <w:rPr>
          <w:rFonts w:ascii="Times New Roman" w:eastAsia="Times New Roman" w:hAnsi="Times New Roman" w:cs="Times New Roman"/>
          <w:i/>
          <w:iCs/>
          <w:sz w:val="28"/>
          <w:szCs w:val="28"/>
          <w:lang w:val="uk-UA" w:eastAsia="ru-UA"/>
        </w:rPr>
      </w:pPr>
      <w:r w:rsidRPr="00947A4F">
        <w:rPr>
          <w:rFonts w:ascii="Times New Roman" w:eastAsia="Times New Roman" w:hAnsi="Times New Roman" w:cs="Times New Roman"/>
          <w:i/>
          <w:iCs/>
          <w:sz w:val="28"/>
          <w:szCs w:val="28"/>
          <w:lang w:val="uk-UA" w:eastAsia="ru-UA"/>
        </w:rPr>
        <w:t xml:space="preserve">Завдання 2: </w:t>
      </w:r>
    </w:p>
    <w:p w14:paraId="6172CF66" w14:textId="77777777" w:rsidR="00EE28EA" w:rsidRPr="00EE28EA" w:rsidRDefault="00EE28EA" w:rsidP="00EE28EA">
      <w:pPr>
        <w:spacing w:before="100" w:beforeAutospacing="1" w:after="100" w:afterAutospacing="1" w:line="240" w:lineRule="auto"/>
        <w:outlineLvl w:val="3"/>
        <w:rPr>
          <w:rFonts w:ascii="Times New Roman" w:eastAsia="Times New Roman" w:hAnsi="Times New Roman" w:cs="Times New Roman"/>
          <w:b/>
          <w:bCs/>
          <w:i/>
          <w:iCs/>
          <w:sz w:val="28"/>
          <w:szCs w:val="28"/>
          <w:lang w:val="uk-UA" w:eastAsia="ru-UA"/>
        </w:rPr>
      </w:pPr>
      <w:r w:rsidRPr="00EE28EA">
        <w:rPr>
          <w:rFonts w:ascii="Times New Roman" w:eastAsia="Times New Roman" w:hAnsi="Times New Roman" w:cs="Times New Roman"/>
          <w:b/>
          <w:bCs/>
          <w:i/>
          <w:iCs/>
          <w:sz w:val="28"/>
          <w:szCs w:val="28"/>
          <w:lang w:val="uk-UA" w:eastAsia="ru-UA"/>
        </w:rPr>
        <w:t xml:space="preserve">Завдання </w:t>
      </w:r>
      <w:r w:rsidR="00947A4F" w:rsidRPr="00947A4F">
        <w:rPr>
          <w:rFonts w:ascii="Times New Roman" w:eastAsia="Times New Roman" w:hAnsi="Times New Roman" w:cs="Times New Roman"/>
          <w:b/>
          <w:bCs/>
          <w:i/>
          <w:iCs/>
          <w:sz w:val="28"/>
          <w:szCs w:val="28"/>
          <w:lang w:val="uk-UA" w:eastAsia="ru-UA"/>
        </w:rPr>
        <w:t>2.</w:t>
      </w:r>
      <w:r w:rsidRPr="00EE28EA">
        <w:rPr>
          <w:rFonts w:ascii="Times New Roman" w:eastAsia="Times New Roman" w:hAnsi="Times New Roman" w:cs="Times New Roman"/>
          <w:b/>
          <w:bCs/>
          <w:i/>
          <w:iCs/>
          <w:sz w:val="28"/>
          <w:szCs w:val="28"/>
          <w:lang w:val="uk-UA" w:eastAsia="ru-UA"/>
        </w:rPr>
        <w:t>1: Аналіз кризи в сфері національної безпеки</w:t>
      </w:r>
    </w:p>
    <w:p w14:paraId="0C8B6149" w14:textId="3D68F94F" w:rsidR="00EE28EA" w:rsidRPr="00EE28EA" w:rsidRDefault="00EE28EA" w:rsidP="00EE28EA">
      <w:pPr>
        <w:spacing w:before="100" w:beforeAutospacing="1" w:after="100" w:afterAutospacing="1" w:line="240" w:lineRule="auto"/>
        <w:rPr>
          <w:rFonts w:ascii="Times New Roman" w:eastAsia="Times New Roman" w:hAnsi="Times New Roman" w:cs="Times New Roman"/>
          <w:sz w:val="28"/>
          <w:szCs w:val="28"/>
          <w:lang w:val="uk-UA" w:eastAsia="ru-UA"/>
        </w:rPr>
      </w:pPr>
      <w:r w:rsidRPr="00EE28EA">
        <w:rPr>
          <w:rFonts w:ascii="Times New Roman" w:eastAsia="Times New Roman" w:hAnsi="Times New Roman" w:cs="Times New Roman"/>
          <w:sz w:val="28"/>
          <w:szCs w:val="28"/>
          <w:lang w:val="uk-UA" w:eastAsia="ru-UA"/>
        </w:rPr>
        <w:t xml:space="preserve"> Оберіть одну з реальних кризових ситуацій, пов'язаних з національною безпекою (наприклад, </w:t>
      </w:r>
      <w:r w:rsidR="00ED55F9" w:rsidRPr="00ED55F9">
        <w:rPr>
          <w:rFonts w:ascii="Times New Roman" w:eastAsia="Times New Roman" w:hAnsi="Times New Roman" w:cs="Times New Roman"/>
          <w:sz w:val="28"/>
          <w:szCs w:val="28"/>
          <w:lang w:val="uk-UA" w:eastAsia="ru-UA"/>
        </w:rPr>
        <w:t xml:space="preserve">Повномасштабне військове вторгнення Росії в Україну (з 24 лютого 2022 року), анексія Криму Російською Федерацією (лютий–березень 2014 року), збройний конфлікт на сході України (з 2014 року), збиття пасажирського літака рейсу MH17 над Донбасом (17 липня 2014 року), кібератака NotPetya на державні та приватні системи (червень 2017 року), масштабна кібератака на урядові сайти України (січень 2022 року), ракетні удари по об’єктах критичної інфраструктури, зокрема енергетичній системі (2022–2023 роки), вибухи на військових складах у Калинівці, Балаклії, Сватовому (2015–2018 роки), терористичний акт у Краматорську — обстріл вокзалу (2015 рік), дестабілізація внутрішньої ситуації через інформаційні та психологічні операції РФ (з 2014 року), біологічна загроза в умовах пандемії COVID-19 (2020–2021 роки), кризова ситуація з біженцями та </w:t>
      </w:r>
      <w:r w:rsidR="00ED55F9" w:rsidRPr="00ED55F9">
        <w:rPr>
          <w:rFonts w:ascii="Times New Roman" w:eastAsia="Times New Roman" w:hAnsi="Times New Roman" w:cs="Times New Roman"/>
          <w:sz w:val="28"/>
          <w:szCs w:val="28"/>
          <w:lang w:val="uk-UA" w:eastAsia="ru-UA"/>
        </w:rPr>
        <w:lastRenderedPageBreak/>
        <w:t>внутрішньо переміщеними особами (з 2014 року).</w:t>
      </w:r>
      <w:r w:rsidRPr="00EE28EA">
        <w:rPr>
          <w:rFonts w:ascii="Times New Roman" w:eastAsia="Times New Roman" w:hAnsi="Times New Roman" w:cs="Times New Roman"/>
          <w:sz w:val="28"/>
          <w:szCs w:val="28"/>
          <w:lang w:val="uk-UA" w:eastAsia="ru-UA"/>
        </w:rPr>
        <w:t xml:space="preserve"> Проведіть аналіз кризової ситуації, включаючи:</w:t>
      </w:r>
    </w:p>
    <w:p w14:paraId="5A1FF034" w14:textId="77777777" w:rsidR="00EE28EA" w:rsidRPr="00EE28EA" w:rsidRDefault="00EE28EA" w:rsidP="00EE28EA">
      <w:pPr>
        <w:numPr>
          <w:ilvl w:val="0"/>
          <w:numId w:val="2"/>
        </w:numPr>
        <w:spacing w:before="100" w:beforeAutospacing="1" w:after="100" w:afterAutospacing="1" w:line="240" w:lineRule="auto"/>
        <w:rPr>
          <w:rFonts w:ascii="Times New Roman" w:eastAsia="Times New Roman" w:hAnsi="Times New Roman" w:cs="Times New Roman"/>
          <w:sz w:val="28"/>
          <w:szCs w:val="28"/>
          <w:lang w:val="uk-UA" w:eastAsia="ru-UA"/>
        </w:rPr>
      </w:pPr>
      <w:r w:rsidRPr="00EE28EA">
        <w:rPr>
          <w:rFonts w:ascii="Times New Roman" w:eastAsia="Times New Roman" w:hAnsi="Times New Roman" w:cs="Times New Roman"/>
          <w:sz w:val="28"/>
          <w:szCs w:val="28"/>
          <w:lang w:val="uk-UA" w:eastAsia="ru-UA"/>
        </w:rPr>
        <w:t>Оцінку причин кризи.</w:t>
      </w:r>
    </w:p>
    <w:p w14:paraId="164EEE0F" w14:textId="77777777" w:rsidR="00EE28EA" w:rsidRPr="00EE28EA" w:rsidRDefault="00EE28EA" w:rsidP="00EE28EA">
      <w:pPr>
        <w:numPr>
          <w:ilvl w:val="0"/>
          <w:numId w:val="2"/>
        </w:numPr>
        <w:spacing w:before="100" w:beforeAutospacing="1" w:after="100" w:afterAutospacing="1" w:line="240" w:lineRule="auto"/>
        <w:rPr>
          <w:rFonts w:ascii="Times New Roman" w:eastAsia="Times New Roman" w:hAnsi="Times New Roman" w:cs="Times New Roman"/>
          <w:sz w:val="28"/>
          <w:szCs w:val="28"/>
          <w:lang w:val="uk-UA" w:eastAsia="ru-UA"/>
        </w:rPr>
      </w:pPr>
      <w:r w:rsidRPr="00EE28EA">
        <w:rPr>
          <w:rFonts w:ascii="Times New Roman" w:eastAsia="Times New Roman" w:hAnsi="Times New Roman" w:cs="Times New Roman"/>
          <w:sz w:val="28"/>
          <w:szCs w:val="28"/>
          <w:lang w:val="uk-UA" w:eastAsia="ru-UA"/>
        </w:rPr>
        <w:t>Опис ключових дій держави у відповідь на кризу.</w:t>
      </w:r>
    </w:p>
    <w:p w14:paraId="6D0F6FE4" w14:textId="77777777" w:rsidR="00EE28EA" w:rsidRPr="00EE28EA" w:rsidRDefault="00EE28EA" w:rsidP="00EE28EA">
      <w:pPr>
        <w:numPr>
          <w:ilvl w:val="0"/>
          <w:numId w:val="2"/>
        </w:numPr>
        <w:spacing w:before="100" w:beforeAutospacing="1" w:after="100" w:afterAutospacing="1" w:line="240" w:lineRule="auto"/>
        <w:rPr>
          <w:rFonts w:ascii="Times New Roman" w:eastAsia="Times New Roman" w:hAnsi="Times New Roman" w:cs="Times New Roman"/>
          <w:sz w:val="28"/>
          <w:szCs w:val="28"/>
          <w:lang w:val="uk-UA" w:eastAsia="ru-UA"/>
        </w:rPr>
      </w:pPr>
      <w:r w:rsidRPr="00EE28EA">
        <w:rPr>
          <w:rFonts w:ascii="Times New Roman" w:eastAsia="Times New Roman" w:hAnsi="Times New Roman" w:cs="Times New Roman"/>
          <w:sz w:val="28"/>
          <w:szCs w:val="28"/>
          <w:lang w:val="uk-UA" w:eastAsia="ru-UA"/>
        </w:rPr>
        <w:t>Оцінку ефективності заходів з управління кризою.</w:t>
      </w:r>
    </w:p>
    <w:p w14:paraId="044471BF" w14:textId="77777777" w:rsidR="00EE28EA" w:rsidRPr="00EE28EA" w:rsidRDefault="00EE28EA" w:rsidP="00EE28EA">
      <w:pPr>
        <w:numPr>
          <w:ilvl w:val="0"/>
          <w:numId w:val="2"/>
        </w:numPr>
        <w:spacing w:before="100" w:beforeAutospacing="1" w:after="100" w:afterAutospacing="1" w:line="240" w:lineRule="auto"/>
        <w:rPr>
          <w:rFonts w:ascii="Times New Roman" w:eastAsia="Times New Roman" w:hAnsi="Times New Roman" w:cs="Times New Roman"/>
          <w:sz w:val="28"/>
          <w:szCs w:val="28"/>
          <w:lang w:val="uk-UA" w:eastAsia="ru-UA"/>
        </w:rPr>
      </w:pPr>
      <w:r w:rsidRPr="00EE28EA">
        <w:rPr>
          <w:rFonts w:ascii="Times New Roman" w:eastAsia="Times New Roman" w:hAnsi="Times New Roman" w:cs="Times New Roman"/>
          <w:sz w:val="28"/>
          <w:szCs w:val="28"/>
          <w:lang w:val="uk-UA" w:eastAsia="ru-UA"/>
        </w:rPr>
        <w:t>Запропонуйте покращення в стратегії кризового менеджменту, які могли б зменшити наслідки.</w:t>
      </w:r>
    </w:p>
    <w:p w14:paraId="50CC5FDD" w14:textId="77777777" w:rsidR="00EE28EA" w:rsidRPr="00EE28EA" w:rsidRDefault="00EE28EA" w:rsidP="00EE28EA">
      <w:pPr>
        <w:spacing w:before="100" w:beforeAutospacing="1" w:after="100" w:afterAutospacing="1" w:line="240" w:lineRule="auto"/>
        <w:outlineLvl w:val="3"/>
        <w:rPr>
          <w:rFonts w:ascii="Times New Roman" w:eastAsia="Times New Roman" w:hAnsi="Times New Roman" w:cs="Times New Roman"/>
          <w:b/>
          <w:bCs/>
          <w:i/>
          <w:iCs/>
          <w:sz w:val="28"/>
          <w:szCs w:val="28"/>
          <w:lang w:val="uk-UA" w:eastAsia="ru-UA"/>
        </w:rPr>
      </w:pPr>
      <w:r w:rsidRPr="00EE28EA">
        <w:rPr>
          <w:rFonts w:ascii="Times New Roman" w:eastAsia="Times New Roman" w:hAnsi="Times New Roman" w:cs="Times New Roman"/>
          <w:b/>
          <w:bCs/>
          <w:i/>
          <w:iCs/>
          <w:sz w:val="28"/>
          <w:szCs w:val="28"/>
          <w:lang w:val="uk-UA" w:eastAsia="ru-UA"/>
        </w:rPr>
        <w:t>Завдання 2</w:t>
      </w:r>
      <w:r w:rsidR="00947A4F" w:rsidRPr="00947A4F">
        <w:rPr>
          <w:rFonts w:ascii="Times New Roman" w:eastAsia="Times New Roman" w:hAnsi="Times New Roman" w:cs="Times New Roman"/>
          <w:b/>
          <w:bCs/>
          <w:i/>
          <w:iCs/>
          <w:sz w:val="28"/>
          <w:szCs w:val="28"/>
          <w:lang w:val="uk-UA" w:eastAsia="ru-UA"/>
        </w:rPr>
        <w:t>.2</w:t>
      </w:r>
      <w:r w:rsidRPr="00EE28EA">
        <w:rPr>
          <w:rFonts w:ascii="Times New Roman" w:eastAsia="Times New Roman" w:hAnsi="Times New Roman" w:cs="Times New Roman"/>
          <w:b/>
          <w:bCs/>
          <w:i/>
          <w:iCs/>
          <w:sz w:val="28"/>
          <w:szCs w:val="28"/>
          <w:lang w:val="uk-UA" w:eastAsia="ru-UA"/>
        </w:rPr>
        <w:t>: Розробка кризової стратегії</w:t>
      </w:r>
    </w:p>
    <w:p w14:paraId="4B8672F5" w14:textId="2D46684D" w:rsidR="00EE28EA" w:rsidRPr="00EE28EA" w:rsidRDefault="00EE28EA" w:rsidP="00EE28EA">
      <w:pPr>
        <w:spacing w:before="100" w:beforeAutospacing="1" w:after="100" w:afterAutospacing="1" w:line="240" w:lineRule="auto"/>
        <w:rPr>
          <w:rFonts w:ascii="Times New Roman" w:eastAsia="Times New Roman" w:hAnsi="Times New Roman" w:cs="Times New Roman"/>
          <w:sz w:val="28"/>
          <w:szCs w:val="28"/>
          <w:lang w:val="uk-UA" w:eastAsia="ru-UA"/>
        </w:rPr>
      </w:pPr>
      <w:r w:rsidRPr="00EE28EA">
        <w:rPr>
          <w:rFonts w:ascii="Times New Roman" w:eastAsia="Times New Roman" w:hAnsi="Times New Roman" w:cs="Times New Roman"/>
          <w:sz w:val="28"/>
          <w:szCs w:val="28"/>
          <w:lang w:val="uk-UA" w:eastAsia="ru-UA"/>
        </w:rPr>
        <w:t xml:space="preserve"> Ви є частиною кризового штабу національної безпеки. Уявіть, що країна зіткнулася з масштабною кібератакою на критичну інфраструктуру (енергетичну систему, водопостачання</w:t>
      </w:r>
      <w:r w:rsidR="00681CA4">
        <w:rPr>
          <w:rFonts w:ascii="Times New Roman" w:eastAsia="Times New Roman" w:hAnsi="Times New Roman" w:cs="Times New Roman"/>
          <w:sz w:val="28"/>
          <w:szCs w:val="28"/>
          <w:lang w:val="uk-UA" w:eastAsia="ru-UA"/>
        </w:rPr>
        <w:t>,</w:t>
      </w:r>
      <w:r w:rsidRPr="00EE28EA">
        <w:rPr>
          <w:rFonts w:ascii="Times New Roman" w:eastAsia="Times New Roman" w:hAnsi="Times New Roman" w:cs="Times New Roman"/>
          <w:sz w:val="28"/>
          <w:szCs w:val="28"/>
          <w:lang w:val="uk-UA" w:eastAsia="ru-UA"/>
        </w:rPr>
        <w:t xml:space="preserve"> транспорт</w:t>
      </w:r>
      <w:r w:rsidR="00681CA4">
        <w:rPr>
          <w:rFonts w:ascii="Times New Roman" w:eastAsia="Times New Roman" w:hAnsi="Times New Roman" w:cs="Times New Roman"/>
          <w:sz w:val="28"/>
          <w:szCs w:val="28"/>
          <w:lang w:val="uk-UA" w:eastAsia="ru-UA"/>
        </w:rPr>
        <w:t xml:space="preserve">, фінансову структуру або запропонуйте свій варіант </w:t>
      </w:r>
      <w:r w:rsidRPr="00EE28EA">
        <w:rPr>
          <w:rFonts w:ascii="Times New Roman" w:eastAsia="Times New Roman" w:hAnsi="Times New Roman" w:cs="Times New Roman"/>
          <w:sz w:val="28"/>
          <w:szCs w:val="28"/>
          <w:lang w:val="uk-UA" w:eastAsia="ru-UA"/>
        </w:rPr>
        <w:t>). Розробіть покрокову стратегію реагування, яка включає:</w:t>
      </w:r>
    </w:p>
    <w:p w14:paraId="7FF4FA64" w14:textId="77777777" w:rsidR="00EE28EA" w:rsidRPr="00EE28EA" w:rsidRDefault="00EE28EA" w:rsidP="00EE28EA">
      <w:pPr>
        <w:numPr>
          <w:ilvl w:val="0"/>
          <w:numId w:val="3"/>
        </w:numPr>
        <w:spacing w:before="100" w:beforeAutospacing="1" w:after="100" w:afterAutospacing="1" w:line="240" w:lineRule="auto"/>
        <w:rPr>
          <w:rFonts w:ascii="Times New Roman" w:eastAsia="Times New Roman" w:hAnsi="Times New Roman" w:cs="Times New Roman"/>
          <w:sz w:val="28"/>
          <w:szCs w:val="28"/>
          <w:lang w:val="uk-UA" w:eastAsia="ru-UA"/>
        </w:rPr>
      </w:pPr>
      <w:r w:rsidRPr="00EE28EA">
        <w:rPr>
          <w:rFonts w:ascii="Times New Roman" w:eastAsia="Times New Roman" w:hAnsi="Times New Roman" w:cs="Times New Roman"/>
          <w:sz w:val="28"/>
          <w:szCs w:val="28"/>
          <w:lang w:val="uk-UA" w:eastAsia="ru-UA"/>
        </w:rPr>
        <w:t>Швидкі заходи для зупинки атаки та мінімізації шкоди.</w:t>
      </w:r>
    </w:p>
    <w:p w14:paraId="7436C2EA" w14:textId="77777777" w:rsidR="00EE28EA" w:rsidRPr="00EE28EA" w:rsidRDefault="00EE28EA" w:rsidP="00EE28EA">
      <w:pPr>
        <w:numPr>
          <w:ilvl w:val="0"/>
          <w:numId w:val="3"/>
        </w:numPr>
        <w:spacing w:before="100" w:beforeAutospacing="1" w:after="100" w:afterAutospacing="1" w:line="240" w:lineRule="auto"/>
        <w:rPr>
          <w:rFonts w:ascii="Times New Roman" w:eastAsia="Times New Roman" w:hAnsi="Times New Roman" w:cs="Times New Roman"/>
          <w:sz w:val="28"/>
          <w:szCs w:val="28"/>
          <w:lang w:val="uk-UA" w:eastAsia="ru-UA"/>
        </w:rPr>
      </w:pPr>
      <w:r w:rsidRPr="00EE28EA">
        <w:rPr>
          <w:rFonts w:ascii="Times New Roman" w:eastAsia="Times New Roman" w:hAnsi="Times New Roman" w:cs="Times New Roman"/>
          <w:sz w:val="28"/>
          <w:szCs w:val="28"/>
          <w:lang w:val="uk-UA" w:eastAsia="ru-UA"/>
        </w:rPr>
        <w:t>Взаємодію з ключовими стейкхолдерами (МВС, Міноборони, приватні компанії).</w:t>
      </w:r>
    </w:p>
    <w:p w14:paraId="73E07D1F" w14:textId="77777777" w:rsidR="00EE28EA" w:rsidRPr="00EE28EA" w:rsidRDefault="00EE28EA" w:rsidP="00EE28EA">
      <w:pPr>
        <w:numPr>
          <w:ilvl w:val="0"/>
          <w:numId w:val="3"/>
        </w:numPr>
        <w:spacing w:before="100" w:beforeAutospacing="1" w:after="100" w:afterAutospacing="1" w:line="240" w:lineRule="auto"/>
        <w:rPr>
          <w:rFonts w:ascii="Times New Roman" w:eastAsia="Times New Roman" w:hAnsi="Times New Roman" w:cs="Times New Roman"/>
          <w:sz w:val="28"/>
          <w:szCs w:val="28"/>
          <w:lang w:val="uk-UA" w:eastAsia="ru-UA"/>
        </w:rPr>
      </w:pPr>
      <w:r w:rsidRPr="00EE28EA">
        <w:rPr>
          <w:rFonts w:ascii="Times New Roman" w:eastAsia="Times New Roman" w:hAnsi="Times New Roman" w:cs="Times New Roman"/>
          <w:sz w:val="28"/>
          <w:szCs w:val="28"/>
          <w:lang w:val="uk-UA" w:eastAsia="ru-UA"/>
        </w:rPr>
        <w:t>Плани відновлення інфраструктури після атаки.</w:t>
      </w:r>
    </w:p>
    <w:p w14:paraId="062D00AE" w14:textId="77777777" w:rsidR="00EE28EA" w:rsidRPr="00EE28EA" w:rsidRDefault="00EE28EA" w:rsidP="00EE28EA">
      <w:pPr>
        <w:numPr>
          <w:ilvl w:val="0"/>
          <w:numId w:val="3"/>
        </w:numPr>
        <w:spacing w:before="100" w:beforeAutospacing="1" w:after="100" w:afterAutospacing="1" w:line="240" w:lineRule="auto"/>
        <w:rPr>
          <w:rFonts w:ascii="Times New Roman" w:eastAsia="Times New Roman" w:hAnsi="Times New Roman" w:cs="Times New Roman"/>
          <w:sz w:val="28"/>
          <w:szCs w:val="28"/>
          <w:lang w:val="uk-UA" w:eastAsia="ru-UA"/>
        </w:rPr>
      </w:pPr>
      <w:r w:rsidRPr="00EE28EA">
        <w:rPr>
          <w:rFonts w:ascii="Times New Roman" w:eastAsia="Times New Roman" w:hAnsi="Times New Roman" w:cs="Times New Roman"/>
          <w:sz w:val="28"/>
          <w:szCs w:val="28"/>
          <w:lang w:val="uk-UA" w:eastAsia="ru-UA"/>
        </w:rPr>
        <w:t>Заходи з підвищення кібербезпеки для запобігання подібним атакам у майбутньому.</w:t>
      </w:r>
    </w:p>
    <w:p w14:paraId="077FD4C7" w14:textId="77777777" w:rsidR="00B12FD2" w:rsidRPr="00B57A13" w:rsidRDefault="00B57A13" w:rsidP="00136891">
      <w:pPr>
        <w:jc w:val="both"/>
        <w:rPr>
          <w:rFonts w:ascii="Times New Roman" w:hAnsi="Times New Roman" w:cs="Times New Roman"/>
          <w:sz w:val="28"/>
          <w:szCs w:val="28"/>
          <w:lang w:val="uk-UA"/>
        </w:rPr>
      </w:pPr>
      <w:r w:rsidRPr="00B57A13">
        <w:rPr>
          <w:rFonts w:ascii="Times New Roman" w:hAnsi="Times New Roman" w:cs="Times New Roman"/>
          <w:i/>
          <w:iCs/>
          <w:sz w:val="28"/>
          <w:szCs w:val="28"/>
          <w:lang w:val="uk-UA"/>
        </w:rPr>
        <w:t>Ключові терміни:</w:t>
      </w:r>
      <w:r w:rsidRPr="00B57A13">
        <w:rPr>
          <w:rFonts w:ascii="Times New Roman" w:hAnsi="Times New Roman" w:cs="Times New Roman"/>
          <w:sz w:val="28"/>
          <w:szCs w:val="28"/>
          <w:lang w:val="uk-UA"/>
        </w:rPr>
        <w:t xml:space="preserve"> Небезпека, феномен небезпеки, безпека, феномен безпеки, принципи наукового вивчення безпеки, онтологічний підхід вивчення безпеки, гносеологічний підхід вивчення безпеки, </w:t>
      </w:r>
      <w:r w:rsidR="009021D4" w:rsidRPr="009021D4">
        <w:rPr>
          <w:rFonts w:ascii="Times New Roman" w:hAnsi="Times New Roman" w:cs="Times New Roman"/>
          <w:sz w:val="28"/>
          <w:szCs w:val="28"/>
          <w:lang w:val="uk-UA"/>
        </w:rPr>
        <w:t>сутність і зміст поняття «криза» і «антикризовий стан»</w:t>
      </w:r>
      <w:r w:rsidR="009021D4">
        <w:rPr>
          <w:rFonts w:ascii="Times New Roman" w:hAnsi="Times New Roman" w:cs="Times New Roman"/>
          <w:sz w:val="28"/>
          <w:szCs w:val="28"/>
          <w:lang w:val="uk-UA"/>
        </w:rPr>
        <w:t>,</w:t>
      </w:r>
      <w:r w:rsidR="009021D4" w:rsidRPr="009021D4">
        <w:rPr>
          <w:rFonts w:ascii="Times New Roman" w:hAnsi="Times New Roman" w:cs="Times New Roman"/>
          <w:sz w:val="28"/>
          <w:szCs w:val="28"/>
          <w:lang w:val="uk-UA"/>
        </w:rPr>
        <w:t xml:space="preserve"> поняття «криза»  і «ризик».</w:t>
      </w:r>
    </w:p>
    <w:p w14:paraId="4E12874C" w14:textId="77777777" w:rsidR="008D20F6" w:rsidRDefault="008D20F6">
      <w:pPr>
        <w:rPr>
          <w:sz w:val="28"/>
          <w:szCs w:val="28"/>
          <w:lang w:val="uk-UA"/>
        </w:rPr>
      </w:pPr>
    </w:p>
    <w:p w14:paraId="37DD4082" w14:textId="65F3F3A0" w:rsidR="00EE28EA" w:rsidRPr="00EE28EA" w:rsidRDefault="00EE28EA" w:rsidP="00EE28EA">
      <w:pPr>
        <w:jc w:val="both"/>
        <w:rPr>
          <w:rFonts w:ascii="Times New Roman" w:eastAsia="TimesNewRoman" w:hAnsi="Times New Roman" w:cs="Times New Roman"/>
          <w:b/>
          <w:lang w:val="uk-UA"/>
        </w:rPr>
      </w:pPr>
      <w:r w:rsidRPr="00EE28EA">
        <w:rPr>
          <w:rFonts w:ascii="Times New Roman" w:hAnsi="Times New Roman" w:cs="Times New Roman"/>
          <w:b/>
          <w:i/>
          <w:sz w:val="28"/>
          <w:szCs w:val="28"/>
          <w:lang w:val="uk-UA"/>
        </w:rPr>
        <w:t>*Виконані завдання (обсягом до 5-10 стор) надіслати на ел. пошту  keb_shpak@ztu.edu.ua</w:t>
      </w:r>
      <w:r w:rsidRPr="00EE28EA">
        <w:rPr>
          <w:rFonts w:ascii="Times New Roman" w:hAnsi="Times New Roman" w:cs="Times New Roman"/>
          <w:b/>
          <w:i/>
          <w:color w:val="000000"/>
          <w:sz w:val="28"/>
          <w:szCs w:val="28"/>
          <w:shd w:val="clear" w:color="auto" w:fill="FFFFFF"/>
          <w:lang w:val="uk-UA"/>
        </w:rPr>
        <w:t xml:space="preserve"> до </w:t>
      </w:r>
      <w:r w:rsidR="00C51305">
        <w:rPr>
          <w:rFonts w:ascii="Times New Roman" w:hAnsi="Times New Roman" w:cs="Times New Roman"/>
          <w:b/>
          <w:i/>
          <w:color w:val="000000"/>
          <w:sz w:val="28"/>
          <w:szCs w:val="28"/>
          <w:shd w:val="clear" w:color="auto" w:fill="FFFFFF"/>
          <w:lang w:val="uk-UA"/>
        </w:rPr>
        <w:t>1</w:t>
      </w:r>
      <w:r w:rsidRPr="00EE28EA">
        <w:rPr>
          <w:rFonts w:ascii="Times New Roman" w:hAnsi="Times New Roman" w:cs="Times New Roman"/>
          <w:b/>
          <w:i/>
          <w:color w:val="000000"/>
          <w:sz w:val="28"/>
          <w:szCs w:val="28"/>
          <w:shd w:val="clear" w:color="auto" w:fill="FFFFFF"/>
          <w:lang w:val="uk-UA"/>
        </w:rPr>
        <w:t>.</w:t>
      </w:r>
      <w:r w:rsidR="00C51305">
        <w:rPr>
          <w:rFonts w:ascii="Times New Roman" w:hAnsi="Times New Roman" w:cs="Times New Roman"/>
          <w:b/>
          <w:i/>
          <w:color w:val="000000"/>
          <w:sz w:val="28"/>
          <w:szCs w:val="28"/>
          <w:shd w:val="clear" w:color="auto" w:fill="FFFFFF"/>
          <w:lang w:val="uk-UA"/>
        </w:rPr>
        <w:t>05</w:t>
      </w:r>
      <w:r w:rsidRPr="00EE28EA">
        <w:rPr>
          <w:rFonts w:ascii="Times New Roman" w:hAnsi="Times New Roman" w:cs="Times New Roman"/>
          <w:b/>
          <w:i/>
          <w:color w:val="000000"/>
          <w:sz w:val="28"/>
          <w:szCs w:val="28"/>
          <w:shd w:val="clear" w:color="auto" w:fill="FFFFFF"/>
          <w:lang w:val="uk-UA"/>
        </w:rPr>
        <w:t>.202</w:t>
      </w:r>
      <w:r w:rsidR="00C51305">
        <w:rPr>
          <w:rFonts w:ascii="Times New Roman" w:hAnsi="Times New Roman" w:cs="Times New Roman"/>
          <w:b/>
          <w:i/>
          <w:color w:val="000000"/>
          <w:sz w:val="28"/>
          <w:szCs w:val="28"/>
          <w:shd w:val="clear" w:color="auto" w:fill="FFFFFF"/>
          <w:lang w:val="uk-UA"/>
        </w:rPr>
        <w:t>5</w:t>
      </w:r>
      <w:r w:rsidRPr="00EE28EA">
        <w:rPr>
          <w:rFonts w:ascii="Times New Roman" w:hAnsi="Times New Roman" w:cs="Times New Roman"/>
          <w:b/>
          <w:i/>
          <w:color w:val="000000"/>
          <w:sz w:val="28"/>
          <w:szCs w:val="28"/>
          <w:shd w:val="clear" w:color="auto" w:fill="FFFFFF"/>
          <w:lang w:val="uk-UA"/>
        </w:rPr>
        <w:t xml:space="preserve"> р. </w:t>
      </w:r>
      <w:r w:rsidRPr="00EE28EA">
        <w:rPr>
          <w:rFonts w:ascii="Times New Roman" w:eastAsia="TimesNewRoman" w:hAnsi="Times New Roman" w:cs="Times New Roman"/>
          <w:lang w:val="uk-UA"/>
        </w:rPr>
        <w:t>.</w:t>
      </w:r>
      <w:r w:rsidRPr="00EE28EA">
        <w:rPr>
          <w:rFonts w:ascii="Times New Roman" w:hAnsi="Times New Roman" w:cs="Times New Roman"/>
          <w:bCs/>
          <w:i/>
          <w:color w:val="000000"/>
          <w:sz w:val="28"/>
          <w:szCs w:val="28"/>
          <w:lang w:val="uk-UA"/>
        </w:rPr>
        <w:t xml:space="preserve"> (</w:t>
      </w:r>
      <w:r w:rsidRPr="00EE28EA">
        <w:rPr>
          <w:rFonts w:ascii="Times New Roman" w:hAnsi="Times New Roman" w:cs="Times New Roman"/>
          <w:color w:val="000000"/>
          <w:sz w:val="28"/>
          <w:szCs w:val="28"/>
          <w:shd w:val="clear" w:color="auto" w:fill="FFFFFF"/>
          <w:lang w:val="uk-UA"/>
        </w:rPr>
        <w:t>завдання виконувати за допомогою комп’ютера, згідно вимог : формат А4 (210x297 мм) з використанням шрифтів текстового редактора Word розміру 14 з 1,5 міжрядковим інтервалом. Мінімальна висота шрифту 1,8 мм. Текст роботи необхідно друкувати, залишаючи поля таких розмірів: ліве - 30 мм, праве -</w:t>
      </w:r>
      <w:smartTag w:uri="urn:schemas-microsoft-com:office:smarttags" w:element="metricconverter">
        <w:smartTagPr>
          <w:attr w:name="ProductID" w:val="10 мм"/>
        </w:smartTagPr>
        <w:r w:rsidRPr="00EE28EA">
          <w:rPr>
            <w:rFonts w:ascii="Times New Roman" w:hAnsi="Times New Roman" w:cs="Times New Roman"/>
            <w:color w:val="000000"/>
            <w:sz w:val="28"/>
            <w:szCs w:val="28"/>
            <w:shd w:val="clear" w:color="auto" w:fill="FFFFFF"/>
            <w:lang w:val="uk-UA"/>
          </w:rPr>
          <w:t>10 мм</w:t>
        </w:r>
      </w:smartTag>
      <w:r w:rsidRPr="00EE28EA">
        <w:rPr>
          <w:rFonts w:ascii="Times New Roman" w:hAnsi="Times New Roman" w:cs="Times New Roman"/>
          <w:color w:val="000000"/>
          <w:sz w:val="28"/>
          <w:szCs w:val="28"/>
          <w:shd w:val="clear" w:color="auto" w:fill="FFFFFF"/>
          <w:lang w:val="uk-UA"/>
        </w:rPr>
        <w:t>, верхнє - 20 мм, нижнє - 20 мм. Шрифт друку має бути чітким, чорного кольору середньої жирності. Щільність тексту  роботи має бути однаковою</w:t>
      </w:r>
      <w:r w:rsidRPr="00EE28EA">
        <w:rPr>
          <w:rFonts w:ascii="Times New Roman" w:hAnsi="Times New Roman" w:cs="Times New Roman"/>
          <w:i/>
          <w:color w:val="000000"/>
          <w:sz w:val="28"/>
          <w:szCs w:val="28"/>
          <w:shd w:val="clear" w:color="auto" w:fill="FFFFFF"/>
          <w:lang w:val="uk-UA"/>
        </w:rPr>
        <w:t xml:space="preserve">). </w:t>
      </w:r>
      <w:r w:rsidRPr="00EE28EA">
        <w:rPr>
          <w:rFonts w:ascii="Times New Roman" w:hAnsi="Times New Roman" w:cs="Times New Roman"/>
          <w:b/>
          <w:i/>
          <w:color w:val="000000"/>
          <w:sz w:val="28"/>
          <w:szCs w:val="28"/>
          <w:shd w:val="clear" w:color="auto" w:fill="FFFFFF"/>
          <w:lang w:val="uk-UA"/>
        </w:rPr>
        <w:t>В роботі обов’язково має бути вказано П.І.Б. та група студента.</w:t>
      </w:r>
    </w:p>
    <w:p w14:paraId="3E008328" w14:textId="77777777" w:rsidR="00EE28EA" w:rsidRPr="00EE28EA" w:rsidRDefault="00EE28EA" w:rsidP="00EE28EA">
      <w:pPr>
        <w:shd w:val="clear" w:color="auto" w:fill="FFFFFF"/>
        <w:rPr>
          <w:rFonts w:ascii="Times New Roman" w:hAnsi="Times New Roman" w:cs="Times New Roman"/>
          <w:sz w:val="28"/>
          <w:szCs w:val="28"/>
          <w:lang w:val="uk-UA"/>
        </w:rPr>
      </w:pPr>
    </w:p>
    <w:p w14:paraId="34B47DC2" w14:textId="77777777" w:rsidR="00EE28EA" w:rsidRPr="00EE28EA" w:rsidRDefault="00EE28EA" w:rsidP="00EE28EA">
      <w:pPr>
        <w:keepNext/>
        <w:ind w:left="360"/>
        <w:jc w:val="center"/>
        <w:outlineLvl w:val="3"/>
        <w:rPr>
          <w:rFonts w:ascii="Times New Roman" w:hAnsi="Times New Roman" w:cs="Times New Roman"/>
          <w:b/>
          <w:bCs/>
          <w:sz w:val="30"/>
          <w:szCs w:val="30"/>
          <w:lang w:val="uk-UA"/>
        </w:rPr>
      </w:pPr>
      <w:r w:rsidRPr="00EE28EA">
        <w:rPr>
          <w:rFonts w:ascii="Times New Roman" w:hAnsi="Times New Roman" w:cs="Times New Roman"/>
          <w:b/>
          <w:bCs/>
          <w:sz w:val="30"/>
          <w:szCs w:val="30"/>
          <w:lang w:val="uk-UA"/>
        </w:rPr>
        <w:lastRenderedPageBreak/>
        <w:t>Рекомендована література</w:t>
      </w:r>
    </w:p>
    <w:p w14:paraId="0B49485B" w14:textId="77777777" w:rsidR="002411A4" w:rsidRPr="002411A4" w:rsidRDefault="002411A4" w:rsidP="002411A4">
      <w:pPr>
        <w:pStyle w:val="a5"/>
        <w:numPr>
          <w:ilvl w:val="0"/>
          <w:numId w:val="4"/>
        </w:numPr>
        <w:spacing w:after="5" w:line="247" w:lineRule="auto"/>
        <w:ind w:left="-15" w:right="34" w:firstLine="15"/>
        <w:jc w:val="both"/>
        <w:rPr>
          <w:rFonts w:ascii="Times New Roman" w:hAnsi="Times New Roman" w:cs="Times New Roman"/>
          <w:sz w:val="28"/>
          <w:szCs w:val="28"/>
          <w:lang w:val="uk-UA"/>
        </w:rPr>
      </w:pPr>
      <w:r w:rsidRPr="002411A4">
        <w:rPr>
          <w:rFonts w:ascii="Times New Roman" w:hAnsi="Times New Roman" w:cs="Times New Roman"/>
          <w:sz w:val="28"/>
          <w:szCs w:val="28"/>
          <w:lang w:val="uk-UA"/>
        </w:rPr>
        <w:t>Адміністративно-правові засади взаємодії Державного бюро розслідувань з органами державної влади: монографія / А. Францевич ; Наук.-дослід. ін-т публічного права. Київ-Одеса : Фенікс, 2021. 172 с.</w:t>
      </w:r>
    </w:p>
    <w:p w14:paraId="15698C79"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2. Вавринчук М. П. Етнополітична безпека в системі національної безпеки України на етапі сучасного державотворення : Монографія. К. : Правова єдність, 2009. 288 с.</w:t>
      </w:r>
    </w:p>
    <w:p w14:paraId="0D3EC764"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3. Військові адміністративні правопорушення. Військові кримінальні правопорушення (злочини). Законодавство. Коментар. [текст] практичний посібник. Григоренко А. В., Руснак Ю. І. К. : «Центр учбової літератури», 2021. 272 с.</w:t>
      </w:r>
    </w:p>
    <w:p w14:paraId="3C73FB1B"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4. Воєнно-стратегічна безпека України: навч. посібн. / П.М. Лісовський, Ю.П. Лісовська; за ред. Федоренко Т. В. К.: Університет «Україна», 2023. 220 с.</w:t>
      </w:r>
    </w:p>
    <w:p w14:paraId="487501FE"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5. Гібридна війна нового типу як загроза національній безпеці держав / Ю. І. Когут. Київ : Консалтингова компанія «СІДКОН»; ВД «ДАКОР» 2023. 348 c.</w:t>
      </w:r>
    </w:p>
    <w:p w14:paraId="4BDA362E"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6. Грицак Я. Подолати минуле: глобальна історія України. Київ: Портал, 2022. 416 с.</w:t>
      </w:r>
    </w:p>
    <w:p w14:paraId="0D5D5270"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7. Грицишен Д.О. Державна політика в сфері запобігання та протидії економічній</w:t>
      </w:r>
    </w:p>
    <w:p w14:paraId="5030505A"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злочинності: монографія. Житомир: ЖДТУ. 2020. 300 с.</w:t>
      </w:r>
    </w:p>
    <w:p w14:paraId="68877957"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8. Державна безпека в контексті політики європейської інтеграції України. Укладачі: В.М. Мороз, Ю.Г. Батир – Х. : НУЦЗУ, 2020. – 60 с.</w:t>
      </w:r>
    </w:p>
    <w:p w14:paraId="3046E6FB"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9. Державна політика у сфері правоохоронної діяльності [Текст]: монографія / В.В. Євдокимов. – Житомир: Вид. О.О. Євенок, 2021. – 356 с.</w:t>
      </w:r>
    </w:p>
    <w:p w14:paraId="2B180600"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10. Державне управління національною безпекою: соціально-економічне забезпечення: Монографія / Домбровська С.М., Шведун В.О., Рубан А.В.: Х, НУЦЗУ. 2022. 221 с.</w:t>
      </w:r>
    </w:p>
    <w:p w14:paraId="53AAE72B"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11. Дикий А.П. Державна політика запобігання та протидії економічної злочинності в системі гарантування економічної безпеки України: монографія. Житомир: ТОВ «Видавничий дім “Бук-Друк”». 2023. 428 с.</w:t>
      </w:r>
    </w:p>
    <w:p w14:paraId="5E734D29"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12. Енергетична безпека України: методологія системного аналізу та стратегічного планування: аналіт. доп. / [Суходоля О.М., Харазішвілі Ю.М., Бобро Д.Г., Сменковський А.Ю., Рябцев Г.Л., Завгородня С.П.] ; за заг. ред. О. М. Суходолі. Київ: НІСД, 2020. – 178</w:t>
      </w:r>
    </w:p>
    <w:p w14:paraId="0864175B"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13. Енергетичні війни як загроза національній безпеці держав Євросоюзу: практичний посібник / Ю.І. Когут. Київ : Консалтингова компанія «СІДКОН»; ВД «ДАКОР», 2022. 364 с.</w:t>
      </w:r>
    </w:p>
    <w:p w14:paraId="02E0C266"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lastRenderedPageBreak/>
        <w:t>14. Забезпечення національної безпеки за основними напрямами життєдіяльності України: навчальний посібник: у 2-х ч.: Ч. І / В.А. Омельчук, М.П. Стрельбицький, С.Г. Гордієнко та ін.; за заг. ред. А.М. Кислого і М.П. Стрельбицького. Київ: Міжрегіональна Академія управління персоналом, 2021. 304 с.</w:t>
      </w:r>
    </w:p>
    <w:p w14:paraId="038E6959"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15. Загурська-Антонюк В.Ф. Державне управління національною безпекою в умовах геополітичних трансформацій. Монографія. Житомир: Видавець О.О. Євенок, 2020. 336 с.</w:t>
      </w:r>
    </w:p>
    <w:p w14:paraId="096C27D8"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16. Запобігання корупції у Збройних Силах України. Особливості правозастосування під час дії воєнного стану. Ануфрієв М.І., Копотун І.М., Коропатнік ІМ., Кривенко О.В., Курилюк Ю. Б., Петков С. В. Київ. ВД «Професіонал», 2022. 608 с.</w:t>
      </w:r>
    </w:p>
    <w:p w14:paraId="15414FE5"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17. Злочини проти життя та здоров’я особи. Науково-практичний коментар до Розділу ІІ Особливої частини Кримінального кодексу України / О.М. Юрченко. О.Ф. Бантишев, С. А. Кузьмін. К. : ПАЛИВОДА А. В., 2013. 176 с.</w:t>
      </w:r>
    </w:p>
    <w:p w14:paraId="05A2C4E3"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18. Злочини у сфері використання електронно-обчислювальних машин (компʼютерів), систем та компʼютерних мереж і мереж електрозвʼязку: спеціальні питання кваліфікації, проведення слідчих (розшукових) дій, призначення компʼютерно-технічних судових експертиз: наук-практ. посіб. / Б.Б. Теплицький, Л.Г. Шарай, К.М. Ковальов, С. А. Кузьмін. К.: ПАЛИВОДА А. В., 2019. 168 с.</w:t>
      </w:r>
    </w:p>
    <w:p w14:paraId="5067E9FE"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19. Зовнішньоторговельна безпека України: тенденції, виклики та напрями забезпечення: монографія / Т.О. Власюк. Запоріжжя : ФОП Мокшанов В. В., 2018. 340 с.</w:t>
      </w:r>
    </w:p>
    <w:p w14:paraId="3D889196" w14:textId="77777777" w:rsidR="002411A4" w:rsidRPr="002411A4" w:rsidRDefault="002411A4" w:rsidP="002411A4">
      <w:pPr>
        <w:ind w:left="-15" w:right="34"/>
        <w:rPr>
          <w:rFonts w:ascii="Times New Roman" w:hAnsi="Times New Roman" w:cs="Times New Roman"/>
          <w:sz w:val="28"/>
          <w:szCs w:val="28"/>
          <w:lang w:val="uk-UA"/>
        </w:rPr>
      </w:pPr>
    </w:p>
    <w:p w14:paraId="3B45F8F1" w14:textId="77777777" w:rsidR="002411A4" w:rsidRPr="002411A4" w:rsidRDefault="002411A4" w:rsidP="002411A4">
      <w:pPr>
        <w:ind w:left="-15" w:right="34"/>
        <w:rPr>
          <w:rFonts w:ascii="Times New Roman" w:hAnsi="Times New Roman" w:cs="Times New Roman"/>
          <w:b/>
          <w:bCs/>
          <w:sz w:val="28"/>
          <w:szCs w:val="28"/>
          <w:lang w:val="uk-UA"/>
        </w:rPr>
      </w:pPr>
      <w:r w:rsidRPr="002411A4">
        <w:rPr>
          <w:rFonts w:ascii="Times New Roman" w:hAnsi="Times New Roman" w:cs="Times New Roman"/>
          <w:sz w:val="28"/>
          <w:szCs w:val="28"/>
          <w:lang w:val="uk-UA"/>
        </w:rPr>
        <w:t xml:space="preserve"> </w:t>
      </w:r>
      <w:r w:rsidRPr="002411A4">
        <w:rPr>
          <w:rFonts w:ascii="Times New Roman" w:hAnsi="Times New Roman" w:cs="Times New Roman"/>
          <w:b/>
          <w:bCs/>
          <w:sz w:val="28"/>
          <w:szCs w:val="28"/>
          <w:lang w:val="uk-UA"/>
        </w:rPr>
        <w:t>Інформаційні ресурси в Інтернеті</w:t>
      </w:r>
    </w:p>
    <w:p w14:paraId="066BFA0A" w14:textId="77777777" w:rsidR="002411A4" w:rsidRPr="002411A4" w:rsidRDefault="002411A4" w:rsidP="002411A4">
      <w:pPr>
        <w:ind w:left="-15" w:right="34"/>
        <w:rPr>
          <w:rFonts w:ascii="Times New Roman" w:hAnsi="Times New Roman" w:cs="Times New Roman"/>
          <w:sz w:val="28"/>
          <w:szCs w:val="28"/>
          <w:lang w:val="uk-UA"/>
        </w:rPr>
      </w:pPr>
    </w:p>
    <w:p w14:paraId="776405DB"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20. http//www.un.org/ – офіційний сайт Організації Об’єднаних Націй</w:t>
      </w:r>
    </w:p>
    <w:p w14:paraId="5341938D"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http//www.unsystem.org/index.html - інформаційний сайт про системуООН</w:t>
      </w:r>
    </w:p>
    <w:p w14:paraId="15C65EC5"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21. http//portal.un.kiev.ua/ – Представництво ООН в Україні</w:t>
      </w:r>
    </w:p>
    <w:p w14:paraId="762E572C"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22. http//www.nato.int/ – офіційний сайт НАТО</w:t>
      </w:r>
    </w:p>
    <w:p w14:paraId="6AD3283F"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23. http//www.сoe.int /– офіційний сайт Ради Європи</w:t>
      </w:r>
    </w:p>
    <w:p w14:paraId="41BBDD11"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24. http//www.unesco.org/ – офіційний cайт ЮНЕСКО</w:t>
      </w:r>
    </w:p>
    <w:p w14:paraId="5F1CA978"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25. http//freedomhouse.org/ – офіційний сайт неурядової міжнародної організації</w:t>
      </w:r>
    </w:p>
    <w:p w14:paraId="699E47B1"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Freedom House</w:t>
      </w:r>
    </w:p>
    <w:p w14:paraId="78314F1A"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lastRenderedPageBreak/>
        <w:t>26.http//www.osce.org – офіційний сайт Організації з Безпеки та Співробітництву в Європі http://euroatlantica.kiev.ua/ua/about/ – Інформагенція Євроатлантика</w:t>
      </w:r>
    </w:p>
    <w:p w14:paraId="16B497AD"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27. http://www.president.gov.ua – Офіційне представництво Президента України.</w:t>
      </w:r>
    </w:p>
    <w:p w14:paraId="292B8BCF"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28. http://www.rada.gov.ua/ – Офіційний портал Верховної Ради України.</w:t>
      </w:r>
    </w:p>
    <w:p w14:paraId="069F5460"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29.http://www.kmu.gov.ua/ – Офіційний портал органів виконавчої влади України.</w:t>
      </w:r>
    </w:p>
    <w:p w14:paraId="2974A7FD"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30.http://www.mfa.gov.ua/ – Офіційний сайт Міністерства закордонних справ України.</w:t>
      </w:r>
    </w:p>
    <w:p w14:paraId="7B5D68D4"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31. http://www.mil.gov.ua/ – Офіційний сайт Міністерства оборони України.</w:t>
      </w:r>
    </w:p>
    <w:p w14:paraId="498B77A3"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32. http://ukraine-eu.mfa.gov.ua/ – «Україна-Європейський Союз» – офіційний сайт</w:t>
      </w:r>
    </w:p>
    <w:p w14:paraId="06799457"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представництва України при Європейському Союзі.</w:t>
      </w:r>
    </w:p>
    <w:p w14:paraId="013C8535"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33. http://www.coe.int/uk/web/kyiv – Сайт Офісу Ради Європи в Києві.</w:t>
      </w:r>
    </w:p>
    <w:p w14:paraId="09CEED31" w14:textId="77777777" w:rsidR="002411A4" w:rsidRPr="002411A4" w:rsidRDefault="002411A4" w:rsidP="002411A4">
      <w:pPr>
        <w:ind w:left="-15" w:right="34"/>
        <w:rPr>
          <w:rFonts w:ascii="Times New Roman" w:hAnsi="Times New Roman" w:cs="Times New Roman"/>
          <w:sz w:val="28"/>
          <w:szCs w:val="28"/>
          <w:lang w:val="uk-UA"/>
        </w:rPr>
      </w:pPr>
      <w:r w:rsidRPr="002411A4">
        <w:rPr>
          <w:rFonts w:ascii="Times New Roman" w:hAnsi="Times New Roman" w:cs="Times New Roman"/>
          <w:sz w:val="28"/>
          <w:szCs w:val="28"/>
          <w:lang w:val="uk-UA"/>
        </w:rPr>
        <w:t>34. http://www.niss.gov.ua/ – Національний інститут стратегічних досліджень</w:t>
      </w:r>
    </w:p>
    <w:p w14:paraId="626E2759" w14:textId="77777777" w:rsidR="002411A4" w:rsidRPr="002411A4" w:rsidRDefault="002411A4" w:rsidP="002411A4">
      <w:pPr>
        <w:ind w:firstLine="567"/>
        <w:rPr>
          <w:rFonts w:ascii="Times New Roman" w:hAnsi="Times New Roman" w:cs="Times New Roman"/>
          <w:lang w:val="uk-UA"/>
        </w:rPr>
      </w:pPr>
    </w:p>
    <w:p w14:paraId="36E86FAA" w14:textId="77777777" w:rsidR="00EE28EA" w:rsidRPr="002411A4" w:rsidRDefault="00EE28EA">
      <w:pPr>
        <w:rPr>
          <w:rFonts w:ascii="Times New Roman" w:hAnsi="Times New Roman" w:cs="Times New Roman"/>
          <w:sz w:val="28"/>
          <w:szCs w:val="28"/>
          <w:lang w:val="uk-UA"/>
        </w:rPr>
      </w:pPr>
    </w:p>
    <w:sectPr w:rsidR="00EE28EA" w:rsidRPr="002411A4" w:rsidSect="00EE28EA">
      <w:pgSz w:w="11906" w:h="16838"/>
      <w:pgMar w:top="1134" w:right="850"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panose1 w:val="00000000000000000000"/>
    <w:charset w:val="CC"/>
    <w:family w:val="auto"/>
    <w:notTrueType/>
    <w:pitch w:val="default"/>
    <w:sig w:usb0="00000201" w:usb1="00000000" w:usb2="00000000" w:usb3="00000000" w:csb0="00000004"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B586CC3"/>
    <w:multiLevelType w:val="multilevel"/>
    <w:tmpl w:val="9FFC0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5F7723F1"/>
    <w:multiLevelType w:val="multilevel"/>
    <w:tmpl w:val="185AB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4732DB2"/>
    <w:multiLevelType w:val="multilevel"/>
    <w:tmpl w:val="6A2EF3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FB768FC"/>
    <w:multiLevelType w:val="hybridMultilevel"/>
    <w:tmpl w:val="D43ED78E"/>
    <w:lvl w:ilvl="0" w:tplc="E68C118E">
      <w:start w:val="1"/>
      <w:numFmt w:val="decimal"/>
      <w:lvlText w:val="%1."/>
      <w:lvlJc w:val="left"/>
      <w:pPr>
        <w:ind w:left="619" w:hanging="360"/>
      </w:pPr>
      <w:rPr>
        <w:rFonts w:hint="default"/>
      </w:rPr>
    </w:lvl>
    <w:lvl w:ilvl="1" w:tplc="20000019" w:tentative="1">
      <w:start w:val="1"/>
      <w:numFmt w:val="lowerLetter"/>
      <w:lvlText w:val="%2."/>
      <w:lvlJc w:val="left"/>
      <w:pPr>
        <w:ind w:left="1339" w:hanging="360"/>
      </w:pPr>
    </w:lvl>
    <w:lvl w:ilvl="2" w:tplc="2000001B" w:tentative="1">
      <w:start w:val="1"/>
      <w:numFmt w:val="lowerRoman"/>
      <w:lvlText w:val="%3."/>
      <w:lvlJc w:val="right"/>
      <w:pPr>
        <w:ind w:left="2059" w:hanging="180"/>
      </w:pPr>
    </w:lvl>
    <w:lvl w:ilvl="3" w:tplc="2000000F" w:tentative="1">
      <w:start w:val="1"/>
      <w:numFmt w:val="decimal"/>
      <w:lvlText w:val="%4."/>
      <w:lvlJc w:val="left"/>
      <w:pPr>
        <w:ind w:left="2779" w:hanging="360"/>
      </w:pPr>
    </w:lvl>
    <w:lvl w:ilvl="4" w:tplc="20000019" w:tentative="1">
      <w:start w:val="1"/>
      <w:numFmt w:val="lowerLetter"/>
      <w:lvlText w:val="%5."/>
      <w:lvlJc w:val="left"/>
      <w:pPr>
        <w:ind w:left="3499" w:hanging="360"/>
      </w:pPr>
    </w:lvl>
    <w:lvl w:ilvl="5" w:tplc="2000001B" w:tentative="1">
      <w:start w:val="1"/>
      <w:numFmt w:val="lowerRoman"/>
      <w:lvlText w:val="%6."/>
      <w:lvlJc w:val="right"/>
      <w:pPr>
        <w:ind w:left="4219" w:hanging="180"/>
      </w:pPr>
    </w:lvl>
    <w:lvl w:ilvl="6" w:tplc="2000000F" w:tentative="1">
      <w:start w:val="1"/>
      <w:numFmt w:val="decimal"/>
      <w:lvlText w:val="%7."/>
      <w:lvlJc w:val="left"/>
      <w:pPr>
        <w:ind w:left="4939" w:hanging="360"/>
      </w:pPr>
    </w:lvl>
    <w:lvl w:ilvl="7" w:tplc="20000019" w:tentative="1">
      <w:start w:val="1"/>
      <w:numFmt w:val="lowerLetter"/>
      <w:lvlText w:val="%8."/>
      <w:lvlJc w:val="left"/>
      <w:pPr>
        <w:ind w:left="5659" w:hanging="360"/>
      </w:pPr>
    </w:lvl>
    <w:lvl w:ilvl="8" w:tplc="2000001B" w:tentative="1">
      <w:start w:val="1"/>
      <w:numFmt w:val="lowerRoman"/>
      <w:lvlText w:val="%9."/>
      <w:lvlJc w:val="right"/>
      <w:pPr>
        <w:ind w:left="6379"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8EA"/>
    <w:rsid w:val="00136891"/>
    <w:rsid w:val="002411A4"/>
    <w:rsid w:val="00246283"/>
    <w:rsid w:val="00681CA4"/>
    <w:rsid w:val="008D20F6"/>
    <w:rsid w:val="009021D4"/>
    <w:rsid w:val="00947A4F"/>
    <w:rsid w:val="00B12FD2"/>
    <w:rsid w:val="00B57A13"/>
    <w:rsid w:val="00C06082"/>
    <w:rsid w:val="00C51305"/>
    <w:rsid w:val="00ED55F9"/>
    <w:rsid w:val="00EE28EA"/>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2FA32F74"/>
  <w15:chartTrackingRefBased/>
  <w15:docId w15:val="{FCEAF74D-78A1-4BF9-BA82-81B9C77AE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3">
    <w:name w:val="heading 3"/>
    <w:basedOn w:val="a"/>
    <w:link w:val="30"/>
    <w:uiPriority w:val="9"/>
    <w:qFormat/>
    <w:rsid w:val="00EE28EA"/>
    <w:pPr>
      <w:spacing w:before="100" w:beforeAutospacing="1" w:after="100" w:afterAutospacing="1" w:line="240" w:lineRule="auto"/>
      <w:outlineLvl w:val="2"/>
    </w:pPr>
    <w:rPr>
      <w:rFonts w:ascii="Times New Roman" w:eastAsia="Times New Roman" w:hAnsi="Times New Roman" w:cs="Times New Roman"/>
      <w:b/>
      <w:bCs/>
      <w:sz w:val="27"/>
      <w:szCs w:val="27"/>
      <w:lang w:eastAsia="ru-UA"/>
    </w:rPr>
  </w:style>
  <w:style w:type="paragraph" w:styleId="4">
    <w:name w:val="heading 4"/>
    <w:basedOn w:val="a"/>
    <w:link w:val="40"/>
    <w:uiPriority w:val="9"/>
    <w:qFormat/>
    <w:rsid w:val="00EE28EA"/>
    <w:pPr>
      <w:spacing w:before="100" w:beforeAutospacing="1" w:after="100" w:afterAutospacing="1" w:line="240" w:lineRule="auto"/>
      <w:outlineLvl w:val="3"/>
    </w:pPr>
    <w:rPr>
      <w:rFonts w:ascii="Times New Roman" w:eastAsia="Times New Roman" w:hAnsi="Times New Roman" w:cs="Times New Roman"/>
      <w:b/>
      <w:bCs/>
      <w:sz w:val="24"/>
      <w:szCs w:val="24"/>
      <w:lang w:eastAsia="ru-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EE28EA"/>
    <w:rPr>
      <w:rFonts w:ascii="Times New Roman" w:eastAsia="Times New Roman" w:hAnsi="Times New Roman" w:cs="Times New Roman"/>
      <w:b/>
      <w:bCs/>
      <w:sz w:val="27"/>
      <w:szCs w:val="27"/>
      <w:lang w:val="ru-UA" w:eastAsia="ru-UA"/>
    </w:rPr>
  </w:style>
  <w:style w:type="character" w:customStyle="1" w:styleId="40">
    <w:name w:val="Заголовок 4 Знак"/>
    <w:basedOn w:val="a0"/>
    <w:link w:val="4"/>
    <w:uiPriority w:val="9"/>
    <w:rsid w:val="00EE28EA"/>
    <w:rPr>
      <w:rFonts w:ascii="Times New Roman" w:eastAsia="Times New Roman" w:hAnsi="Times New Roman" w:cs="Times New Roman"/>
      <w:b/>
      <w:bCs/>
      <w:sz w:val="24"/>
      <w:szCs w:val="24"/>
      <w:lang w:val="ru-UA" w:eastAsia="ru-UA"/>
    </w:rPr>
  </w:style>
  <w:style w:type="paragraph" w:styleId="a3">
    <w:name w:val="Normal (Web)"/>
    <w:basedOn w:val="a"/>
    <w:uiPriority w:val="99"/>
    <w:semiHidden/>
    <w:unhideWhenUsed/>
    <w:rsid w:val="00EE28EA"/>
    <w:pPr>
      <w:spacing w:before="100" w:beforeAutospacing="1" w:after="100" w:afterAutospacing="1" w:line="240" w:lineRule="auto"/>
    </w:pPr>
    <w:rPr>
      <w:rFonts w:ascii="Times New Roman" w:eastAsia="Times New Roman" w:hAnsi="Times New Roman" w:cs="Times New Roman"/>
      <w:sz w:val="24"/>
      <w:szCs w:val="24"/>
      <w:lang w:eastAsia="ru-UA"/>
    </w:rPr>
  </w:style>
  <w:style w:type="character" w:styleId="a4">
    <w:name w:val="Strong"/>
    <w:basedOn w:val="a0"/>
    <w:uiPriority w:val="22"/>
    <w:qFormat/>
    <w:rsid w:val="00EE28EA"/>
    <w:rPr>
      <w:b/>
      <w:bCs/>
    </w:rPr>
  </w:style>
  <w:style w:type="paragraph" w:styleId="a5">
    <w:name w:val="List Paragraph"/>
    <w:basedOn w:val="a"/>
    <w:uiPriority w:val="34"/>
    <w:qFormat/>
    <w:rsid w:val="00947A4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0851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1313</Words>
  <Characters>7487</Characters>
  <Application>Microsoft Office Word</Application>
  <DocSecurity>0</DocSecurity>
  <Lines>62</Lines>
  <Paragraphs>17</Paragraphs>
  <ScaleCrop>false</ScaleCrop>
  <Company/>
  <LinksUpToDate>false</LinksUpToDate>
  <CharactersWithSpaces>8783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пк</dc:creator>
  <cp:keywords/>
  <dc:description/>
  <cp:lastModifiedBy>пк</cp:lastModifiedBy>
  <cp:revision>13</cp:revision>
  <dcterms:created xsi:type="dcterms:W3CDTF">2024-10-14T18:01:00Z</dcterms:created>
  <dcterms:modified xsi:type="dcterms:W3CDTF">2025-04-01T10:47:00Z</dcterms:modified>
</cp:coreProperties>
</file>