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79FD" w14:textId="77777777" w:rsidR="00307C91" w:rsidRDefault="00307C91" w:rsidP="00307C91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3E784E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ЛАБОРАТОРНА РОБОТА №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3.</w:t>
      </w:r>
    </w:p>
    <w:p w14:paraId="696EE0C2" w14:textId="0A509D61" w:rsidR="00307C91" w:rsidRPr="00184A48" w:rsidRDefault="00307C91" w:rsidP="00307C91">
      <w:pPr>
        <w:jc w:val="center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ДЕФЕКТАЦІЯ І ВІДНОВЛЕННЯ КОРПУСНИХ ДЕТАЛЕЙ –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БЛОКУ ЦИЛІНДРІВ, КАРТЕРА КОРОБКИ ПЕРЕДАЧ.</w:t>
      </w:r>
    </w:p>
    <w:p w14:paraId="5DB16A6F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1.</w:t>
      </w:r>
      <w:r w:rsidRPr="00184A48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 xml:space="preserve"> Обладнання і оснащення робочого місця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. Блок циліндрів 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двигуна ЗІЛ-130 в зборі 130-1002010, пристрій-кантувач для установки .блоку, пристрій для гідравлічних випробувань блоку, нутроміри індикаторні НІ 100-160, НІ 50-100, НІ 30-50, пристрій для контролю</w:t>
      </w:r>
      <w:r w:rsidRPr="00184A48">
        <w:rPr>
          <w:rFonts w:ascii="Times New Roman" w:eastAsiaTheme="minorEastAsia" w:hAnsi="Times New Roman" w:cs="Times New Roman"/>
          <w:sz w:val="24"/>
          <w:szCs w:val="24"/>
          <w:vertAlign w:val="superscript"/>
          <w:lang w:val="uk-UA" w:bidi="uk-UA"/>
        </w:rPr>
        <w:t xml:space="preserve"> 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співвісності опор під вкладиші корінних підшипників, перевірна лінійка, щуп-набір №2, різьбові калібри М8, М10, М12, М14, КС 3/8", КС 3/4", скоба, лупа, ремонтне креслення блоку.</w:t>
      </w:r>
    </w:p>
    <w:p w14:paraId="7A4D1D1B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Картер коробки передач автомобіля ЗІЛ-1ЗО 130-1701015, нутроміри індикаторні НІ 100-160, НІ 50-100, НІ 30-50, НІ 18-30, різьбові калібри М10, М15, КС 3/4'', КС І", лупа, ремонтне креслення картера коробки передач.</w:t>
      </w:r>
    </w:p>
    <w:p w14:paraId="7B628D84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2. </w:t>
      </w:r>
      <w:r w:rsidRPr="00184A48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Конструктивно-технологічна характеристика</w:t>
      </w:r>
      <w:r w:rsidRPr="00184A48">
        <w:rPr>
          <w:rFonts w:ascii="Times New Roman" w:eastAsiaTheme="minorEastAsia" w:hAnsi="Times New Roman" w:cs="Times New Roman"/>
          <w:b/>
          <w:sz w:val="24"/>
          <w:szCs w:val="24"/>
          <w:lang w:val="uk-UA" w:bidi="uk-UA"/>
        </w:rPr>
        <w:t xml:space="preserve"> 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блоку циліндрі, картера колобки передач. Блок циліндрів, картер коробки передач відносяться деталей класу “тонкостінних корпусних деталей”. Виготовляються із сірого чавуну СЧ 18 твердістю НВ 170...229. Ливарні заготовки піддаються відпалюванню і старінню.</w:t>
      </w:r>
    </w:p>
    <w:p w14:paraId="0EDBF2C6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Основними конструктивними елементами являються:</w:t>
      </w:r>
    </w:p>
    <w:p w14:paraId="26FD461C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а/ блока циліндрів – стінки сорочки охолодження,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спряжувані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поверхні отворів під гільзу, втулки розподільного валу, штовхачі клапанів, гнізда під вкладиші корінних підшипників,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привалкові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поверхні під головку блоку, кришку розподільних шестерень, картер зчеплення, масляний картер тощо;</w:t>
      </w:r>
    </w:p>
    <w:p w14:paraId="5D777224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б/ картера коробки передач -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спряжувані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поверхні отворів під підшипники ведучого, проміжного, веденого валів, вісь блоку шестерень заднього холу,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привалкові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поверхні під кришку коробки передач, кришки підшипників, кріплення коробки передач до картера зчеплення тощо.</w:t>
      </w:r>
    </w:p>
    <w:p w14:paraId="4A62C457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Установчою базою блоку циліндрів є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привалкова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площина масляного картера, картера коробки передач - поверхня кріплення коробки передач до картера зчеплення.</w:t>
      </w:r>
    </w:p>
    <w:p w14:paraId="4A1321B6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Вимоги до точності розмірів блоху циліндрів і картера коробки передач в .межах 4…7 квалітетів, відхилення форми /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циліндричність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неплощ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инність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і ін./ не повинні перебільшувати 0,01...0,02 мм, відхилення розташування /непаралельність,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неперпендикулярність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і ін./ - 0,02…0,05 мм на 100 мм довжини.</w:t>
      </w:r>
    </w:p>
    <w:p w14:paraId="5B01105E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Вид, характер дефектів,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 xml:space="preserve"> </w:t>
      </w:r>
      <w:r w:rsidRPr="00184A48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способи їх усунення.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В процесі роботи на блок циліндрів, картер коробки передач діють сили тертя внутрішн</w:t>
      </w:r>
      <w:r w:rsidRPr="00184A48">
        <w:rPr>
          <w:rFonts w:ascii="Times New Roman" w:eastAsiaTheme="minorEastAsia" w:hAnsi="Times New Roman" w:cs="Times New Roman"/>
          <w:b/>
          <w:bCs/>
          <w:sz w:val="24"/>
          <w:szCs w:val="24"/>
          <w:lang w:val="uk-UA" w:bidi="uk-UA"/>
        </w:rPr>
        <w:t xml:space="preserve">і 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напруження в металі, вібрації, агресивні середовища і ін. Всі діючі фактори спричиняють зношення, порушення якості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поверхонь /задирки,  риски, кори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гування/, механічні пошкодження  /тріщини, відколи, обломи, дефекти різьб/ та відхилення розташування /непаралельність,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неперпендикулярність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, короблення тощо/.</w:t>
      </w:r>
    </w:p>
    <w:p w14:paraId="52DDCA67" w14:textId="77777777" w:rsidR="00307C91" w:rsidRPr="00184A48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lastRenderedPageBreak/>
        <w:t>Зношення, механічні та корозійні пошкодження усувають обробкою під ремонтні розміри, постановкою додаткової деталі, нарощуванням поверхонь з наступною обробкою. Деформації різного характеру ремонтують слюсарно-механічною обробкою.</w:t>
      </w:r>
    </w:p>
    <w:p w14:paraId="2BAC9252" w14:textId="2713B732" w:rsidR="00307C91" w:rsidRDefault="00307C91" w:rsidP="00307C91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3. </w:t>
      </w:r>
      <w:r w:rsidRPr="00184A48">
        <w:rPr>
          <w:rFonts w:ascii="Times New Roman" w:eastAsiaTheme="minorEastAsia" w:hAnsi="Times New Roman" w:cs="Times New Roman"/>
          <w:sz w:val="24"/>
          <w:szCs w:val="24"/>
          <w:u w:val="single"/>
          <w:lang w:val="uk-UA" w:bidi="uk-UA"/>
        </w:rPr>
        <w:t>Технічні умови.</w:t>
      </w: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Технічні умови на </w:t>
      </w:r>
      <w:proofErr w:type="spellStart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дефектацію</w:t>
      </w:r>
      <w:proofErr w:type="spellEnd"/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блоку циліндрів наведені в табл. 3.1.А, картера коробки передач в табл. 3.1.Б. Схеми роз</w:t>
      </w:r>
    </w:p>
    <w:p w14:paraId="16762FBB" w14:textId="77777777" w:rsidR="00307C91" w:rsidRPr="00184A48" w:rsidRDefault="00307C91" w:rsidP="00307C91">
      <w:pPr>
        <w:jc w:val="righ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  <w:t xml:space="preserve">3.1.А Технічні умови на </w:t>
      </w:r>
      <w:proofErr w:type="spellStart"/>
      <w:r w:rsidRPr="00184A4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  <w:t>дефектацію</w:t>
      </w:r>
      <w:proofErr w:type="spellEnd"/>
      <w:r w:rsidRPr="00184A48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  <w:t xml:space="preserve"> блоку циліндрів.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234"/>
        <w:gridCol w:w="1909"/>
        <w:gridCol w:w="657"/>
        <w:gridCol w:w="1022"/>
        <w:gridCol w:w="1231"/>
        <w:gridCol w:w="1833"/>
      </w:tblGrid>
      <w:tr w:rsidR="00307C91" w:rsidRPr="00307C91" w14:paraId="4AFF7104" w14:textId="77777777" w:rsidTr="00307C91">
        <w:trPr>
          <w:trHeight w:hRule="exact" w:val="37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1C78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Поз на рис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0D238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Назва дефекту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DAD6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Спосіб виявлення дефекту. Засоби контролю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2E47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Розміни, мм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3C070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Спосіб</w:t>
            </w:r>
          </w:p>
          <w:p w14:paraId="595A514B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усунення</w:t>
            </w:r>
          </w:p>
          <w:p w14:paraId="78ED8475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дефекту</w:t>
            </w:r>
          </w:p>
        </w:tc>
      </w:tr>
      <w:tr w:rsidR="00307C91" w:rsidRPr="00307C91" w14:paraId="6DDCFCB0" w14:textId="77777777" w:rsidTr="00307C91">
        <w:trPr>
          <w:trHeight w:hRule="exact" w:val="338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9F91A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470E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C9D66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F041C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номі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  <w:p w14:paraId="0BCD668A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наль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  <w:p w14:paraId="61E370BB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ний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8A36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допустимі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8EB7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07C91" w:rsidRPr="00307C91" w14:paraId="576B7CB8" w14:textId="77777777" w:rsidTr="00307C91">
        <w:trPr>
          <w:trHeight w:hRule="exact" w:val="516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D6CF9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E6C42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00B08B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816ED5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5ACE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без</w:t>
            </w:r>
          </w:p>
          <w:p w14:paraId="68471DB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ремонту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BE2BB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для</w:t>
            </w:r>
          </w:p>
          <w:p w14:paraId="7945CCF6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ремонту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4FFF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307C91" w:rsidRPr="00307C91" w14:paraId="4F581594" w14:textId="77777777" w:rsidTr="00307C91">
        <w:trPr>
          <w:trHeight w:hRule="exact" w:val="21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C7336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CCCAF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54F4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E703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3D4B6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3FEB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9FF3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7</w:t>
            </w:r>
          </w:p>
        </w:tc>
      </w:tr>
      <w:tr w:rsidR="00307C91" w:rsidRPr="00307C91" w14:paraId="7548D0C6" w14:textId="77777777" w:rsidTr="00307C91">
        <w:trPr>
          <w:trHeight w:hRule="exact" w:val="847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0A29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B1E54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 на площині прилягання головки циліндрів.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7465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  <w:p w14:paraId="141199E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Лупа.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A40D6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60644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B4534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ADF64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3аварити.</w:t>
            </w:r>
          </w:p>
        </w:tc>
      </w:tr>
      <w:tr w:rsidR="00307C91" w:rsidRPr="00307C91" w14:paraId="56730961" w14:textId="77777777" w:rsidTr="00307C91">
        <w:trPr>
          <w:trHeight w:hRule="exact" w:val="2083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E26C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27B0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Тріщини, які проходять через нижні перемички між циліндрами.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6BA7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  <w:p w14:paraId="693C824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Лупа.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DF0B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7CAE3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F215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F976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3аварити з приварюванням прутка на перемички.</w:t>
            </w:r>
          </w:p>
          <w:p w14:paraId="61B0CB45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Поставити стяжні шпильки на епоксидній смолі</w:t>
            </w:r>
          </w:p>
        </w:tc>
      </w:tr>
      <w:tr w:rsidR="00307C91" w:rsidRPr="00307C91" w14:paraId="1C74B4C4" w14:textId="77777777" w:rsidTr="00307C91">
        <w:trPr>
          <w:trHeight w:hRule="exact" w:val="1386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BBCF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DD4D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Тріщини, які виходять в гнізда під вкладиші корінних підшипників, гнізда під втулки розподільного валу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BB01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  <w:p w14:paraId="714E8C8F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Лупа.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4AF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02A90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DDD1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4C5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Бракувати.</w:t>
            </w:r>
          </w:p>
        </w:tc>
      </w:tr>
      <w:tr w:rsidR="00307C91" w:rsidRPr="00307C91" w14:paraId="2AE7BBBB" w14:textId="77777777" w:rsidTr="00307C91">
        <w:trPr>
          <w:trHeight w:hRule="exact" w:val="893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78810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3BA4E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 або пробоїни на стінках водяної сорочки блоку.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1282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 Гідравлічні випробування під тиском 0,3…0,4 МПа.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D2C0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F625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3E7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Які під-даються ремонту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02F1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3аварити. Поставити заплату.</w:t>
            </w:r>
          </w:p>
        </w:tc>
      </w:tr>
      <w:tr w:rsidR="00307C91" w:rsidRPr="00307C91" w14:paraId="5145946A" w14:textId="77777777" w:rsidTr="00307C91">
        <w:trPr>
          <w:trHeight w:hRule="exact" w:val="1367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9C92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6BD4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 на бокових поверхнях блок-картера, які виходять на перегородки і ребра жорсткості.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90E8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F7643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8AFA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83053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2CE00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3аварити.</w:t>
            </w:r>
          </w:p>
        </w:tc>
      </w:tr>
      <w:tr w:rsidR="00307C91" w:rsidRPr="00307C91" w14:paraId="42E322AE" w14:textId="77777777" w:rsidTr="00307C91">
        <w:trPr>
          <w:trHeight w:hRule="exact" w:val="888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5B8C1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AF3B3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Тріщини, які виходять в масляні канали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3F8A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  <w:p w14:paraId="1867550C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Лупа.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6652E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47BE9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908F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Доступ-ні для ремонту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07B9D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Поставити втулки. 3аварити.</w:t>
            </w:r>
          </w:p>
        </w:tc>
      </w:tr>
      <w:tr w:rsidR="00307C91" w:rsidRPr="00307C91" w14:paraId="32516967" w14:textId="77777777" w:rsidTr="00307C91">
        <w:trPr>
          <w:trHeight w:hRule="exact" w:val="1391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B655BD" w14:textId="77777777" w:rsidR="00307C91" w:rsidRPr="00307C91" w:rsidRDefault="00307C91" w:rsidP="00307C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3F60C" w14:textId="77777777" w:rsidR="00307C91" w:rsidRPr="00307C91" w:rsidRDefault="00307C91" w:rsidP="00307C91">
            <w:pPr>
              <w:widowControl w:val="0"/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Тріщини або обломи на 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площинах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кріплення масляного картера, 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маслоприймача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, масляного насосу.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301A7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32E9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F6FA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A81B4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A6CA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3аварити. Наплавити.</w:t>
            </w:r>
          </w:p>
        </w:tc>
      </w:tr>
      <w:tr w:rsidR="00307C91" w:rsidRPr="00307C91" w14:paraId="73429053" w14:textId="77777777" w:rsidTr="00307C91">
        <w:trPr>
          <w:trHeight w:hRule="exact" w:val="2282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55BF9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64B35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Обломи гнізд під вкладиші корінних підшипників.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FEB85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 Лінійка вимірювальна.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B4128" w14:textId="77777777" w:rsidR="00307C91" w:rsidRPr="00307C91" w:rsidRDefault="00307C91" w:rsidP="00307C91">
            <w:pPr>
              <w:widowControl w:val="0"/>
              <w:shd w:val="clear" w:color="auto" w:fill="FFFFFF"/>
              <w:tabs>
                <w:tab w:val="left" w:leader="underscore" w:pos="871"/>
                <w:tab w:val="left" w:leader="underscore" w:pos="1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F6E7A" w14:textId="77777777" w:rsidR="00307C91" w:rsidRPr="00307C91" w:rsidRDefault="00307C91" w:rsidP="00307C91">
            <w:pPr>
              <w:widowControl w:val="0"/>
              <w:shd w:val="clear" w:color="auto" w:fill="FFFFFF"/>
              <w:tabs>
                <w:tab w:val="left" w:leader="underscore" w:pos="871"/>
                <w:tab w:val="left" w:leader="underscore" w:pos="1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1B14" w14:textId="77777777" w:rsidR="00307C91" w:rsidRPr="00307C91" w:rsidRDefault="00307C91" w:rsidP="00307C91">
            <w:pPr>
              <w:widowControl w:val="0"/>
              <w:shd w:val="clear" w:color="auto" w:fill="FFFFFF"/>
              <w:tabs>
                <w:tab w:val="left" w:leader="underscore" w:pos="674"/>
                <w:tab w:val="left" w:leader="underscore" w:pos="1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Площадки до 1 см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val="uk-UA" w:eastAsia="uk-UA" w:bidi="uk-UA"/>
              </w:rPr>
              <w:t>2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і які не 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вихо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  <w:t>-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дять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на площину роз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  <w:t>’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  <w:t>єму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  <w:t>,</w:t>
            </w:r>
          </w:p>
          <w:p w14:paraId="4E81C986" w14:textId="77777777" w:rsidR="00307C91" w:rsidRPr="00307C91" w:rsidRDefault="00307C91" w:rsidP="00307C91">
            <w:pPr>
              <w:widowControl w:val="0"/>
              <w:shd w:val="clear" w:color="auto" w:fill="FFFFFF"/>
              <w:tabs>
                <w:tab w:val="left" w:leader="underscore" w:pos="674"/>
                <w:tab w:val="left" w:leader="underscore" w:pos="1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</w:pPr>
          </w:p>
          <w:p w14:paraId="641CEBCD" w14:textId="77777777" w:rsidR="00307C91" w:rsidRPr="00307C91" w:rsidRDefault="00307C91" w:rsidP="00307C91">
            <w:pPr>
              <w:widowControl w:val="0"/>
              <w:shd w:val="clear" w:color="auto" w:fill="FFFFFF"/>
              <w:tabs>
                <w:tab w:val="left" w:leader="underscore" w:pos="674"/>
                <w:tab w:val="left" w:leader="underscore" w:pos="12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Площадки до 2 см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val="uk-UA" w:eastAsia="uk-UA" w:bidi="uk-UA"/>
              </w:rPr>
              <w:t>2</w:t>
            </w: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і які 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вихо-дять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на площину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EF44F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Зачистити кромки місць обломів.</w:t>
            </w:r>
          </w:p>
          <w:p w14:paraId="3B3F5690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14:paraId="07E8A051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14:paraId="025AFA47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14:paraId="774027C4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Наплавити.</w:t>
            </w:r>
          </w:p>
        </w:tc>
      </w:tr>
      <w:tr w:rsidR="00307C91" w:rsidRPr="00307C91" w14:paraId="146F4655" w14:textId="77777777" w:rsidTr="00307C91">
        <w:trPr>
          <w:trHeight w:val="847"/>
        </w:trPr>
        <w:tc>
          <w:tcPr>
            <w:tcW w:w="27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7B650" w14:textId="77777777" w:rsidR="00307C91" w:rsidRPr="00307C91" w:rsidRDefault="00307C91" w:rsidP="00307C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A0622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Облом </w:t>
            </w:r>
            <w:proofErr w:type="spellStart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буртика</w:t>
            </w:r>
            <w:proofErr w:type="spellEnd"/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 xml:space="preserve"> колиски під ущільнення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A35D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Огляд.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08419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88AC0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FAF28" w14:textId="77777777" w:rsidR="00307C91" w:rsidRPr="00307C91" w:rsidRDefault="00307C91" w:rsidP="00307C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Franklin Gothic Heavy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—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F6F58" w14:textId="77777777" w:rsidR="00307C91" w:rsidRPr="00307C91" w:rsidRDefault="00307C91" w:rsidP="00307C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307C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 w:bidi="uk-UA"/>
              </w:rPr>
              <w:t>Наплавити.</w:t>
            </w:r>
          </w:p>
        </w:tc>
      </w:tr>
    </w:tbl>
    <w:p w14:paraId="3BA963F3" w14:textId="22C44A03" w:rsidR="00307C91" w:rsidRPr="00307C91" w:rsidRDefault="00307C91" w:rsidP="00307C91">
      <w:pPr>
        <w:spacing w:before="240"/>
        <w:jc w:val="righ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uk-UA" w:bidi="uk-UA"/>
        </w:rPr>
      </w:pPr>
      <w:r w:rsidRPr="00184A48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3.1.Б. Схеми роз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мірів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96"/>
        <w:gridCol w:w="1925"/>
        <w:gridCol w:w="2151"/>
        <w:gridCol w:w="1270"/>
        <w:gridCol w:w="968"/>
        <w:gridCol w:w="976"/>
        <w:gridCol w:w="2486"/>
      </w:tblGrid>
      <w:tr w:rsidR="00307C91" w:rsidRPr="00E063CB" w14:paraId="712AEF33" w14:textId="77777777" w:rsidTr="004E30F1">
        <w:trPr>
          <w:trHeight w:val="273"/>
        </w:trPr>
        <w:tc>
          <w:tcPr>
            <w:tcW w:w="396" w:type="dxa"/>
          </w:tcPr>
          <w:p w14:paraId="27B6273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 w:type="page"/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120AC6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14:paraId="4279F9F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5C787CB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14:paraId="15551A2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14:paraId="7CD8067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6" w:type="dxa"/>
          </w:tcPr>
          <w:p w14:paraId="067C7F4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  <w:tr w:rsidR="00307C91" w:rsidRPr="00E063CB" w14:paraId="1D47D0A8" w14:textId="77777777" w:rsidTr="004E30F1">
        <w:trPr>
          <w:trHeight w:val="981"/>
        </w:trPr>
        <w:tc>
          <w:tcPr>
            <w:tcW w:w="396" w:type="dxa"/>
          </w:tcPr>
          <w:p w14:paraId="17276AC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5" w:type="dxa"/>
          </w:tcPr>
          <w:p w14:paraId="5E37C92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гнізд під вкладиші корінних підшипників.</w:t>
            </w:r>
          </w:p>
        </w:tc>
        <w:tc>
          <w:tcPr>
            <w:tcW w:w="2151" w:type="dxa"/>
          </w:tcPr>
          <w:p w14:paraId="1D2BCE5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Нутромір індикаторний</w:t>
            </w:r>
          </w:p>
          <w:p w14:paraId="34984AF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НІ 50-100</w:t>
            </w:r>
          </w:p>
          <w:p w14:paraId="518060E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При замірі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отворів </w:t>
            </w:r>
            <w:r w:rsidRPr="00D61A8A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під вкладиші корінних підшипників.</w:t>
            </w:r>
          </w:p>
        </w:tc>
        <w:tc>
          <w:tcPr>
            <w:tcW w:w="1270" w:type="dxa"/>
          </w:tcPr>
          <w:p w14:paraId="4513990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79,5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  <w:t>+0,025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В зборі з кришками</w:t>
            </w:r>
          </w:p>
        </w:tc>
        <w:tc>
          <w:tcPr>
            <w:tcW w:w="968" w:type="dxa"/>
          </w:tcPr>
          <w:p w14:paraId="1BE3549A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79,525</w:t>
            </w:r>
          </w:p>
        </w:tc>
        <w:tc>
          <w:tcPr>
            <w:tcW w:w="976" w:type="dxa"/>
          </w:tcPr>
          <w:p w14:paraId="7B31595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79,525</w:t>
            </w:r>
          </w:p>
        </w:tc>
        <w:tc>
          <w:tcPr>
            <w:tcW w:w="2486" w:type="dxa"/>
          </w:tcPr>
          <w:p w14:paraId="2F3DE7DA" w14:textId="77777777" w:rsidR="00307C91" w:rsidRPr="00D61A8A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D61A8A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Наварити</w:t>
            </w:r>
          </w:p>
          <w:p w14:paraId="74F47055" w14:textId="77777777" w:rsidR="00307C91" w:rsidRPr="00D61A8A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D61A8A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розточити</w:t>
            </w:r>
          </w:p>
          <w:p w14:paraId="60865A6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D61A8A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обробкою під номінальний розмір.</w:t>
            </w:r>
          </w:p>
        </w:tc>
      </w:tr>
      <w:tr w:rsidR="00307C91" w:rsidRPr="00E063CB" w14:paraId="1C0AE996" w14:textId="77777777" w:rsidTr="004E30F1">
        <w:trPr>
          <w:trHeight w:val="720"/>
        </w:trPr>
        <w:tc>
          <w:tcPr>
            <w:tcW w:w="396" w:type="dxa"/>
            <w:vMerge w:val="restart"/>
          </w:tcPr>
          <w:p w14:paraId="671C745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25" w:type="dxa"/>
            <w:vMerge w:val="restart"/>
          </w:tcPr>
          <w:p w14:paraId="49A7964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Відхилення від співвісності гнізд під вкладиші корінних підшипників</w:t>
            </w:r>
          </w:p>
        </w:tc>
        <w:tc>
          <w:tcPr>
            <w:tcW w:w="2151" w:type="dxa"/>
            <w:vMerge w:val="restart"/>
          </w:tcPr>
          <w:p w14:paraId="3D3DF55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Пристрій для вимірювання співвісності.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14:paraId="0CFAF87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Допуск співвісності в радіусному вираженні</w:t>
            </w:r>
          </w:p>
        </w:tc>
        <w:tc>
          <w:tcPr>
            <w:tcW w:w="2486" w:type="dxa"/>
            <w:vMerge w:val="restart"/>
          </w:tcPr>
          <w:p w14:paraId="131B5EA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Наварити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розточити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обробкою під номінальний розмір.</w:t>
            </w:r>
          </w:p>
        </w:tc>
      </w:tr>
      <w:tr w:rsidR="00307C91" w:rsidRPr="00E063CB" w14:paraId="7BAA3A02" w14:textId="77777777" w:rsidTr="004E30F1">
        <w:trPr>
          <w:trHeight w:val="671"/>
        </w:trPr>
        <w:tc>
          <w:tcPr>
            <w:tcW w:w="396" w:type="dxa"/>
            <w:vMerge/>
          </w:tcPr>
          <w:p w14:paraId="69AFEC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1D1CF92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7B8EFDD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7AE306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083918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42736F3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0,05</w:t>
            </w:r>
          </w:p>
          <w:p w14:paraId="617D81A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vMerge/>
          </w:tcPr>
          <w:p w14:paraId="26E35E6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26B6782D" w14:textId="77777777" w:rsidTr="004E30F1">
        <w:trPr>
          <w:trHeight w:val="406"/>
        </w:trPr>
        <w:tc>
          <w:tcPr>
            <w:tcW w:w="396" w:type="dxa"/>
            <w:vMerge w:val="restart"/>
          </w:tcPr>
          <w:p w14:paraId="4C806AB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5" w:type="dxa"/>
            <w:vMerge w:val="restart"/>
          </w:tcPr>
          <w:p w14:paraId="7589EDD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рацювання отворів втулок під встановлення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розподільного валу</w:t>
            </w:r>
          </w:p>
          <w:p w14:paraId="4775BC9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-передньої, середньої, проміжних;</w:t>
            </w:r>
          </w:p>
          <w:p w14:paraId="0AD0363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-задньої.</w:t>
            </w:r>
          </w:p>
        </w:tc>
        <w:tc>
          <w:tcPr>
            <w:tcW w:w="2151" w:type="dxa"/>
            <w:vMerge w:val="restart"/>
          </w:tcPr>
          <w:p w14:paraId="70BD65A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Нутромір індикаторний </w:t>
            </w:r>
          </w:p>
          <w:p w14:paraId="2CF27B6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НІ 50-100;</w:t>
            </w:r>
          </w:p>
          <w:p w14:paraId="6D76263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68A5047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1DA9261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НІ 30-50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D26360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51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+0,03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+0,01</m:t>
                    </m:r>
                  </m:sup>
                </m:sSubSup>
              </m:oMath>
            </m:oMathPara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DF3EBA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51,07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1A3832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51,07</w:t>
            </w:r>
          </w:p>
        </w:tc>
        <w:tc>
          <w:tcPr>
            <w:tcW w:w="2486" w:type="dxa"/>
            <w:vMerge w:val="restart"/>
          </w:tcPr>
          <w:p w14:paraId="08EAB50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Замінити втулки і обробити під номінальній або ремонтний розмір.</w:t>
            </w:r>
          </w:p>
          <w:p w14:paraId="2F2F82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14:paraId="4CBA6B6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Також.</w:t>
            </w:r>
          </w:p>
        </w:tc>
      </w:tr>
      <w:tr w:rsidR="00307C91" w:rsidRPr="00E063CB" w14:paraId="132DCF8F" w14:textId="77777777" w:rsidTr="004E30F1">
        <w:trPr>
          <w:trHeight w:val="330"/>
        </w:trPr>
        <w:tc>
          <w:tcPr>
            <w:tcW w:w="396" w:type="dxa"/>
            <w:vMerge/>
          </w:tcPr>
          <w:p w14:paraId="412D2D9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7D39D7A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2F12586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5B59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Ремонтні розміри:</w:t>
            </w:r>
          </w:p>
          <w:p w14:paraId="3AA443B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50,8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+0,07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2-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50,6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+0,07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  <w:p w14:paraId="4AC67FA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50,4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+0,07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4-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50,2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+0,07</m:t>
                  </m:r>
                </m:sup>
              </m:sSubSup>
            </m:oMath>
          </w:p>
        </w:tc>
        <w:tc>
          <w:tcPr>
            <w:tcW w:w="2486" w:type="dxa"/>
            <w:vMerge/>
          </w:tcPr>
          <w:p w14:paraId="3C1BD7A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72B3D8FB" w14:textId="77777777" w:rsidTr="004E30F1">
        <w:trPr>
          <w:trHeight w:val="315"/>
        </w:trPr>
        <w:tc>
          <w:tcPr>
            <w:tcW w:w="396" w:type="dxa"/>
            <w:vMerge/>
          </w:tcPr>
          <w:p w14:paraId="5F804DE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5839968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345052F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88BC81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45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+0,025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+0,06</m:t>
                    </m:r>
                  </m:sup>
                </m:sSubSup>
              </m:oMath>
            </m:oMathPara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7587E59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45,06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797F6D0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45,06</w:t>
            </w:r>
          </w:p>
        </w:tc>
        <w:tc>
          <w:tcPr>
            <w:tcW w:w="2486" w:type="dxa"/>
            <w:vMerge/>
          </w:tcPr>
          <w:p w14:paraId="2887898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0F655092" w14:textId="77777777" w:rsidTr="004E30F1">
        <w:trPr>
          <w:trHeight w:val="315"/>
        </w:trPr>
        <w:tc>
          <w:tcPr>
            <w:tcW w:w="396" w:type="dxa"/>
            <w:vMerge/>
          </w:tcPr>
          <w:p w14:paraId="7898065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7B3782C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1BA10A6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</w:tcBorders>
          </w:tcPr>
          <w:p w14:paraId="0C18B98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Ремонтні розміри:</w:t>
            </w:r>
          </w:p>
          <w:p w14:paraId="2B916A8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44,8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2-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44,6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  <w:p w14:paraId="04B0564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44,4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b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4-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44,2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+0,025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+0,06</m:t>
                  </m:r>
                </m:sup>
              </m:sSubSup>
            </m:oMath>
          </w:p>
        </w:tc>
        <w:tc>
          <w:tcPr>
            <w:tcW w:w="2486" w:type="dxa"/>
            <w:vMerge/>
          </w:tcPr>
          <w:p w14:paraId="7BEB5D4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7C91" w:rsidRPr="00E063CB" w14:paraId="1A39BE33" w14:textId="77777777" w:rsidTr="004E30F1">
        <w:trPr>
          <w:trHeight w:val="690"/>
        </w:trPr>
        <w:tc>
          <w:tcPr>
            <w:tcW w:w="396" w:type="dxa"/>
            <w:vMerge w:val="restart"/>
          </w:tcPr>
          <w:p w14:paraId="3CD0AF4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925" w:type="dxa"/>
            <w:vMerge w:val="restart"/>
          </w:tcPr>
          <w:p w14:paraId="2CE21B0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отворів під штовхачі клапанів.</w:t>
            </w:r>
          </w:p>
        </w:tc>
        <w:tc>
          <w:tcPr>
            <w:tcW w:w="2151" w:type="dxa"/>
            <w:vMerge w:val="restart"/>
          </w:tcPr>
          <w:p w14:paraId="7932BCC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Нутромір індикаторний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НІ 30-50.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A80AF6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  <w:t>+0,025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25D4DF9A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25,04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7292D5B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25,04</w:t>
            </w:r>
          </w:p>
        </w:tc>
        <w:tc>
          <w:tcPr>
            <w:tcW w:w="2486" w:type="dxa"/>
            <w:vMerge w:val="restart"/>
          </w:tcPr>
          <w:p w14:paraId="061E6F6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Обробити під ремонтний розмір розверткою.</w:t>
            </w:r>
          </w:p>
          <w:p w14:paraId="58A3AD3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Поставити втулку.</w:t>
            </w:r>
          </w:p>
        </w:tc>
      </w:tr>
      <w:tr w:rsidR="00307C91" w:rsidRPr="00E063CB" w14:paraId="42DA0897" w14:textId="77777777" w:rsidTr="004E30F1">
        <w:trPr>
          <w:trHeight w:val="705"/>
        </w:trPr>
        <w:tc>
          <w:tcPr>
            <w:tcW w:w="396" w:type="dxa"/>
            <w:vMerge/>
          </w:tcPr>
          <w:p w14:paraId="3442777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74EE721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7A9ABB7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</w:tcBorders>
          </w:tcPr>
          <w:p w14:paraId="1D175EA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Ремонтні розміри:</w:t>
            </w:r>
          </w:p>
          <w:p w14:paraId="24965DE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25,1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+0,023</m:t>
                  </m:r>
                </m:sup>
              </m:s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2-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25,2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+0,023</m:t>
                  </m:r>
                </m:sup>
              </m:s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  <w:p w14:paraId="379DDDE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25,3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+0,023</m:t>
                  </m:r>
                </m:sup>
              </m:s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4-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25,4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+0,023</m:t>
                  </m:r>
                </m:sup>
              </m:sSup>
            </m:oMath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55F4F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25,5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+0,023</m:t>
                  </m:r>
                </m:sup>
              </m:sSup>
            </m:oMath>
          </w:p>
        </w:tc>
        <w:tc>
          <w:tcPr>
            <w:tcW w:w="2486" w:type="dxa"/>
            <w:vMerge/>
          </w:tcPr>
          <w:p w14:paraId="02A303E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7C91" w:rsidRPr="00E063CB" w14:paraId="6EF7A928" w14:textId="77777777" w:rsidTr="004E30F1">
        <w:trPr>
          <w:trHeight w:val="592"/>
        </w:trPr>
        <w:tc>
          <w:tcPr>
            <w:tcW w:w="396" w:type="dxa"/>
            <w:vMerge w:val="restart"/>
          </w:tcPr>
          <w:p w14:paraId="418867D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25" w:type="dxa"/>
            <w:vMerge w:val="restart"/>
          </w:tcPr>
          <w:p w14:paraId="2905866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Короблення </w:t>
            </w:r>
            <w:proofErr w:type="spellStart"/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площин</w:t>
            </w:r>
            <w:proofErr w:type="spellEnd"/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прилягання головок циліндрів.</w:t>
            </w:r>
          </w:p>
        </w:tc>
        <w:tc>
          <w:tcPr>
            <w:tcW w:w="2151" w:type="dxa"/>
            <w:vMerge w:val="restart"/>
          </w:tcPr>
          <w:p w14:paraId="5402776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Лінійка перевірна. Щуп; набір №2. Пристрій-кантувач.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DAAD37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1D80BAB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0,20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E885AB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0,20</w:t>
            </w:r>
          </w:p>
        </w:tc>
        <w:tc>
          <w:tcPr>
            <w:tcW w:w="2486" w:type="dxa"/>
            <w:vMerge w:val="restart"/>
          </w:tcPr>
          <w:p w14:paraId="000C327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Обробити поверхню до виведення дефекту.</w:t>
            </w:r>
          </w:p>
        </w:tc>
      </w:tr>
      <w:tr w:rsidR="00307C91" w:rsidRPr="00E063CB" w14:paraId="03B2145F" w14:textId="77777777" w:rsidTr="004E30F1">
        <w:trPr>
          <w:trHeight w:val="660"/>
        </w:trPr>
        <w:tc>
          <w:tcPr>
            <w:tcW w:w="396" w:type="dxa"/>
            <w:vMerge/>
          </w:tcPr>
          <w:p w14:paraId="2E2165C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52499F4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6D6FBAB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</w:tcBorders>
          </w:tcPr>
          <w:p w14:paraId="725B9FA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Розмір Б 294,8 мм</w:t>
            </w:r>
          </w:p>
        </w:tc>
        <w:tc>
          <w:tcPr>
            <w:tcW w:w="2486" w:type="dxa"/>
            <w:vMerge/>
          </w:tcPr>
          <w:p w14:paraId="4007BB8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1BAD6115" w14:textId="77777777" w:rsidTr="004E30F1">
        <w:trPr>
          <w:trHeight w:val="465"/>
        </w:trPr>
        <w:tc>
          <w:tcPr>
            <w:tcW w:w="396" w:type="dxa"/>
            <w:vMerge w:val="restart"/>
          </w:tcPr>
          <w:p w14:paraId="61C42A5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5" w:type="dxa"/>
            <w:vMerge w:val="restart"/>
          </w:tcPr>
          <w:p w14:paraId="3D98734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торце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вих поверхонь передньої стінки блока під ущільнюючі півкільця.</w:t>
            </w:r>
          </w:p>
        </w:tc>
        <w:tc>
          <w:tcPr>
            <w:tcW w:w="2151" w:type="dxa"/>
            <w:vMerge w:val="restart"/>
          </w:tcPr>
          <w:p w14:paraId="1C8ACBA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Скоба.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14:paraId="13B27D6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Відстань між торце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вими поверхнями:</w:t>
            </w:r>
          </w:p>
        </w:tc>
        <w:tc>
          <w:tcPr>
            <w:tcW w:w="2486" w:type="dxa"/>
            <w:vMerge w:val="restart"/>
          </w:tcPr>
          <w:p w14:paraId="418104A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Обробити під ремонтний розмір.</w:t>
            </w:r>
          </w:p>
          <w:p w14:paraId="0D9C2B4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Відновити нарощуванням і обробкою.</w:t>
            </w:r>
          </w:p>
          <w:p w14:paraId="3B35D80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7C91" w:rsidRPr="00E063CB" w14:paraId="38D820C8" w14:textId="77777777" w:rsidTr="004E30F1">
        <w:trPr>
          <w:trHeight w:val="495"/>
        </w:trPr>
        <w:tc>
          <w:tcPr>
            <w:tcW w:w="396" w:type="dxa"/>
            <w:vMerge/>
          </w:tcPr>
          <w:p w14:paraId="6572229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66A6E5E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2BCDEA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15B613F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26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uk-UA"/>
              </w:rPr>
              <w:t>-0,025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529B65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25,9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C45E56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486" w:type="dxa"/>
            <w:vMerge/>
          </w:tcPr>
          <w:p w14:paraId="107D7AA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2F27BD47" w14:textId="77777777" w:rsidTr="004E30F1">
        <w:trPr>
          <w:trHeight w:val="720"/>
        </w:trPr>
        <w:tc>
          <w:tcPr>
            <w:tcW w:w="396" w:type="dxa"/>
            <w:vMerge/>
          </w:tcPr>
          <w:p w14:paraId="566E5BA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62BE8B4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42F10CF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auto"/>
            </w:tcBorders>
          </w:tcPr>
          <w:p w14:paraId="348A223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Ремонтні розміри:</w:t>
            </w:r>
          </w:p>
          <w:p w14:paraId="325049D7" w14:textId="77777777" w:rsidR="00307C91" w:rsidRPr="009D2208" w:rsidRDefault="00307C91" w:rsidP="004E30F1">
            <w:pPr>
              <w:pStyle w:val="a7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25,6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uk-UA"/>
              </w:rPr>
              <w:t>-0,025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2-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25,2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uk-UA"/>
              </w:rPr>
              <w:t>-0,025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  <w:p w14:paraId="4D2D821D" w14:textId="77777777" w:rsidR="00307C91" w:rsidRPr="009D2208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24,8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uk-UA"/>
              </w:rPr>
              <w:t>-0,045</w:t>
            </w:r>
            <w:r w:rsidRPr="009D2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2486" w:type="dxa"/>
            <w:vMerge/>
          </w:tcPr>
          <w:p w14:paraId="65E5778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610F27F2" w14:textId="77777777" w:rsidTr="004E30F1">
        <w:trPr>
          <w:trHeight w:val="1403"/>
        </w:trPr>
        <w:tc>
          <w:tcPr>
            <w:tcW w:w="396" w:type="dxa"/>
          </w:tcPr>
          <w:p w14:paraId="229525F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5" w:type="dxa"/>
          </w:tcPr>
          <w:p w14:paraId="4EDE07B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отворів посадочних поясків під гільзу:</w:t>
            </w:r>
          </w:p>
          <w:p w14:paraId="36D9C30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-верхнього;</w:t>
            </w:r>
          </w:p>
          <w:p w14:paraId="5B1CBAF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-нижнього.</w:t>
            </w:r>
          </w:p>
        </w:tc>
        <w:tc>
          <w:tcPr>
            <w:tcW w:w="2151" w:type="dxa"/>
          </w:tcPr>
          <w:p w14:paraId="783C74A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Нутромір індикаторний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НІ 100-500</w:t>
            </w:r>
          </w:p>
        </w:tc>
        <w:tc>
          <w:tcPr>
            <w:tcW w:w="1270" w:type="dxa"/>
          </w:tcPr>
          <w:p w14:paraId="425356D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125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  <w:t>+0,04</w:t>
            </w:r>
          </w:p>
          <w:p w14:paraId="1236ACC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122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uk-UA"/>
              </w:rPr>
              <w:t>+0,04</w:t>
            </w:r>
          </w:p>
        </w:tc>
        <w:tc>
          <w:tcPr>
            <w:tcW w:w="968" w:type="dxa"/>
          </w:tcPr>
          <w:p w14:paraId="568E224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125,06</w:t>
            </w:r>
          </w:p>
          <w:p w14:paraId="25C5160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122,06</w:t>
            </w:r>
          </w:p>
        </w:tc>
        <w:tc>
          <w:tcPr>
            <w:tcW w:w="976" w:type="dxa"/>
          </w:tcPr>
          <w:p w14:paraId="14EA81B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  <w:p w14:paraId="037E9F9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6" w:type="dxa"/>
          </w:tcPr>
          <w:p w14:paraId="2BBD75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Бракувати при розмірі більше :</w:t>
            </w:r>
          </w:p>
          <w:p w14:paraId="1E5DA67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125,06мм;</w:t>
            </w:r>
          </w:p>
          <w:p w14:paraId="09C837B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122,06мм.</w:t>
            </w:r>
          </w:p>
        </w:tc>
      </w:tr>
      <w:tr w:rsidR="00307C91" w:rsidRPr="00E063CB" w14:paraId="3B9F691B" w14:textId="77777777" w:rsidTr="004E30F1">
        <w:trPr>
          <w:trHeight w:val="1268"/>
        </w:trPr>
        <w:tc>
          <w:tcPr>
            <w:tcW w:w="396" w:type="dxa"/>
          </w:tcPr>
          <w:p w14:paraId="1D7C6A6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25" w:type="dxa"/>
          </w:tcPr>
          <w:p w14:paraId="490A8BB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різьб: М8-6h; М10-6h; М12-6h; М14-6h; М16-6h; М22-6h; М22-15;</w:t>
            </w:r>
          </w:p>
        </w:tc>
        <w:tc>
          <w:tcPr>
            <w:tcW w:w="2151" w:type="dxa"/>
          </w:tcPr>
          <w:p w14:paraId="349EE25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Огляд.</w:t>
            </w:r>
          </w:p>
          <w:p w14:paraId="4E5D1A6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Різьбові калібри.</w:t>
            </w:r>
          </w:p>
        </w:tc>
        <w:tc>
          <w:tcPr>
            <w:tcW w:w="1270" w:type="dxa"/>
          </w:tcPr>
          <w:p w14:paraId="64CB17F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8" w:type="dxa"/>
          </w:tcPr>
          <w:p w14:paraId="5E6264AC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6" w:type="dxa"/>
          </w:tcPr>
          <w:p w14:paraId="7FBCF87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86" w:type="dxa"/>
          </w:tcPr>
          <w:p w14:paraId="0F93FEB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Ремонтувати під номінальний чи ремонтний розмір.</w:t>
            </w:r>
          </w:p>
        </w:tc>
      </w:tr>
      <w:tr w:rsidR="00307C91" w:rsidRPr="00E063CB" w14:paraId="502191EC" w14:textId="77777777" w:rsidTr="004E30F1">
        <w:trPr>
          <w:trHeight w:val="1268"/>
        </w:trPr>
        <w:tc>
          <w:tcPr>
            <w:tcW w:w="396" w:type="dxa"/>
          </w:tcPr>
          <w:p w14:paraId="6D8FF43E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699DAA5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1" w:type="dxa"/>
          </w:tcPr>
          <w:p w14:paraId="1765C9FB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37025416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</w:tcPr>
          <w:p w14:paraId="6F60A8C8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14:paraId="6A37E3DC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</w:tcPr>
          <w:p w14:paraId="7D2D5BA4" w14:textId="77777777" w:rsidR="00307C91" w:rsidRPr="00E063CB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2E7E194" w14:textId="77777777" w:rsidR="00307C91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04C5B240" w14:textId="77777777" w:rsidR="00307C91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0DC3D6" wp14:editId="4B1E9E51">
            <wp:extent cx="5940425" cy="2485701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5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C5E64" wp14:editId="1FAE21C9">
            <wp:extent cx="5937885" cy="3651885"/>
            <wp:effectExtent l="0" t="0" r="571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65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3FFAB" w14:textId="77777777" w:rsidR="00307C91" w:rsidRPr="00E063CB" w:rsidRDefault="00307C91" w:rsidP="00307C91">
      <w:pPr>
        <w:rPr>
          <w:rFonts w:ascii="Calibri" w:eastAsia="Calibri" w:hAnsi="Calibri" w:cs="Times New Roman"/>
          <w:lang w:val="uk-UA"/>
        </w:rPr>
      </w:pPr>
      <w:r w:rsidRPr="003E784E">
        <w:rPr>
          <w:rFonts w:ascii="Times New Roman" w:eastAsia="Calibri" w:hAnsi="Times New Roman" w:cs="Times New Roman"/>
          <w:lang w:val="uk-UA"/>
        </w:rPr>
        <w:t>Рис.3.1 Схема замірів корпусних деталей</w:t>
      </w:r>
      <w:r w:rsidRPr="00E063CB">
        <w:rPr>
          <w:rFonts w:ascii="Calibri" w:eastAsia="Calibri" w:hAnsi="Calibri" w:cs="Times New Roman"/>
          <w:lang w:val="uk-UA"/>
        </w:rPr>
        <w:t>:</w:t>
      </w:r>
    </w:p>
    <w:p w14:paraId="4484025C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а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) блоку циліндрів двигуна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автомобіля 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ЗІЛ-130;</w:t>
      </w:r>
    </w:p>
    <w:p w14:paraId="175B68F4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б) картера коробки передач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автомобіля 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ЗІЛ-130;</w:t>
      </w:r>
    </w:p>
    <w:p w14:paraId="28D610D7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Заміри поверхонь отворів під вкладиші корінних підшипників проводити в трьох </w:t>
      </w:r>
      <w:proofErr w:type="spellStart"/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площинах</w:t>
      </w:r>
      <w:proofErr w:type="spellEnd"/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(поз.1).</w:t>
      </w:r>
    </w:p>
    <w:p w14:paraId="3750C46C" w14:textId="77777777" w:rsidR="00307C91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br w:type="page"/>
      </w:r>
    </w:p>
    <w:p w14:paraId="308C458B" w14:textId="77777777" w:rsidR="00307C91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lastRenderedPageBreak/>
        <w:t xml:space="preserve">Заміри поверхонь отворів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картера під поверхні встановлених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деталей (втулок, підшипників) проводити у двох </w:t>
      </w:r>
      <w:proofErr w:type="spellStart"/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взаємноперпендикулярних</w:t>
      </w:r>
      <w:proofErr w:type="spellEnd"/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площинах</w:t>
      </w:r>
      <w:proofErr w:type="spellEnd"/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665"/>
        <w:gridCol w:w="2340"/>
        <w:gridCol w:w="1774"/>
        <w:gridCol w:w="1177"/>
        <w:gridCol w:w="1068"/>
        <w:gridCol w:w="1068"/>
        <w:gridCol w:w="2222"/>
      </w:tblGrid>
      <w:tr w:rsidR="00307C91" w:rsidRPr="00E063CB" w14:paraId="23F1B0AD" w14:textId="77777777" w:rsidTr="004E30F1">
        <w:trPr>
          <w:trHeight w:val="533"/>
        </w:trPr>
        <w:tc>
          <w:tcPr>
            <w:tcW w:w="665" w:type="dxa"/>
            <w:vMerge w:val="restart"/>
          </w:tcPr>
          <w:p w14:paraId="1054A4F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Поз.</w:t>
            </w:r>
          </w:p>
          <w:p w14:paraId="1A49457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</w:t>
            </w:r>
          </w:p>
          <w:p w14:paraId="07F9ABE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Рис.</w:t>
            </w:r>
          </w:p>
        </w:tc>
        <w:tc>
          <w:tcPr>
            <w:tcW w:w="2340" w:type="dxa"/>
            <w:vMerge w:val="restart"/>
          </w:tcPr>
          <w:p w14:paraId="1043E0E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Назва дефекту</w:t>
            </w:r>
          </w:p>
        </w:tc>
        <w:tc>
          <w:tcPr>
            <w:tcW w:w="1774" w:type="dxa"/>
            <w:vMerge w:val="restart"/>
          </w:tcPr>
          <w:p w14:paraId="1717FC0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Спосіб виявлення дефекту.</w:t>
            </w:r>
          </w:p>
          <w:p w14:paraId="0E2C408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Засоби контролю.</w:t>
            </w:r>
          </w:p>
        </w:tc>
        <w:tc>
          <w:tcPr>
            <w:tcW w:w="3313" w:type="dxa"/>
            <w:gridSpan w:val="3"/>
            <w:tcBorders>
              <w:bottom w:val="single" w:sz="4" w:space="0" w:color="auto"/>
            </w:tcBorders>
          </w:tcPr>
          <w:p w14:paraId="52B5614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Розміри, мм</w:t>
            </w:r>
          </w:p>
        </w:tc>
        <w:tc>
          <w:tcPr>
            <w:tcW w:w="2222" w:type="dxa"/>
            <w:vMerge w:val="restart"/>
          </w:tcPr>
          <w:p w14:paraId="1361A48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Спосіб усунення дефекту</w:t>
            </w:r>
          </w:p>
        </w:tc>
      </w:tr>
      <w:tr w:rsidR="00307C91" w:rsidRPr="00E063CB" w14:paraId="0C85E3D8" w14:textId="77777777" w:rsidTr="004E30F1">
        <w:trPr>
          <w:trHeight w:val="360"/>
        </w:trPr>
        <w:tc>
          <w:tcPr>
            <w:tcW w:w="665" w:type="dxa"/>
            <w:vMerge/>
          </w:tcPr>
          <w:p w14:paraId="0A13AA5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</w:tcPr>
          <w:p w14:paraId="2F7A04F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  <w:vMerge/>
          </w:tcPr>
          <w:p w14:paraId="771CAD1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14:paraId="22299B95" w14:textId="77777777" w:rsidR="00307C91" w:rsidRPr="002E4B61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номі</w:t>
            </w:r>
            <w:proofErr w:type="spellEnd"/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  <w:p w14:paraId="31427494" w14:textId="77777777" w:rsidR="00307C91" w:rsidRPr="002E4B61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наль</w:t>
            </w:r>
            <w:proofErr w:type="spellEnd"/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  <w:p w14:paraId="5D7F164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ний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56FD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допустимі</w:t>
            </w:r>
          </w:p>
        </w:tc>
        <w:tc>
          <w:tcPr>
            <w:tcW w:w="2222" w:type="dxa"/>
            <w:vMerge/>
          </w:tcPr>
          <w:p w14:paraId="6D2055B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42C5D179" w14:textId="77777777" w:rsidTr="004E30F1">
        <w:trPr>
          <w:trHeight w:val="435"/>
        </w:trPr>
        <w:tc>
          <w:tcPr>
            <w:tcW w:w="665" w:type="dxa"/>
            <w:vMerge/>
          </w:tcPr>
          <w:p w14:paraId="0782812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</w:tcPr>
          <w:p w14:paraId="34A18B0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  <w:vMerge/>
          </w:tcPr>
          <w:p w14:paraId="345FB84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vMerge/>
          </w:tcPr>
          <w:p w14:paraId="572C633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5CE7FBE4" w14:textId="77777777" w:rsidR="00307C91" w:rsidRPr="002E4B61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без</w:t>
            </w:r>
          </w:p>
          <w:p w14:paraId="4AB746C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7422F7D0" w14:textId="77777777" w:rsidR="00307C91" w:rsidRPr="002E4B61" w:rsidRDefault="00307C91" w:rsidP="004E30F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для</w:t>
            </w:r>
          </w:p>
          <w:p w14:paraId="7C89D74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2222" w:type="dxa"/>
            <w:vMerge/>
          </w:tcPr>
          <w:p w14:paraId="4F13B9A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7C91" w:rsidRPr="00E063CB" w14:paraId="3A069E68" w14:textId="77777777" w:rsidTr="004E30F1">
        <w:tc>
          <w:tcPr>
            <w:tcW w:w="665" w:type="dxa"/>
          </w:tcPr>
          <w:p w14:paraId="3A01E35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0" w:type="dxa"/>
          </w:tcPr>
          <w:p w14:paraId="757AD53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74" w:type="dxa"/>
          </w:tcPr>
          <w:p w14:paraId="0452BF0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77" w:type="dxa"/>
          </w:tcPr>
          <w:p w14:paraId="757748C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68" w:type="dxa"/>
          </w:tcPr>
          <w:p w14:paraId="7C30074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68" w:type="dxa"/>
          </w:tcPr>
          <w:p w14:paraId="599535D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22" w:type="dxa"/>
          </w:tcPr>
          <w:p w14:paraId="4C3F78B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07C91" w:rsidRPr="00E063CB" w14:paraId="4CD73C05" w14:textId="77777777" w:rsidTr="004E30F1">
        <w:trPr>
          <w:trHeight w:val="1282"/>
        </w:trPr>
        <w:tc>
          <w:tcPr>
            <w:tcW w:w="665" w:type="dxa"/>
          </w:tcPr>
          <w:p w14:paraId="2AF7CFC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40" w:type="dxa"/>
          </w:tcPr>
          <w:p w14:paraId="7FEAD08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Дефект</w:t>
            </w:r>
            <w:r w:rsidRPr="003E784E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поверхонь отворів під вкладиші корінних підшипників</w:t>
            </w:r>
          </w:p>
        </w:tc>
        <w:tc>
          <w:tcPr>
            <w:tcW w:w="1774" w:type="dxa"/>
          </w:tcPr>
          <w:p w14:paraId="6E4E663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177" w:type="dxa"/>
          </w:tcPr>
          <w:p w14:paraId="50B52FF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51FDEFA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15E0644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22" w:type="dxa"/>
          </w:tcPr>
          <w:p w14:paraId="5C7342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Бракувати</w:t>
            </w:r>
          </w:p>
        </w:tc>
      </w:tr>
      <w:tr w:rsidR="00307C91" w:rsidRPr="00E063CB" w14:paraId="018EDBD5" w14:textId="77777777" w:rsidTr="004E30F1">
        <w:trPr>
          <w:trHeight w:val="1116"/>
        </w:trPr>
        <w:tc>
          <w:tcPr>
            <w:tcW w:w="665" w:type="dxa"/>
          </w:tcPr>
          <w:p w14:paraId="78265B76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40" w:type="dxa"/>
          </w:tcPr>
          <w:p w14:paraId="728FC14A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Тріщини на картері.</w:t>
            </w:r>
          </w:p>
        </w:tc>
        <w:tc>
          <w:tcPr>
            <w:tcW w:w="1774" w:type="dxa"/>
          </w:tcPr>
          <w:p w14:paraId="0FF724CE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Огляд.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br/>
              <w:t>Лупа.</w:t>
            </w:r>
          </w:p>
        </w:tc>
        <w:tc>
          <w:tcPr>
            <w:tcW w:w="1177" w:type="dxa"/>
          </w:tcPr>
          <w:p w14:paraId="174B9C2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4AB12E53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0A4AF08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22" w:type="dxa"/>
          </w:tcPr>
          <w:p w14:paraId="77FB5F9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Заварити, зашпарувати епоксидною композицією. Бракувати при проходженні тріщини через два вушка або отвори під підшипники і вісь шестернею заднього ходу.</w:t>
            </w:r>
          </w:p>
        </w:tc>
      </w:tr>
      <w:tr w:rsidR="00307C91" w:rsidRPr="00E063CB" w14:paraId="5C106E5C" w14:textId="77777777" w:rsidTr="004E30F1">
        <w:trPr>
          <w:trHeight w:val="976"/>
        </w:trPr>
        <w:tc>
          <w:tcPr>
            <w:tcW w:w="665" w:type="dxa"/>
          </w:tcPr>
          <w:p w14:paraId="609421D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40" w:type="dxa"/>
          </w:tcPr>
          <w:p w14:paraId="2DE410ED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Обломи вушок кріплення картера.</w:t>
            </w:r>
          </w:p>
        </w:tc>
        <w:tc>
          <w:tcPr>
            <w:tcW w:w="1774" w:type="dxa"/>
          </w:tcPr>
          <w:p w14:paraId="216A19C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Огляд.</w:t>
            </w:r>
          </w:p>
        </w:tc>
        <w:tc>
          <w:tcPr>
            <w:tcW w:w="1177" w:type="dxa"/>
          </w:tcPr>
          <w:p w14:paraId="7E6BE4A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0C2F89BA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8" w:type="dxa"/>
          </w:tcPr>
          <w:p w14:paraId="16C35AB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222" w:type="dxa"/>
          </w:tcPr>
          <w:p w14:paraId="5F7D1160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Заварити. Бракувати при обломах, що захвачують тіло картера , більше одного вушка.</w:t>
            </w:r>
          </w:p>
        </w:tc>
      </w:tr>
      <w:tr w:rsidR="00307C91" w:rsidRPr="00E063CB" w14:paraId="0822632F" w14:textId="77777777" w:rsidTr="004E30F1">
        <w:trPr>
          <w:trHeight w:val="1274"/>
        </w:trPr>
        <w:tc>
          <w:tcPr>
            <w:tcW w:w="665" w:type="dxa"/>
          </w:tcPr>
          <w:p w14:paraId="7D669B2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40" w:type="dxa"/>
          </w:tcPr>
          <w:p w14:paraId="645A4DC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Спрацювання отворів під встановлення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ведучого валу.</w:t>
            </w:r>
          </w:p>
        </w:tc>
        <w:tc>
          <w:tcPr>
            <w:tcW w:w="1774" w:type="dxa"/>
          </w:tcPr>
          <w:p w14:paraId="7766B0D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Нутромір індикаторний </w:t>
            </w:r>
          </w:p>
          <w:p w14:paraId="399A46D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НІ 100-160</w:t>
            </w:r>
          </w:p>
        </w:tc>
        <w:tc>
          <w:tcPr>
            <w:tcW w:w="1177" w:type="dxa"/>
          </w:tcPr>
          <w:p w14:paraId="6E9CD5A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110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-0,012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+0,008</m:t>
                    </m:r>
                  </m:sup>
                </m:sSubSup>
              </m:oMath>
            </m:oMathPara>
          </w:p>
        </w:tc>
        <w:tc>
          <w:tcPr>
            <w:tcW w:w="1068" w:type="dxa"/>
          </w:tcPr>
          <w:p w14:paraId="11BDA4A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110,05</w:t>
            </w:r>
          </w:p>
        </w:tc>
        <w:tc>
          <w:tcPr>
            <w:tcW w:w="1068" w:type="dxa"/>
          </w:tcPr>
          <w:p w14:paraId="3361DEF4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110,05</w:t>
            </w:r>
          </w:p>
        </w:tc>
        <w:tc>
          <w:tcPr>
            <w:tcW w:w="2222" w:type="dxa"/>
          </w:tcPr>
          <w:p w14:paraId="4CB2F308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Ремонтувати постановкою втулки чи нарощуванням з обробкою під номінальній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розмір</w:t>
            </w:r>
          </w:p>
        </w:tc>
      </w:tr>
      <w:tr w:rsidR="00307C91" w:rsidRPr="00E063CB" w14:paraId="598F023D" w14:textId="77777777" w:rsidTr="004E30F1">
        <w:trPr>
          <w:trHeight w:val="980"/>
        </w:trPr>
        <w:tc>
          <w:tcPr>
            <w:tcW w:w="665" w:type="dxa"/>
          </w:tcPr>
          <w:p w14:paraId="2A43BD6B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40" w:type="dxa"/>
          </w:tcPr>
          <w:p w14:paraId="03C68652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Спрацювання </w:t>
            </w:r>
            <w:r w:rsidRPr="002E4B61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отворів під встановлення 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проміжног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о валу</w:t>
            </w: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4" w:type="dxa"/>
          </w:tcPr>
          <w:p w14:paraId="721BA01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Нутромір індикаторний</w:t>
            </w:r>
          </w:p>
          <w:p w14:paraId="28D9D4A5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НІ 50-100</w:t>
            </w:r>
          </w:p>
        </w:tc>
        <w:tc>
          <w:tcPr>
            <w:tcW w:w="1177" w:type="dxa"/>
          </w:tcPr>
          <w:p w14:paraId="47BF97A1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72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-0,08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+0,08</m:t>
                    </m:r>
                  </m:sup>
                </m:sSubSup>
              </m:oMath>
            </m:oMathPara>
          </w:p>
        </w:tc>
        <w:tc>
          <w:tcPr>
            <w:tcW w:w="1068" w:type="dxa"/>
          </w:tcPr>
          <w:p w14:paraId="1C28E597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72,04</w:t>
            </w:r>
          </w:p>
        </w:tc>
        <w:tc>
          <w:tcPr>
            <w:tcW w:w="1068" w:type="dxa"/>
          </w:tcPr>
          <w:p w14:paraId="67FC8D1F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Більше 72,04</w:t>
            </w:r>
          </w:p>
        </w:tc>
        <w:tc>
          <w:tcPr>
            <w:tcW w:w="2222" w:type="dxa"/>
          </w:tcPr>
          <w:p w14:paraId="5EBED219" w14:textId="77777777" w:rsidR="00307C91" w:rsidRPr="00E063CB" w:rsidRDefault="00307C91" w:rsidP="004E30F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E063CB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Також.</w:t>
            </w:r>
          </w:p>
        </w:tc>
      </w:tr>
    </w:tbl>
    <w:p w14:paraId="5E55D359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lastRenderedPageBreak/>
        <w:t>Позначення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дефектів,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місця 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замірів параметрів елементі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в блоку циліндрів подані на рис.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3.1.а., картера коробки передач – рис.3.1.б</w:t>
      </w:r>
    </w:p>
    <w:p w14:paraId="1D99DA78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Робочі таблиці результатів складних за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мірів оформити аналогічно наведе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ним в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лабораторній 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роботі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№ </w:t>
      </w: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1.</w:t>
      </w:r>
    </w:p>
    <w:p w14:paraId="325EFEF8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14:paraId="01682D9D" w14:textId="77777777" w:rsidR="00307C91" w:rsidRPr="00E063CB" w:rsidRDefault="00307C91" w:rsidP="00307C91">
      <w:p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E063CB">
        <w:rPr>
          <w:rFonts w:ascii="Times New Roman" w:eastAsiaTheme="minorEastAsia" w:hAnsi="Times New Roman" w:cs="Times New Roman"/>
          <w:sz w:val="24"/>
          <w:szCs w:val="24"/>
          <w:lang w:val="uk-UA"/>
        </w:rPr>
        <w:t>Контрольні запитання.</w:t>
      </w:r>
    </w:p>
    <w:p w14:paraId="14AA9862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Характерні дефекти блоку циліндрів.</w:t>
      </w:r>
    </w:p>
    <w:p w14:paraId="6FA4B1DB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Засоби усунення дефектів блоку циліндрів.</w:t>
      </w:r>
    </w:p>
    <w:p w14:paraId="1C480420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Засоби виявлення та контролю дефектів блоку циліндрів.</w:t>
      </w:r>
    </w:p>
    <w:p w14:paraId="11D30E87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Характерні дефекти корпусу коробки передач.</w:t>
      </w:r>
    </w:p>
    <w:p w14:paraId="68E10EC8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Засоби видалення та контролю дефектів корпусу коробки передач.</w:t>
      </w:r>
    </w:p>
    <w:p w14:paraId="1D010246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З</w:t>
      </w: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асоби усунення дефектів корпусу коробки передач.</w:t>
      </w:r>
    </w:p>
    <w:p w14:paraId="4AC0F552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Щ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о таке критерій</w:t>
      </w: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довговічності та техніко-економічний критерій?</w:t>
      </w:r>
    </w:p>
    <w:p w14:paraId="679025FA" w14:textId="77777777" w:rsidR="00307C91" w:rsidRPr="00D61A8A" w:rsidRDefault="00307C91" w:rsidP="00307C91">
      <w:pPr>
        <w:pStyle w:val="a7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D61A8A">
        <w:rPr>
          <w:rFonts w:ascii="Times New Roman" w:eastAsiaTheme="minorEastAsia" w:hAnsi="Times New Roman" w:cs="Times New Roman"/>
          <w:sz w:val="24"/>
          <w:szCs w:val="24"/>
          <w:lang w:val="uk-UA"/>
        </w:rPr>
        <w:t>За якою формулою визначають мінімальний припуск?</w:t>
      </w:r>
    </w:p>
    <w:p w14:paraId="7E97242B" w14:textId="77777777" w:rsidR="00184A48" w:rsidRPr="00307C91" w:rsidRDefault="00184A48" w:rsidP="00307C91">
      <w:pPr>
        <w:rPr>
          <w:lang w:val="uk-UA"/>
        </w:rPr>
      </w:pPr>
    </w:p>
    <w:sectPr w:rsidR="00184A48" w:rsidRPr="0030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919B1" w14:textId="77777777" w:rsidR="00481457" w:rsidRDefault="00481457" w:rsidP="00E063CB">
      <w:pPr>
        <w:spacing w:after="0" w:line="240" w:lineRule="auto"/>
      </w:pPr>
      <w:r>
        <w:separator/>
      </w:r>
    </w:p>
  </w:endnote>
  <w:endnote w:type="continuationSeparator" w:id="0">
    <w:p w14:paraId="16A77B85" w14:textId="77777777" w:rsidR="00481457" w:rsidRDefault="00481457" w:rsidP="00E0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D541C" w14:textId="77777777" w:rsidR="00481457" w:rsidRDefault="00481457" w:rsidP="00E063CB">
      <w:pPr>
        <w:spacing w:after="0" w:line="240" w:lineRule="auto"/>
      </w:pPr>
      <w:r>
        <w:separator/>
      </w:r>
    </w:p>
  </w:footnote>
  <w:footnote w:type="continuationSeparator" w:id="0">
    <w:p w14:paraId="66B2535B" w14:textId="77777777" w:rsidR="00481457" w:rsidRDefault="00481457" w:rsidP="00E06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9AD69F5"/>
    <w:multiLevelType w:val="hybridMultilevel"/>
    <w:tmpl w:val="76365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411D"/>
    <w:multiLevelType w:val="hybridMultilevel"/>
    <w:tmpl w:val="70666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4ACD"/>
    <w:multiLevelType w:val="hybridMultilevel"/>
    <w:tmpl w:val="B3DE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1ED"/>
    <w:multiLevelType w:val="hybridMultilevel"/>
    <w:tmpl w:val="1956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7C7"/>
    <w:multiLevelType w:val="multilevel"/>
    <w:tmpl w:val="F2D6C6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16DCA"/>
    <w:multiLevelType w:val="hybridMultilevel"/>
    <w:tmpl w:val="AEAED4A4"/>
    <w:lvl w:ilvl="0" w:tplc="170A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5368"/>
    <w:multiLevelType w:val="hybridMultilevel"/>
    <w:tmpl w:val="122C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71848"/>
    <w:multiLevelType w:val="hybridMultilevel"/>
    <w:tmpl w:val="70A04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8A7"/>
    <w:multiLevelType w:val="hybridMultilevel"/>
    <w:tmpl w:val="558AEE1E"/>
    <w:lvl w:ilvl="0" w:tplc="2D9E6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67E88"/>
    <w:multiLevelType w:val="multilevel"/>
    <w:tmpl w:val="C4E2CE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05DF4"/>
    <w:multiLevelType w:val="hybridMultilevel"/>
    <w:tmpl w:val="5FE44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B9270A"/>
    <w:multiLevelType w:val="hybridMultilevel"/>
    <w:tmpl w:val="E632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F5E"/>
    <w:rsid w:val="00016E6A"/>
    <w:rsid w:val="00041AE0"/>
    <w:rsid w:val="000902C7"/>
    <w:rsid w:val="000A0E65"/>
    <w:rsid w:val="00137190"/>
    <w:rsid w:val="00184A48"/>
    <w:rsid w:val="001B3FE6"/>
    <w:rsid w:val="001C1D67"/>
    <w:rsid w:val="001C3608"/>
    <w:rsid w:val="001F17E3"/>
    <w:rsid w:val="00237907"/>
    <w:rsid w:val="00272050"/>
    <w:rsid w:val="002814B7"/>
    <w:rsid w:val="002B5AE1"/>
    <w:rsid w:val="002D1CC5"/>
    <w:rsid w:val="002E4B61"/>
    <w:rsid w:val="002F3576"/>
    <w:rsid w:val="00307C91"/>
    <w:rsid w:val="0031195E"/>
    <w:rsid w:val="00331967"/>
    <w:rsid w:val="003336C6"/>
    <w:rsid w:val="00374AE5"/>
    <w:rsid w:val="003B3BB0"/>
    <w:rsid w:val="003B50D1"/>
    <w:rsid w:val="003B7D17"/>
    <w:rsid w:val="003E26D1"/>
    <w:rsid w:val="003E784E"/>
    <w:rsid w:val="003F3144"/>
    <w:rsid w:val="004026F1"/>
    <w:rsid w:val="00414A56"/>
    <w:rsid w:val="004562BD"/>
    <w:rsid w:val="00481457"/>
    <w:rsid w:val="004B0564"/>
    <w:rsid w:val="004B5AB8"/>
    <w:rsid w:val="004D57AD"/>
    <w:rsid w:val="004E36C7"/>
    <w:rsid w:val="004F5323"/>
    <w:rsid w:val="0050749F"/>
    <w:rsid w:val="00520C9E"/>
    <w:rsid w:val="00524A42"/>
    <w:rsid w:val="005448CC"/>
    <w:rsid w:val="00583BD4"/>
    <w:rsid w:val="005B5249"/>
    <w:rsid w:val="005C15B5"/>
    <w:rsid w:val="005C5518"/>
    <w:rsid w:val="005D179F"/>
    <w:rsid w:val="005F057D"/>
    <w:rsid w:val="0060346E"/>
    <w:rsid w:val="00607D1B"/>
    <w:rsid w:val="00613687"/>
    <w:rsid w:val="0062263C"/>
    <w:rsid w:val="0063352F"/>
    <w:rsid w:val="00646EFB"/>
    <w:rsid w:val="0065087A"/>
    <w:rsid w:val="00654A38"/>
    <w:rsid w:val="00680C03"/>
    <w:rsid w:val="00686120"/>
    <w:rsid w:val="006D5BB7"/>
    <w:rsid w:val="006D6ED2"/>
    <w:rsid w:val="006F3042"/>
    <w:rsid w:val="006F5EF8"/>
    <w:rsid w:val="007041C8"/>
    <w:rsid w:val="00733603"/>
    <w:rsid w:val="00754263"/>
    <w:rsid w:val="00777FA5"/>
    <w:rsid w:val="00786396"/>
    <w:rsid w:val="007D4000"/>
    <w:rsid w:val="007E0D92"/>
    <w:rsid w:val="007E3844"/>
    <w:rsid w:val="008331D8"/>
    <w:rsid w:val="008370B1"/>
    <w:rsid w:val="00837233"/>
    <w:rsid w:val="00855FE6"/>
    <w:rsid w:val="008A3C02"/>
    <w:rsid w:val="008C0A80"/>
    <w:rsid w:val="008D6F5E"/>
    <w:rsid w:val="008F4038"/>
    <w:rsid w:val="009365C4"/>
    <w:rsid w:val="00943744"/>
    <w:rsid w:val="009730DB"/>
    <w:rsid w:val="009D2208"/>
    <w:rsid w:val="00A45A50"/>
    <w:rsid w:val="00AC2B6F"/>
    <w:rsid w:val="00AD3E50"/>
    <w:rsid w:val="00AE563A"/>
    <w:rsid w:val="00B21E16"/>
    <w:rsid w:val="00B56033"/>
    <w:rsid w:val="00B77C10"/>
    <w:rsid w:val="00B94557"/>
    <w:rsid w:val="00BC505F"/>
    <w:rsid w:val="00C02791"/>
    <w:rsid w:val="00C53515"/>
    <w:rsid w:val="00C61658"/>
    <w:rsid w:val="00C66B32"/>
    <w:rsid w:val="00D0433C"/>
    <w:rsid w:val="00D12BD0"/>
    <w:rsid w:val="00D31EE9"/>
    <w:rsid w:val="00D61A8A"/>
    <w:rsid w:val="00D72346"/>
    <w:rsid w:val="00DC6147"/>
    <w:rsid w:val="00E063CB"/>
    <w:rsid w:val="00E2466D"/>
    <w:rsid w:val="00E45812"/>
    <w:rsid w:val="00E76CBC"/>
    <w:rsid w:val="00E86CD7"/>
    <w:rsid w:val="00EB31B1"/>
    <w:rsid w:val="00EC5B22"/>
    <w:rsid w:val="00EC71DD"/>
    <w:rsid w:val="00EE218C"/>
    <w:rsid w:val="00EE579B"/>
    <w:rsid w:val="00F264A3"/>
    <w:rsid w:val="00F82FB4"/>
    <w:rsid w:val="00F945B7"/>
    <w:rsid w:val="00FC3313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BB74"/>
  <w15:docId w15:val="{5FC05ACB-40F1-40A7-AAF7-C8C6503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F3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3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2F357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4105pt">
    <w:name w:val="Основной текст (4) + 10;5 pt;Курсив"/>
    <w:basedOn w:val="4"/>
    <w:rsid w:val="002F35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F357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2F3576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0pt">
    <w:name w:val="Основной текст (2) + Полужирный;Курсив;Интервал 0 pt"/>
    <w:basedOn w:val="2"/>
    <w:rsid w:val="002F35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F3576"/>
    <w:pPr>
      <w:widowControl w:val="0"/>
      <w:shd w:val="clear" w:color="auto" w:fill="FFFFFF"/>
      <w:spacing w:before="540"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F3576"/>
    <w:pPr>
      <w:widowControl w:val="0"/>
      <w:shd w:val="clear" w:color="auto" w:fill="FFFFFF"/>
      <w:spacing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2F3576"/>
    <w:pPr>
      <w:widowControl w:val="0"/>
      <w:shd w:val="clear" w:color="auto" w:fill="FFFFFF"/>
      <w:spacing w:after="0" w:line="238" w:lineRule="exact"/>
      <w:ind w:hanging="1540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styleId="a3">
    <w:name w:val="Placeholder Text"/>
    <w:basedOn w:val="a0"/>
    <w:uiPriority w:val="99"/>
    <w:semiHidden/>
    <w:rsid w:val="003336C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6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6ED2"/>
    <w:pPr>
      <w:ind w:left="720"/>
      <w:contextualSpacing/>
    </w:pPr>
  </w:style>
  <w:style w:type="character" w:customStyle="1" w:styleId="20pt0">
    <w:name w:val="Основной текст (2) + Курсив;Интервал 0 pt"/>
    <w:basedOn w:val="2"/>
    <w:rsid w:val="00E063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12pt0pt70">
    <w:name w:val="Основной текст (2) + 12 pt;Интервал 0 pt;Масштаб 70%"/>
    <w:basedOn w:val="2"/>
    <w:rsid w:val="00E063CB"/>
    <w:rPr>
      <w:rFonts w:ascii="Times New Roman" w:eastAsia="Times New Roman" w:hAnsi="Times New Roman" w:cs="Times New Roman"/>
      <w:color w:val="000000"/>
      <w:spacing w:val="0"/>
      <w:w w:val="7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FranklinGothicHeavy85pt">
    <w:name w:val="Основной текст (2) + Franklin Gothic Heavy;8;5 pt"/>
    <w:basedOn w:val="2"/>
    <w:rsid w:val="00E063CB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8pt0pt">
    <w:name w:val="Основной текст (2) + 8 pt;Курсив;Интервал 0 pt"/>
    <w:basedOn w:val="2"/>
    <w:rsid w:val="00E063C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Corbel0pt">
    <w:name w:val="Основной текст (2) + Corbel;Курсив;Интервал 0 pt"/>
    <w:basedOn w:val="2"/>
    <w:rsid w:val="00E063CB"/>
    <w:rPr>
      <w:rFonts w:ascii="Corbel" w:eastAsia="Corbel" w:hAnsi="Corbel" w:cs="Corbe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8pt0pt0">
    <w:name w:val="Основной текст (2) + 8 pt;Курсив;Малые прописные;Интервал 0 pt"/>
    <w:basedOn w:val="2"/>
    <w:rsid w:val="00E063CB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FranklinGothicHeavy8pt0pt">
    <w:name w:val="Основной текст (2) + Franklin Gothic Heavy;8 pt;Полужирный;Курсив;Интервал 0 pt"/>
    <w:basedOn w:val="2"/>
    <w:rsid w:val="00E063CB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0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63CB"/>
  </w:style>
  <w:style w:type="paragraph" w:styleId="aa">
    <w:name w:val="footer"/>
    <w:basedOn w:val="a"/>
    <w:link w:val="ab"/>
    <w:uiPriority w:val="99"/>
    <w:unhideWhenUsed/>
    <w:rsid w:val="00E0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63CB"/>
  </w:style>
  <w:style w:type="character" w:customStyle="1" w:styleId="24">
    <w:name w:val="Основной текст (24)_"/>
    <w:basedOn w:val="a0"/>
    <w:link w:val="240"/>
    <w:rsid w:val="00EC5B22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EC5B22"/>
    <w:pPr>
      <w:widowControl w:val="0"/>
      <w:shd w:val="clear" w:color="auto" w:fill="FFFFFF"/>
      <w:spacing w:before="180" w:after="0" w:line="230" w:lineRule="exact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customStyle="1" w:styleId="300">
    <w:name w:val="Основной текст (30)_"/>
    <w:basedOn w:val="a0"/>
    <w:link w:val="301"/>
    <w:rsid w:val="004F5323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4F5323"/>
    <w:pPr>
      <w:widowControl w:val="0"/>
      <w:shd w:val="clear" w:color="auto" w:fill="FFFFFF"/>
      <w:spacing w:after="0" w:line="180" w:lineRule="exact"/>
      <w:ind w:hanging="680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AB78-B015-4ABC-905A-E3ED925C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Lorina</cp:lastModifiedBy>
  <cp:revision>42</cp:revision>
  <cp:lastPrinted>2018-03-17T16:25:00Z</cp:lastPrinted>
  <dcterms:created xsi:type="dcterms:W3CDTF">2018-03-06T16:49:00Z</dcterms:created>
  <dcterms:modified xsi:type="dcterms:W3CDTF">2023-03-09T11:24:00Z</dcterms:modified>
</cp:coreProperties>
</file>