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A09" w:rsidRPr="00F67FE2" w:rsidRDefault="007F3A09" w:rsidP="00C277D8">
      <w:pPr>
        <w:autoSpaceDE w:val="0"/>
        <w:autoSpaceDN w:val="0"/>
        <w:jc w:val="center"/>
        <w:rPr>
          <w:b/>
          <w:sz w:val="28"/>
          <w:szCs w:val="28"/>
          <w:lang w:val="uk-UA" w:eastAsia="uk-UA"/>
        </w:rPr>
      </w:pPr>
      <w:r w:rsidRPr="00F67FE2">
        <w:rPr>
          <w:b/>
          <w:sz w:val="28"/>
          <w:szCs w:val="28"/>
          <w:lang w:val="uk-UA" w:eastAsia="uk-UA"/>
        </w:rPr>
        <w:t>Рекомендована література</w:t>
      </w:r>
    </w:p>
    <w:p w:rsidR="007F3A09" w:rsidRPr="00F67FE2" w:rsidRDefault="007F3A09" w:rsidP="007F3A09">
      <w:pPr>
        <w:autoSpaceDE w:val="0"/>
        <w:autoSpaceDN w:val="0"/>
        <w:ind w:firstLine="567"/>
        <w:jc w:val="both"/>
        <w:rPr>
          <w:b/>
          <w:i/>
          <w:sz w:val="28"/>
          <w:szCs w:val="28"/>
          <w:lang w:val="uk-UA" w:eastAsia="uk-UA"/>
        </w:rPr>
      </w:pPr>
    </w:p>
    <w:p w:rsidR="007F3A09" w:rsidRPr="00F67FE2" w:rsidRDefault="007F3A09" w:rsidP="007F3A09">
      <w:pPr>
        <w:autoSpaceDE w:val="0"/>
        <w:autoSpaceDN w:val="0"/>
        <w:ind w:firstLine="567"/>
        <w:jc w:val="both"/>
        <w:rPr>
          <w:b/>
          <w:i/>
          <w:sz w:val="28"/>
          <w:szCs w:val="28"/>
          <w:lang w:val="uk-UA" w:eastAsia="uk-UA"/>
        </w:rPr>
      </w:pPr>
      <w:r w:rsidRPr="00F67FE2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7F6540" w:rsidRPr="007F6540" w:rsidRDefault="007F6540" w:rsidP="007F6540">
      <w:pPr>
        <w:jc w:val="both"/>
        <w:rPr>
          <w:sz w:val="28"/>
          <w:szCs w:val="28"/>
          <w:lang w:val="uk-UA" w:eastAsia="uk-UA"/>
        </w:rPr>
      </w:pPr>
      <w:r w:rsidRPr="007F6540">
        <w:rPr>
          <w:sz w:val="28"/>
          <w:szCs w:val="28"/>
          <w:lang w:val="uk-UA" w:eastAsia="uk-UA"/>
        </w:rPr>
        <w:t>1. Василюк О., Ільмінська Л. Екосистемні послуги. Огляд. Київ, БО «БФ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«Фонд захисту біорізноманіття України», 2020. 84 с</w:t>
      </w:r>
      <w:bookmarkStart w:id="0" w:name="_GoBack"/>
      <w:bookmarkEnd w:id="0"/>
      <w:r w:rsidRPr="007F6540">
        <w:rPr>
          <w:sz w:val="28"/>
          <w:szCs w:val="28"/>
          <w:lang w:val="uk-UA" w:eastAsia="uk-UA"/>
        </w:rPr>
        <w:t>. URL: https://uncg.org.ua/wpcontent/uploads/2020/09/EcoPoslugy_web_new.pdf</w:t>
      </w:r>
    </w:p>
    <w:p w:rsidR="007F6540" w:rsidRPr="007F6540" w:rsidRDefault="007F6540" w:rsidP="007F6540">
      <w:pPr>
        <w:jc w:val="both"/>
        <w:rPr>
          <w:sz w:val="28"/>
          <w:szCs w:val="28"/>
          <w:lang w:val="uk-UA" w:eastAsia="uk-UA"/>
        </w:rPr>
      </w:pPr>
      <w:r w:rsidRPr="007F6540">
        <w:rPr>
          <w:sz w:val="28"/>
          <w:szCs w:val="28"/>
          <w:lang w:val="uk-UA" w:eastAsia="uk-UA"/>
        </w:rPr>
        <w:t>2. Ткач В. П., Висоцька Н. Ю., Торосов А. С., Букша І. Ф., Пастернак В. П.,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Лось С. А., Кобець О. В., Тарнопільська О. М., Тарнопільський П. Б., Калашніков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А. О., Жежкун І. М., Коваль І. М., Сидоренко С. Г., Сидоренко С. В., Бондаренко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В. В., Бондар О. Б. Економічна оцінка екосистемних послуг лісів України: Наукове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видання / Харків: УкрНДІЛГА, 2023. 28 с.</w:t>
      </w:r>
    </w:p>
    <w:p w:rsidR="007F6540" w:rsidRPr="007F6540" w:rsidRDefault="007F6540" w:rsidP="007F6540">
      <w:pPr>
        <w:jc w:val="both"/>
        <w:rPr>
          <w:sz w:val="28"/>
          <w:szCs w:val="28"/>
          <w:lang w:val="uk-UA" w:eastAsia="uk-UA"/>
        </w:rPr>
      </w:pPr>
      <w:r w:rsidRPr="007F6540">
        <w:rPr>
          <w:sz w:val="28"/>
          <w:szCs w:val="28"/>
          <w:lang w:val="uk-UA" w:eastAsia="uk-UA"/>
        </w:rPr>
        <w:t>3. Олійник В. С. Гідрологічна роль лісів Українських Карпат: Монографія.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Івано-Франківськ: НАІР, 2013. 232 с.</w:t>
      </w:r>
    </w:p>
    <w:p w:rsidR="007F6540" w:rsidRPr="007F6540" w:rsidRDefault="007F6540" w:rsidP="007F6540">
      <w:pPr>
        <w:jc w:val="both"/>
        <w:rPr>
          <w:sz w:val="28"/>
          <w:szCs w:val="28"/>
          <w:lang w:val="uk-UA" w:eastAsia="uk-UA"/>
        </w:rPr>
      </w:pPr>
      <w:r w:rsidRPr="007F6540">
        <w:rPr>
          <w:sz w:val="28"/>
          <w:szCs w:val="28"/>
          <w:lang w:val="uk-UA" w:eastAsia="uk-UA"/>
        </w:rPr>
        <w:t>4. А. Варуха. Огляд підходів з оцінки екосистемних послуг через призму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їхнього застосування для визначення збитків, завданих військовими діями рф на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території України / А. Варуха [за заг. ред. О. Кравченко]. Львів : «Компанія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Манускрипт», 2022. 56 с.</w:t>
      </w:r>
    </w:p>
    <w:p w:rsidR="007F6540" w:rsidRPr="007F6540" w:rsidRDefault="007F6540" w:rsidP="007F6540">
      <w:pPr>
        <w:jc w:val="both"/>
        <w:rPr>
          <w:sz w:val="28"/>
          <w:szCs w:val="28"/>
          <w:lang w:val="uk-UA" w:eastAsia="uk-UA"/>
        </w:rPr>
      </w:pPr>
      <w:r w:rsidRPr="007F6540">
        <w:rPr>
          <w:sz w:val="28"/>
          <w:szCs w:val="28"/>
          <w:lang w:val="uk-UA" w:eastAsia="uk-UA"/>
        </w:rPr>
        <w:t>5. Екосистемні послуги та гідроенергетика: пілотне застосування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європейських інструментів у річкових басейнах країн Східного партнерства. Кейс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України. Р.Гаврилюк, О. Станкевич-Волосянчук. Національний екологічний центр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України. Київ, 2021. 32 с.</w:t>
      </w:r>
    </w:p>
    <w:p w:rsidR="007F6540" w:rsidRPr="007F6540" w:rsidRDefault="007F6540" w:rsidP="007F6540">
      <w:pPr>
        <w:jc w:val="both"/>
        <w:rPr>
          <w:sz w:val="28"/>
          <w:szCs w:val="28"/>
          <w:lang w:val="uk-UA" w:eastAsia="uk-UA"/>
        </w:rPr>
      </w:pPr>
      <w:r w:rsidRPr="007F6540">
        <w:rPr>
          <w:sz w:val="28"/>
          <w:szCs w:val="28"/>
          <w:lang w:val="uk-UA" w:eastAsia="uk-UA"/>
        </w:rPr>
        <w:t>6. Хоменко С.В., Бельмега І.В., Кірейцева Г.В., Хрутьба В.О. Роль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фітоінвазії для природного біорізноманіття заповідних територій України.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Екологічні науки: науково-практичний журнал. Видавничий дім «Гельветика»,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2024. 1 (52), Том 2. С. 94 – 99.</w:t>
      </w:r>
    </w:p>
    <w:p w:rsidR="007F6540" w:rsidRPr="007F6540" w:rsidRDefault="007F6540" w:rsidP="007F6540">
      <w:pPr>
        <w:jc w:val="both"/>
        <w:rPr>
          <w:sz w:val="28"/>
          <w:szCs w:val="28"/>
          <w:lang w:val="uk-UA" w:eastAsia="uk-UA"/>
        </w:rPr>
      </w:pPr>
      <w:r w:rsidRPr="007F6540">
        <w:rPr>
          <w:sz w:val="28"/>
          <w:szCs w:val="28"/>
          <w:lang w:val="uk-UA" w:eastAsia="uk-UA"/>
        </w:rPr>
        <w:t>7. С. Хоменко. Фітоінвазії як одна з причин втрати біорізноманіття. Збірник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матеріалів. Сталий розвиток – стан та перспективи. IV міжнародний науковий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симпозіум в рамках Еразмус+ Модуль Жан Моне «Концепція екосистемних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послуг: Європейський досвід» («ЕЕ4CES»), 13–16 лютого 2024, Україна, Львів,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Славське: зб. матер. Електрон. дан. Київ: Яроченко Я. В. 2024. С. 55-56.</w:t>
      </w:r>
    </w:p>
    <w:p w:rsidR="007F6540" w:rsidRPr="007F6540" w:rsidRDefault="007F6540" w:rsidP="007F6540">
      <w:pPr>
        <w:jc w:val="both"/>
        <w:rPr>
          <w:sz w:val="28"/>
          <w:szCs w:val="28"/>
          <w:lang w:val="uk-UA" w:eastAsia="uk-UA"/>
        </w:rPr>
      </w:pPr>
      <w:r w:rsidRPr="007F6540">
        <w:rPr>
          <w:sz w:val="28"/>
          <w:szCs w:val="28"/>
          <w:lang w:val="uk-UA" w:eastAsia="uk-UA"/>
        </w:rPr>
        <w:t>8. Мельник-Шамрай В.В., Шамрай В.І., Пацева І.Г. Аналіз територіального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розподілу об’єктів природно-заповідного фонду об’єднаних територіальних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громад Коростенського району Житомирської області.Екологічні науки : науковопрактичний журнал. К. :видавничий дім «Гельветика». 2023. № 4(49). С. 186-193.</w:t>
      </w:r>
    </w:p>
    <w:p w:rsidR="007F6540" w:rsidRPr="007F6540" w:rsidRDefault="007F6540" w:rsidP="007F6540">
      <w:pPr>
        <w:jc w:val="both"/>
        <w:rPr>
          <w:sz w:val="28"/>
          <w:szCs w:val="28"/>
          <w:lang w:val="uk-UA" w:eastAsia="uk-UA"/>
        </w:rPr>
      </w:pPr>
      <w:r w:rsidRPr="007F6540">
        <w:rPr>
          <w:sz w:val="28"/>
          <w:szCs w:val="28"/>
          <w:lang w:val="uk-UA" w:eastAsia="uk-UA"/>
        </w:rPr>
        <w:t>9. Мельник-Шамрай В.В., Шамрай В.В., Пацева І.Г., Курбет Т.В. Оцінка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стану природно-заповідного фонду Житомирської області. Екологічні науки :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науково-практичний журнал. К. :видавничий дім «Гельветика». 2023. № 3(48). С.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108-115.</w:t>
      </w:r>
    </w:p>
    <w:p w:rsidR="007F6540" w:rsidRDefault="007F6540" w:rsidP="007F6540">
      <w:pPr>
        <w:jc w:val="both"/>
        <w:rPr>
          <w:sz w:val="28"/>
          <w:szCs w:val="28"/>
          <w:lang w:val="uk-UA" w:eastAsia="uk-UA"/>
        </w:rPr>
      </w:pPr>
    </w:p>
    <w:p w:rsidR="007F6540" w:rsidRPr="007F6540" w:rsidRDefault="007F6540" w:rsidP="007F6540">
      <w:pPr>
        <w:jc w:val="both"/>
        <w:rPr>
          <w:b/>
          <w:i/>
          <w:sz w:val="28"/>
          <w:szCs w:val="28"/>
          <w:lang w:val="uk-UA" w:eastAsia="uk-UA"/>
        </w:rPr>
      </w:pPr>
      <w:r w:rsidRPr="007F6540">
        <w:rPr>
          <w:b/>
          <w:i/>
          <w:sz w:val="28"/>
          <w:szCs w:val="28"/>
          <w:lang w:val="uk-UA" w:eastAsia="uk-UA"/>
        </w:rPr>
        <w:t>Додаткова література</w:t>
      </w:r>
    </w:p>
    <w:p w:rsidR="007F6540" w:rsidRPr="007F6540" w:rsidRDefault="007F6540" w:rsidP="007F6540">
      <w:pPr>
        <w:jc w:val="both"/>
        <w:rPr>
          <w:sz w:val="28"/>
          <w:szCs w:val="28"/>
          <w:lang w:val="uk-UA" w:eastAsia="uk-UA"/>
        </w:rPr>
      </w:pPr>
      <w:r w:rsidRPr="007F6540">
        <w:rPr>
          <w:sz w:val="28"/>
          <w:szCs w:val="28"/>
          <w:lang w:val="uk-UA" w:eastAsia="uk-UA"/>
        </w:rPr>
        <w:t>1. Висоцька Н. Ю., Тарнопільський П. Б., Сидоренко С. В., Соломаха Н. Г.,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Короткова Т. М., Фомін В. І., Зубов О. Р., Зубова Л. Г., Єлісавенко Ю. А.,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lastRenderedPageBreak/>
        <w:t>Юрченко В. А. Оцінка сучасного стану захисних лісових смуг різного цільового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призначення та об’єктів лісової рекультивації. Харків, 2019. - 21 с.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2. Розроблення науково-методичних засад щодо оцінки екосистемних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послуг з врахуванням необхідності виконання рішень міжнародних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природоохоронних договорів. Звіт про науково-технічну продукцію за договором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No 74/19 від 29 серпня 2019 р. / Міністерство захисту довкілля та природних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 xml:space="preserve">ресурсів України. —URL: </w:t>
      </w:r>
      <w:hyperlink r:id="rId7" w:history="1">
        <w:r w:rsidRPr="004E724E">
          <w:rPr>
            <w:rStyle w:val="a3"/>
            <w:sz w:val="28"/>
            <w:szCs w:val="28"/>
            <w:lang w:val="uk-UA" w:eastAsia="uk-UA"/>
          </w:rPr>
          <w:t>https://mepr.gov.ua/</w:t>
        </w:r>
      </w:hyperlink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files/docs/Bioriznomanittya/V1%201.pdf</w:t>
      </w:r>
    </w:p>
    <w:p w:rsidR="007F6540" w:rsidRPr="007F6540" w:rsidRDefault="007F6540" w:rsidP="007F6540">
      <w:pPr>
        <w:jc w:val="both"/>
        <w:rPr>
          <w:sz w:val="28"/>
          <w:szCs w:val="28"/>
          <w:lang w:val="uk-UA" w:eastAsia="uk-UA"/>
        </w:rPr>
      </w:pPr>
      <w:r w:rsidRPr="007F6540">
        <w:rPr>
          <w:sz w:val="28"/>
          <w:szCs w:val="28"/>
          <w:lang w:val="uk-UA" w:eastAsia="uk-UA"/>
        </w:rPr>
        <w:t>3. Соловій І. П. (2016). Оцінка послуг екосистем, забезпечуваних лісами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України, та пропозиції щодо механізмів плати за послуги екосистем. URL:</w:t>
      </w:r>
    </w:p>
    <w:p w:rsidR="007F6540" w:rsidRPr="007F6540" w:rsidRDefault="007F6540" w:rsidP="007F6540">
      <w:pPr>
        <w:jc w:val="both"/>
        <w:rPr>
          <w:sz w:val="28"/>
          <w:szCs w:val="28"/>
          <w:lang w:val="uk-UA" w:eastAsia="uk-UA"/>
        </w:rPr>
      </w:pPr>
      <w:r w:rsidRPr="007F6540">
        <w:rPr>
          <w:sz w:val="28"/>
          <w:szCs w:val="28"/>
          <w:lang w:val="uk-UA" w:eastAsia="uk-UA"/>
        </w:rPr>
        <w:t>https://d2ouvy59p0dg6k.cloudfront.net/downloads/evaluation_of_forest_ecosy</w:t>
      </w:r>
    </w:p>
    <w:p w:rsidR="007F6540" w:rsidRDefault="007F6540" w:rsidP="007F6540">
      <w:pPr>
        <w:jc w:val="both"/>
        <w:rPr>
          <w:sz w:val="28"/>
          <w:szCs w:val="28"/>
          <w:lang w:val="uk-UA" w:eastAsia="uk-UA"/>
        </w:rPr>
      </w:pPr>
      <w:r w:rsidRPr="007F6540">
        <w:rPr>
          <w:sz w:val="28"/>
          <w:szCs w:val="28"/>
          <w:lang w:val="uk-UA" w:eastAsia="uk-UA"/>
        </w:rPr>
        <w:t>stem_services_and_proposals_on_pes_mechanisms.pdf</w:t>
      </w:r>
    </w:p>
    <w:p w:rsidR="007F6540" w:rsidRPr="007F6540" w:rsidRDefault="007F6540" w:rsidP="007F6540">
      <w:pPr>
        <w:jc w:val="both"/>
        <w:rPr>
          <w:sz w:val="28"/>
          <w:szCs w:val="28"/>
          <w:lang w:val="uk-UA" w:eastAsia="uk-UA"/>
        </w:rPr>
      </w:pPr>
    </w:p>
    <w:p w:rsidR="007F6540" w:rsidRPr="007F6540" w:rsidRDefault="007F6540" w:rsidP="007F6540">
      <w:pPr>
        <w:jc w:val="both"/>
        <w:rPr>
          <w:b/>
          <w:i/>
          <w:sz w:val="28"/>
          <w:szCs w:val="28"/>
          <w:lang w:val="uk-UA" w:eastAsia="uk-UA"/>
        </w:rPr>
      </w:pPr>
      <w:r w:rsidRPr="007F6540">
        <w:rPr>
          <w:b/>
          <w:i/>
          <w:sz w:val="28"/>
          <w:szCs w:val="28"/>
          <w:lang w:val="uk-UA" w:eastAsia="uk-UA"/>
        </w:rPr>
        <w:t>Інформаційні ресурси в Інтернеті</w:t>
      </w:r>
    </w:p>
    <w:p w:rsidR="007F6540" w:rsidRPr="007F6540" w:rsidRDefault="007F6540" w:rsidP="007F6540">
      <w:pPr>
        <w:jc w:val="both"/>
        <w:rPr>
          <w:sz w:val="28"/>
          <w:szCs w:val="28"/>
          <w:lang w:val="uk-UA" w:eastAsia="uk-UA"/>
        </w:rPr>
      </w:pPr>
      <w:r w:rsidRPr="007F6540">
        <w:rPr>
          <w:sz w:val="28"/>
          <w:szCs w:val="28"/>
          <w:lang w:val="uk-UA" w:eastAsia="uk-UA"/>
        </w:rPr>
        <w:t>1. 1. Стратегія біорізноманіття до 2030 року. Офіційний сайт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Європейського Союзу. URL: https://environment.ec.europa.eu/strategy/biodiversitystrategy-2030_en</w:t>
      </w:r>
    </w:p>
    <w:p w:rsidR="007F6540" w:rsidRPr="007F6540" w:rsidRDefault="007F6540" w:rsidP="007F6540">
      <w:pPr>
        <w:jc w:val="both"/>
        <w:rPr>
          <w:sz w:val="28"/>
          <w:szCs w:val="28"/>
          <w:lang w:val="uk-UA" w:eastAsia="uk-UA"/>
        </w:rPr>
      </w:pPr>
      <w:r w:rsidRPr="007F6540">
        <w:rPr>
          <w:sz w:val="28"/>
          <w:szCs w:val="28"/>
          <w:lang w:val="uk-UA" w:eastAsia="uk-UA"/>
        </w:rPr>
        <w:t>2. Конвенція про біологічне різноманіття. П’ятий національний звіт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України / Міністерство екології та природних ресурсів України. – Київ, 2015. –</w:t>
      </w:r>
    </w:p>
    <w:p w:rsidR="007F6540" w:rsidRPr="007F6540" w:rsidRDefault="007F6540" w:rsidP="007F6540">
      <w:pPr>
        <w:jc w:val="both"/>
        <w:rPr>
          <w:sz w:val="28"/>
          <w:szCs w:val="28"/>
          <w:lang w:val="uk-UA" w:eastAsia="uk-UA"/>
        </w:rPr>
      </w:pPr>
      <w:r w:rsidRPr="007F6540">
        <w:rPr>
          <w:sz w:val="28"/>
          <w:szCs w:val="28"/>
          <w:lang w:val="uk-UA" w:eastAsia="uk-UA"/>
        </w:rPr>
        <w:t>URL: https://www.cbd.int/doc/world/ua/ua-nr-05-uk.pdf</w:t>
      </w:r>
    </w:p>
    <w:p w:rsidR="007F6540" w:rsidRPr="007F6540" w:rsidRDefault="007F6540" w:rsidP="007F6540">
      <w:pPr>
        <w:jc w:val="both"/>
        <w:rPr>
          <w:sz w:val="28"/>
          <w:szCs w:val="28"/>
          <w:lang w:val="uk-UA" w:eastAsia="uk-UA"/>
        </w:rPr>
      </w:pPr>
      <w:r w:rsidRPr="007F6540">
        <w:rPr>
          <w:sz w:val="28"/>
          <w:szCs w:val="28"/>
          <w:lang w:val="uk-UA" w:eastAsia="uk-UA"/>
        </w:rPr>
        <w:t>3. Millennium Ecosystem Assessment. Ecosystems and Human Well-being /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Synthesis Report. – Island Press, Washington DC, 2005. –140 p. – URL:</w:t>
      </w:r>
    </w:p>
    <w:p w:rsidR="007F6540" w:rsidRPr="007F6540" w:rsidRDefault="007F6540" w:rsidP="007F6540">
      <w:pPr>
        <w:jc w:val="both"/>
        <w:rPr>
          <w:sz w:val="28"/>
          <w:szCs w:val="28"/>
          <w:lang w:val="uk-UA" w:eastAsia="uk-UA"/>
        </w:rPr>
      </w:pPr>
      <w:r w:rsidRPr="007F6540">
        <w:rPr>
          <w:sz w:val="28"/>
          <w:szCs w:val="28"/>
          <w:lang w:val="uk-UA" w:eastAsia="uk-UA"/>
        </w:rPr>
        <w:t>https://www.millenniumassessment.org/documents/document.356.aspx.pdf</w:t>
      </w:r>
    </w:p>
    <w:p w:rsidR="007F6540" w:rsidRPr="007F6540" w:rsidRDefault="007F6540" w:rsidP="007F6540">
      <w:pPr>
        <w:jc w:val="both"/>
        <w:rPr>
          <w:sz w:val="28"/>
          <w:szCs w:val="28"/>
          <w:lang w:val="uk-UA" w:eastAsia="uk-UA"/>
        </w:rPr>
      </w:pPr>
      <w:r w:rsidRPr="007F6540">
        <w:rPr>
          <w:sz w:val="28"/>
          <w:szCs w:val="28"/>
          <w:lang w:val="uk-UA" w:eastAsia="uk-UA"/>
        </w:rPr>
        <w:t>4. Structure of the Common International Classification of Ecosystem Services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(CICES) URL:https://cices.eu/cices-structure/</w:t>
      </w:r>
    </w:p>
    <w:p w:rsidR="00B61737" w:rsidRPr="00C277D8" w:rsidRDefault="007F6540" w:rsidP="007F6540">
      <w:pPr>
        <w:jc w:val="both"/>
        <w:rPr>
          <w:lang w:val="uk-UA"/>
        </w:rPr>
      </w:pPr>
      <w:r w:rsidRPr="007F6540">
        <w:rPr>
          <w:sz w:val="28"/>
          <w:szCs w:val="28"/>
          <w:lang w:val="uk-UA" w:eastAsia="uk-UA"/>
        </w:rPr>
        <w:t>5. TEEB (2010) The Economics of Ecosystems and Biodiversity: Mainstreaming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the Economics of Nature: A synthesis of the approach, conclusions and recommendations</w:t>
      </w:r>
      <w:r>
        <w:rPr>
          <w:sz w:val="28"/>
          <w:szCs w:val="28"/>
          <w:lang w:val="uk-UA" w:eastAsia="uk-UA"/>
        </w:rPr>
        <w:t xml:space="preserve"> </w:t>
      </w:r>
      <w:r w:rsidRPr="007F6540">
        <w:rPr>
          <w:sz w:val="28"/>
          <w:szCs w:val="28"/>
          <w:lang w:val="uk-UA" w:eastAsia="uk-UA"/>
        </w:rPr>
        <w:t>of TEEB. URL:https://www.teebweb.org/wpcontent/uploads/Study%20and%20Reports/Reports/Synthesis%20report/TEEB%20Synthesis%20Report%202010.pdf</w:t>
      </w:r>
    </w:p>
    <w:sectPr w:rsidR="00B61737" w:rsidRPr="00C277D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A09" w:rsidRDefault="007F3A09" w:rsidP="007F3A09">
      <w:r>
        <w:separator/>
      </w:r>
    </w:p>
  </w:endnote>
  <w:endnote w:type="continuationSeparator" w:id="0">
    <w:p w:rsidR="007F3A09" w:rsidRDefault="007F3A09" w:rsidP="007F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A09" w:rsidRDefault="007F3A09" w:rsidP="007F3A09">
      <w:r>
        <w:separator/>
      </w:r>
    </w:p>
  </w:footnote>
  <w:footnote w:type="continuationSeparator" w:id="0">
    <w:p w:rsidR="007F3A09" w:rsidRDefault="007F3A09" w:rsidP="007F3A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780"/>
      <w:gridCol w:w="1906"/>
      <w:gridCol w:w="1906"/>
      <w:gridCol w:w="2158"/>
      <w:gridCol w:w="1589"/>
    </w:tblGrid>
    <w:tr w:rsidR="007F3A09" w:rsidRPr="007F6540" w:rsidTr="00656CEB">
      <w:trPr>
        <w:cantSplit/>
        <w:trHeight w:val="567"/>
      </w:trPr>
      <w:tc>
        <w:tcPr>
          <w:tcW w:w="985" w:type="pct"/>
          <w:vMerge w:val="restart"/>
          <w:vAlign w:val="center"/>
        </w:tcPr>
        <w:p w:rsidR="007F3A09" w:rsidRPr="007F3A09" w:rsidRDefault="007F3A09" w:rsidP="007F3A09">
          <w:pPr>
            <w:tabs>
              <w:tab w:val="center" w:pos="4819"/>
              <w:tab w:val="right" w:pos="9639"/>
            </w:tabs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F3A09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291" w:type="pct"/>
          <w:gridSpan w:val="3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  <w:lang w:val="uk-UA" w:eastAsia="uk-UA"/>
            </w:rPr>
          </w:pPr>
          <w:r w:rsidRPr="007F3A09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7F3A09" w:rsidRPr="007F3A09" w:rsidRDefault="007F3A09" w:rsidP="007F3A09">
          <w:pPr>
            <w:tabs>
              <w:tab w:val="center" w:pos="4153"/>
              <w:tab w:val="right" w:pos="8306"/>
            </w:tabs>
            <w:ind w:right="-57"/>
            <w:jc w:val="center"/>
            <w:rPr>
              <w:b/>
              <w:spacing w:val="-4"/>
              <w:sz w:val="16"/>
              <w:szCs w:val="16"/>
              <w:lang w:val="uk-UA" w:eastAsia="uk-UA"/>
            </w:rPr>
          </w:pPr>
          <w:r w:rsidRPr="007F3A09">
            <w:rPr>
              <w:b/>
              <w:spacing w:val="-4"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7F3A09" w:rsidRPr="007F3A09" w:rsidRDefault="007F3A09" w:rsidP="007F3A09">
          <w:pPr>
            <w:tabs>
              <w:tab w:val="center" w:pos="4819"/>
              <w:tab w:val="right" w:pos="9639"/>
            </w:tabs>
            <w:jc w:val="center"/>
            <w:rPr>
              <w:b/>
              <w:sz w:val="16"/>
              <w:szCs w:val="16"/>
              <w:lang w:val="uk-UA" w:eastAsia="uk-UA"/>
            </w:rPr>
          </w:pPr>
          <w:r w:rsidRPr="007F3A09">
            <w:rPr>
              <w:b/>
              <w:sz w:val="16"/>
              <w:szCs w:val="16"/>
              <w:lang w:val="uk-UA" w:eastAsia="uk-UA"/>
            </w:rPr>
            <w:t>Система управління якістю відповідає ДСТУ ISO 9001:2015</w:t>
          </w:r>
        </w:p>
      </w:tc>
      <w:tc>
        <w:tcPr>
          <w:tcW w:w="724" w:type="pct"/>
          <w:vAlign w:val="center"/>
        </w:tcPr>
        <w:p w:rsidR="007F3A09" w:rsidRPr="007F3A09" w:rsidRDefault="007F3A09" w:rsidP="00A504FF">
          <w:pPr>
            <w:tabs>
              <w:tab w:val="left" w:pos="34"/>
              <w:tab w:val="center" w:pos="4819"/>
              <w:tab w:val="right" w:pos="9639"/>
            </w:tabs>
            <w:ind w:right="-80"/>
            <w:jc w:val="center"/>
            <w:rPr>
              <w:b/>
              <w:sz w:val="16"/>
              <w:szCs w:val="16"/>
              <w:lang w:val="uk-UA" w:eastAsia="uk-UA"/>
            </w:rPr>
          </w:pPr>
          <w:r w:rsidRPr="007F3A09">
            <w:rPr>
              <w:b/>
              <w:sz w:val="16"/>
              <w:szCs w:val="16"/>
              <w:lang w:val="uk-UA" w:eastAsia="uk-UA"/>
            </w:rPr>
            <w:t>Ф-23.07-05</w:t>
          </w:r>
          <w:r w:rsidR="00A504FF">
            <w:rPr>
              <w:b/>
              <w:sz w:val="16"/>
              <w:szCs w:val="16"/>
              <w:lang w:val="uk-UA" w:eastAsia="uk-UA"/>
            </w:rPr>
            <w:t>.01/ХХХ</w:t>
          </w:r>
          <w:r w:rsidRPr="007F3A09">
            <w:rPr>
              <w:b/>
              <w:sz w:val="16"/>
              <w:szCs w:val="16"/>
              <w:lang w:val="uk-UA" w:eastAsia="uk-UA"/>
            </w:rPr>
            <w:t>.</w:t>
          </w:r>
          <w:r w:rsidR="00A504FF">
            <w:rPr>
              <w:b/>
              <w:sz w:val="16"/>
              <w:szCs w:val="16"/>
              <w:lang w:val="uk-UA" w:eastAsia="uk-UA"/>
            </w:rPr>
            <w:t>ХХ</w:t>
          </w:r>
          <w:r w:rsidRPr="007F3A09">
            <w:rPr>
              <w:b/>
              <w:sz w:val="16"/>
              <w:szCs w:val="16"/>
              <w:lang w:val="uk-UA" w:eastAsia="uk-UA"/>
            </w:rPr>
            <w:t>.</w:t>
          </w:r>
          <w:r w:rsidR="00A504FF">
            <w:rPr>
              <w:b/>
              <w:sz w:val="16"/>
              <w:szCs w:val="16"/>
              <w:lang w:val="uk-UA" w:eastAsia="uk-UA"/>
            </w:rPr>
            <w:t>Х</w:t>
          </w:r>
          <w:r w:rsidRPr="007F3A09">
            <w:rPr>
              <w:b/>
              <w:sz w:val="16"/>
              <w:szCs w:val="16"/>
              <w:lang w:val="uk-UA" w:eastAsia="uk-UA"/>
            </w:rPr>
            <w:t xml:space="preserve">/Б/             </w:t>
          </w:r>
          <w:r w:rsidR="00A504FF">
            <w:rPr>
              <w:b/>
              <w:sz w:val="16"/>
              <w:szCs w:val="16"/>
              <w:lang w:val="uk-UA" w:eastAsia="uk-UA"/>
            </w:rPr>
            <w:t>ВКХ</w:t>
          </w:r>
          <w:r w:rsidRPr="007F3A09">
            <w:rPr>
              <w:b/>
              <w:sz w:val="16"/>
              <w:szCs w:val="16"/>
              <w:lang w:val="uk-UA" w:eastAsia="uk-UA"/>
            </w:rPr>
            <w:t>-1-2024</w:t>
          </w:r>
        </w:p>
      </w:tc>
    </w:tr>
    <w:tr w:rsidR="007F3A09" w:rsidRPr="007F3A09" w:rsidTr="00656CEB">
      <w:trPr>
        <w:cantSplit/>
        <w:trHeight w:val="227"/>
      </w:trPr>
      <w:tc>
        <w:tcPr>
          <w:tcW w:w="985" w:type="pct"/>
          <w:vMerge/>
        </w:tcPr>
        <w:p w:rsidR="007F3A09" w:rsidRPr="007F3A09" w:rsidRDefault="007F3A09" w:rsidP="007F3A09">
          <w:pPr>
            <w:tabs>
              <w:tab w:val="center" w:pos="4819"/>
              <w:tab w:val="right" w:pos="9639"/>
            </w:tabs>
            <w:rPr>
              <w:i/>
              <w:sz w:val="16"/>
              <w:szCs w:val="16"/>
              <w:lang w:val="uk-UA" w:eastAsia="uk-UA"/>
            </w:rPr>
          </w:pPr>
        </w:p>
      </w:tc>
      <w:tc>
        <w:tcPr>
          <w:tcW w:w="1052" w:type="pct"/>
          <w:vAlign w:val="center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i/>
              <w:sz w:val="16"/>
              <w:szCs w:val="16"/>
              <w:lang w:val="uk-UA" w:eastAsia="uk-UA"/>
            </w:rPr>
          </w:pPr>
          <w:r w:rsidRPr="007F3A09">
            <w:rPr>
              <w:i/>
              <w:sz w:val="16"/>
              <w:szCs w:val="16"/>
              <w:lang w:val="uk-UA" w:eastAsia="uk-UA"/>
            </w:rPr>
            <w:t>Випуск 1</w:t>
          </w:r>
        </w:p>
      </w:tc>
      <w:tc>
        <w:tcPr>
          <w:tcW w:w="1052" w:type="pct"/>
          <w:vAlign w:val="center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i/>
              <w:sz w:val="16"/>
              <w:szCs w:val="16"/>
              <w:lang w:val="uk-UA" w:eastAsia="uk-UA"/>
            </w:rPr>
          </w:pPr>
          <w:r w:rsidRPr="007F3A09">
            <w:rPr>
              <w:i/>
              <w:sz w:val="16"/>
              <w:szCs w:val="16"/>
              <w:lang w:val="uk-UA" w:eastAsia="uk-UA"/>
            </w:rPr>
            <w:t>Зміни 0</w:t>
          </w:r>
        </w:p>
      </w:tc>
      <w:tc>
        <w:tcPr>
          <w:tcW w:w="1187" w:type="pct"/>
          <w:vAlign w:val="center"/>
        </w:tcPr>
        <w:p w:rsidR="007F3A09" w:rsidRPr="007F3A09" w:rsidRDefault="007F3A09" w:rsidP="007F3A09">
          <w:pPr>
            <w:tabs>
              <w:tab w:val="center" w:pos="4153"/>
              <w:tab w:val="right" w:pos="8306"/>
            </w:tabs>
            <w:jc w:val="center"/>
            <w:rPr>
              <w:i/>
              <w:sz w:val="16"/>
              <w:szCs w:val="16"/>
              <w:lang w:val="uk-UA" w:eastAsia="uk-UA"/>
            </w:rPr>
          </w:pPr>
          <w:r w:rsidRPr="007F3A09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724" w:type="pct"/>
          <w:vAlign w:val="center"/>
        </w:tcPr>
        <w:p w:rsidR="007F3A09" w:rsidRPr="007F3A09" w:rsidRDefault="007F3A09" w:rsidP="007F6540">
          <w:pPr>
            <w:tabs>
              <w:tab w:val="center" w:pos="4819"/>
              <w:tab w:val="right" w:pos="9639"/>
            </w:tabs>
            <w:jc w:val="center"/>
            <w:rPr>
              <w:sz w:val="16"/>
              <w:szCs w:val="16"/>
              <w:lang w:val="uk-UA" w:eastAsia="uk-UA"/>
            </w:rPr>
          </w:pPr>
          <w:r w:rsidRPr="007F3A09">
            <w:rPr>
              <w:i/>
              <w:sz w:val="16"/>
              <w:szCs w:val="16"/>
              <w:lang w:val="uk-UA" w:eastAsia="uk-UA"/>
            </w:rPr>
            <w:t xml:space="preserve">Арк </w:t>
          </w:r>
          <w:r w:rsidR="007F6540">
            <w:rPr>
              <w:i/>
              <w:sz w:val="16"/>
              <w:szCs w:val="16"/>
              <w:lang w:val="uk-UA" w:eastAsia="uk-UA"/>
            </w:rPr>
            <w:t xml:space="preserve">2 </w:t>
          </w:r>
          <w:r w:rsidRPr="007F3A09">
            <w:rPr>
              <w:i/>
              <w:sz w:val="16"/>
              <w:szCs w:val="16"/>
              <w:lang w:val="uk-UA" w:eastAsia="uk-UA"/>
            </w:rPr>
            <w:t xml:space="preserve">/ </w:t>
          </w:r>
          <w:r w:rsidRPr="007F3A09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7F3A09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7F3A09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7F6540">
            <w:rPr>
              <w:i/>
              <w:noProof/>
              <w:sz w:val="16"/>
              <w:szCs w:val="16"/>
              <w:lang w:val="uk-UA" w:eastAsia="uk-UA"/>
            </w:rPr>
            <w:t>1</w:t>
          </w:r>
          <w:r w:rsidRPr="007F3A09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7F3A09" w:rsidRDefault="007F3A0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53B7"/>
    <w:multiLevelType w:val="hybridMultilevel"/>
    <w:tmpl w:val="A46E8700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6504B7E"/>
    <w:multiLevelType w:val="hybridMultilevel"/>
    <w:tmpl w:val="E0606C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3DD16B8"/>
    <w:multiLevelType w:val="hybridMultilevel"/>
    <w:tmpl w:val="A46E87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09"/>
    <w:rsid w:val="007F3A09"/>
    <w:rsid w:val="007F6540"/>
    <w:rsid w:val="008D22F2"/>
    <w:rsid w:val="00A504FF"/>
    <w:rsid w:val="00AF224E"/>
    <w:rsid w:val="00B61737"/>
    <w:rsid w:val="00B8282D"/>
    <w:rsid w:val="00C2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942F2-71AA-4244-B53E-BC9EC086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3A0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F3A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F3A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F3A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F3A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pr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2025-03-16T22:07:00Z</dcterms:created>
  <dcterms:modified xsi:type="dcterms:W3CDTF">2025-03-16T22:07:00Z</dcterms:modified>
</cp:coreProperties>
</file>