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DBA5" w14:textId="421774DB" w:rsidR="00025165" w:rsidRPr="00025165" w:rsidRDefault="00025165" w:rsidP="0002516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165">
        <w:rPr>
          <w:rFonts w:ascii="Times New Roman" w:hAnsi="Times New Roman" w:cs="Times New Roman"/>
          <w:b/>
          <w:bCs/>
          <w:sz w:val="28"/>
          <w:szCs w:val="28"/>
        </w:rPr>
        <w:t xml:space="preserve">Тема «Філософія статі та </w:t>
      </w:r>
      <w:proofErr w:type="spellStart"/>
      <w:r w:rsidRPr="00025165">
        <w:rPr>
          <w:rFonts w:ascii="Times New Roman" w:hAnsi="Times New Roman" w:cs="Times New Roman"/>
          <w:b/>
          <w:bCs/>
          <w:sz w:val="28"/>
          <w:szCs w:val="28"/>
        </w:rPr>
        <w:t>гендеру</w:t>
      </w:r>
      <w:proofErr w:type="spellEnd"/>
      <w:r w:rsidRPr="000251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854905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Ессенціалізм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конструктивізм: філософські підходи до розуміння статі та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гендеру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4F3A27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Філософія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Сімони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Бовуар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: "Друга стать" і концепція "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іншості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" жінки.</w:t>
      </w:r>
    </w:p>
    <w:p w14:paraId="3DE53478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перформатив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основні ідеї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Джудіт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Батлер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1AC2F3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Люс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Ірігарей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"жіноча мова": критика патріархальних структур у мові та культурі.</w:t>
      </w:r>
    </w:p>
    <w:p w14:paraId="26B5B893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 гендерної нерівності у філософії: історичний і сучасний контексти.</w:t>
      </w:r>
    </w:p>
    <w:p w14:paraId="2476A024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Гендерні стереотипи: їх формування та вплив на соціальну поведінку.</w:t>
      </w:r>
    </w:p>
    <w:p w14:paraId="75EA5C84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тілесності у формуванні гендерної ідентичності: аналіз Моріса Мерло-Понті.</w:t>
      </w:r>
    </w:p>
    <w:p w14:paraId="3AEC332F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Постмодерністська критика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бінарності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статей у філософії та культурі.</w:t>
      </w:r>
    </w:p>
    <w:p w14:paraId="1274560A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фемінізму у філософії статі та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гендеру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: хвилі феміністської думки.</w:t>
      </w:r>
    </w:p>
    <w:p w14:paraId="14156772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Взаємозв'язок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гендеру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, сексуальності та ідентичності у сучасній філософії.</w:t>
      </w:r>
    </w:p>
    <w:p w14:paraId="142E4188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Поняття "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маскулінності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" та "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фемінності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": соціальні конструкції чи природні категорії?</w:t>
      </w:r>
    </w:p>
    <w:p w14:paraId="4D94ABF6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Етика турботи: як філософія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гендеру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трансформує моральну теорію.</w:t>
      </w:r>
    </w:p>
    <w:p w14:paraId="5B95E6FD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Квір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-теорія як виклик традиційним уявленням про </w:t>
      </w:r>
      <w:proofErr w:type="spellStart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гендер</w:t>
      </w:r>
      <w:proofErr w:type="spellEnd"/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сексуальність.</w:t>
      </w:r>
    </w:p>
    <w:p w14:paraId="20CB63F5" w14:textId="77777777" w:rsidR="00025165" w:rsidRPr="00025165" w:rsidRDefault="00025165" w:rsidP="0002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5165">
        <w:rPr>
          <w:rFonts w:ascii="Times New Roman" w:eastAsia="Times New Roman" w:hAnsi="Times New Roman" w:cs="Times New Roman"/>
          <w:sz w:val="28"/>
          <w:szCs w:val="28"/>
          <w:lang w:eastAsia="uk-UA"/>
        </w:rPr>
        <w:t>Глобальні аспекти гендерної рівності: філософський аналіз у контексті культурного різноманіття.</w:t>
      </w:r>
    </w:p>
    <w:p w14:paraId="20CF39AE" w14:textId="77777777" w:rsidR="00B83561" w:rsidRPr="00025165" w:rsidRDefault="00B83561">
      <w:pPr>
        <w:rPr>
          <w:sz w:val="28"/>
          <w:szCs w:val="28"/>
        </w:rPr>
      </w:pPr>
    </w:p>
    <w:sectPr w:rsidR="00B83561" w:rsidRPr="000251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C3D"/>
    <w:multiLevelType w:val="multilevel"/>
    <w:tmpl w:val="FB36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65"/>
    <w:rsid w:val="00025165"/>
    <w:rsid w:val="00064B0C"/>
    <w:rsid w:val="00854D53"/>
    <w:rsid w:val="00B83561"/>
    <w:rsid w:val="00D1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A8BF"/>
  <w15:chartTrackingRefBased/>
  <w15:docId w15:val="{12E9F306-4EAA-46DD-B00A-B5A168A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165"/>
    <w:rPr>
      <w:b/>
      <w:bCs/>
    </w:rPr>
  </w:style>
  <w:style w:type="paragraph" w:styleId="a4">
    <w:name w:val="Normal (Web)"/>
    <w:basedOn w:val="a"/>
    <w:uiPriority w:val="99"/>
    <w:semiHidden/>
    <w:unhideWhenUsed/>
    <w:rsid w:val="0002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2024-11-20T20:09:00Z</dcterms:created>
  <dcterms:modified xsi:type="dcterms:W3CDTF">2024-11-20T20:10:00Z</dcterms:modified>
</cp:coreProperties>
</file>