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10A" w:rsidRPr="001A410A" w:rsidRDefault="001A410A" w:rsidP="001A410A">
      <w:pPr>
        <w:spacing w:after="0" w:line="360" w:lineRule="auto"/>
        <w:ind w:firstLine="720"/>
        <w:jc w:val="both"/>
        <w:rPr>
          <w:rFonts w:ascii="Times New Roman" w:eastAsia="Calibri" w:hAnsi="Times New Roman" w:cs="Times New Roman"/>
          <w:sz w:val="28"/>
          <w:szCs w:val="28"/>
          <w:lang w:val="ru-RU"/>
        </w:rPr>
      </w:pPr>
      <w:r w:rsidRPr="001A410A">
        <w:rPr>
          <w:rFonts w:ascii="Times New Roman" w:eastAsia="Calibri" w:hAnsi="Times New Roman" w:cs="Times New Roman"/>
          <w:b/>
          <w:bCs/>
          <w:sz w:val="28"/>
          <w:szCs w:val="28"/>
          <w:lang w:val="ru-RU"/>
        </w:rPr>
        <w:t xml:space="preserve">Тема </w:t>
      </w:r>
      <w:r w:rsidRPr="001A410A">
        <w:rPr>
          <w:rFonts w:ascii="Times New Roman" w:eastAsia="Calibri" w:hAnsi="Times New Roman" w:cs="Times New Roman"/>
          <w:b/>
          <w:bCs/>
          <w:sz w:val="28"/>
          <w:szCs w:val="28"/>
          <w:lang w:val="uk-UA"/>
        </w:rPr>
        <w:t>6</w:t>
      </w:r>
      <w:r w:rsidRPr="001A410A">
        <w:rPr>
          <w:rFonts w:ascii="Times New Roman" w:eastAsia="Calibri" w:hAnsi="Times New Roman" w:cs="Times New Roman"/>
          <w:b/>
          <w:bCs/>
          <w:sz w:val="28"/>
          <w:szCs w:val="28"/>
          <w:lang w:val="ru-RU"/>
        </w:rPr>
        <w:t xml:space="preserve">. Виконання рішень та застосування практики Європейського суду з прав людини в Україні </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Виконання рішень ЄСПЛ є важливим елементом контрольного механізму Конвенції і відбувається в тісній взаємодії органів Р€ та держав-учасниць. Специфікою конвенційного механізму захисту прав людини є те, що, незважаючи на декларативність формулювання прав людини у тексті Конвенції, випадки порушення державами взятих на себе зобовʼязань не лише стають підставою для їх відповідальності, а й існують гарантії відновлення порушених прав фізичних і юридичних осіб та створення національних превентивних заходів для неможливості повторення таких порушень надалі.</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 xml:space="preserve">В Україні, як і в більшості європейських держав, існує достатньо регламентована й узгоджена із відповідними положеннями Конвенції та Регламенту ЄСПЛ процедура виконання рішень цього Суду. Ключові положення цієї процедури містяться в Законі України «Про виконання рішень та застосування практики Європейського суду з прав людини» (від 23 лютого 2006 р. </w:t>
      </w:r>
      <w:r w:rsidRPr="00EF58C6">
        <w:rPr>
          <w:rFonts w:ascii="Times New Roman" w:hAnsi="Times New Roman" w:cs="Times New Roman"/>
          <w:sz w:val="28"/>
          <w:szCs w:val="28"/>
        </w:rPr>
        <w:t>N</w:t>
      </w:r>
      <w:r w:rsidRPr="00EF58C6">
        <w:rPr>
          <w:rFonts w:ascii="Times New Roman" w:hAnsi="Times New Roman" w:cs="Times New Roman"/>
          <w:sz w:val="28"/>
          <w:szCs w:val="28"/>
          <w:lang w:val="ru-RU"/>
        </w:rPr>
        <w:t>º 3477-</w:t>
      </w:r>
      <w:r w:rsidRPr="00EF58C6">
        <w:rPr>
          <w:rFonts w:ascii="Times New Roman" w:hAnsi="Times New Roman" w:cs="Times New Roman"/>
          <w:sz w:val="28"/>
          <w:szCs w:val="28"/>
        </w:rPr>
        <w:t>IV</w:t>
      </w:r>
      <w:r w:rsidRPr="00EF58C6">
        <w:rPr>
          <w:rFonts w:ascii="Times New Roman" w:hAnsi="Times New Roman" w:cs="Times New Roman"/>
          <w:sz w:val="28"/>
          <w:szCs w:val="28"/>
          <w:lang w:val="ru-RU"/>
        </w:rPr>
        <w:t xml:space="preserve">) та нормативно-правових актах КМУ та Міністерства юстиції України. Положення цих актів стосуються двох аспектів виконання рішень: а) виконання рішень </w:t>
      </w:r>
      <w:proofErr w:type="gramStart"/>
      <w:r w:rsidRPr="00EF58C6">
        <w:rPr>
          <w:rFonts w:ascii="Times New Roman" w:hAnsi="Times New Roman" w:cs="Times New Roman"/>
          <w:sz w:val="28"/>
          <w:szCs w:val="28"/>
          <w:lang w:val="ru-RU"/>
        </w:rPr>
        <w:t>у справах</w:t>
      </w:r>
      <w:proofErr w:type="gramEnd"/>
      <w:r w:rsidRPr="00EF58C6">
        <w:rPr>
          <w:rFonts w:ascii="Times New Roman" w:hAnsi="Times New Roman" w:cs="Times New Roman"/>
          <w:sz w:val="28"/>
          <w:szCs w:val="28"/>
          <w:lang w:val="ru-RU"/>
        </w:rPr>
        <w:t>, де констатовано порушення Україною конвенційних зобовʼязань, та б) застосування національними органами практики ЄСПЛ.</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p>
    <w:p w:rsidR="001A410A" w:rsidRPr="00EF58C6" w:rsidRDefault="001A410A" w:rsidP="00EF58C6">
      <w:pPr>
        <w:spacing w:after="0" w:line="360" w:lineRule="auto"/>
        <w:ind w:firstLine="720"/>
        <w:jc w:val="both"/>
        <w:rPr>
          <w:rFonts w:ascii="Times New Roman" w:hAnsi="Times New Roman" w:cs="Times New Roman"/>
          <w:b/>
          <w:sz w:val="28"/>
          <w:szCs w:val="28"/>
          <w:lang w:val="ru-RU"/>
        </w:rPr>
      </w:pPr>
      <w:r w:rsidRPr="00EF58C6">
        <w:rPr>
          <w:rFonts w:ascii="Times New Roman" w:hAnsi="Times New Roman" w:cs="Times New Roman"/>
          <w:b/>
          <w:sz w:val="28"/>
          <w:szCs w:val="28"/>
          <w:lang w:val="ru-RU"/>
        </w:rPr>
        <w:t>Національна процедура виконання рішень</w:t>
      </w:r>
      <w:r w:rsidR="00EF58C6" w:rsidRPr="00EF58C6">
        <w:rPr>
          <w:rFonts w:ascii="Times New Roman" w:hAnsi="Times New Roman" w:cs="Times New Roman"/>
          <w:b/>
          <w:sz w:val="28"/>
          <w:szCs w:val="28"/>
          <w:lang w:val="ru-RU"/>
        </w:rPr>
        <w:t xml:space="preserve"> </w:t>
      </w:r>
      <w:r w:rsidRPr="00EF58C6">
        <w:rPr>
          <w:rFonts w:ascii="Times New Roman" w:hAnsi="Times New Roman" w:cs="Times New Roman"/>
          <w:b/>
          <w:sz w:val="28"/>
          <w:szCs w:val="28"/>
          <w:lang w:val="ru-RU"/>
        </w:rPr>
        <w:t>Європейського суду з прав людини щодо України</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Реалізація судових повноважень ЄСПЛ передбачає можливість приймати такі рішення, які підлягають обовʼязковому виконанню в Україні відповідно до встановленої процедури:</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lastRenderedPageBreak/>
        <w:t>а) остаточне рішення ЄСПЛ у справі проти України, яким визнано порушення Конвенції (рішення по суті); умови набуття рішенням статусу остаточного визначаються розд. ІІ Конвенції;</w:t>
      </w:r>
    </w:p>
    <w:p w:rsidR="001A410A" w:rsidRPr="00EF58C6" w:rsidRDefault="00EF58C6" w:rsidP="00EF58C6">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б</w:t>
      </w:r>
      <w:r w:rsidR="001A410A" w:rsidRPr="00EF58C6">
        <w:rPr>
          <w:rFonts w:ascii="Times New Roman" w:hAnsi="Times New Roman" w:cs="Times New Roman"/>
          <w:sz w:val="28"/>
          <w:szCs w:val="28"/>
          <w:lang w:val="ru-RU"/>
        </w:rPr>
        <w:t>) остаточне рішення ЄСПЛ щодо справедливої сатисфакції у справі проти України: «Якщо Суд визнає факт порушення Конвенції або протоколів до неї і якщо внутрішнє право відповідної Високої Договірної Сторони передбачає лише часткове відшкодування, Суд, у разі необхідності, надає потерпілій стороні справедливу сатисфакцію» (ст. 41 Конвенції).</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 xml:space="preserve">Справедлива сатисфакція може полягати у відшкодуванні: матеріальної (майнової) шкоди; моральної шкоди; витрат, повʼязаних із зверненням </w:t>
      </w:r>
      <w:proofErr w:type="gramStart"/>
      <w:r w:rsidRPr="00EF58C6">
        <w:rPr>
          <w:rFonts w:ascii="Times New Roman" w:hAnsi="Times New Roman" w:cs="Times New Roman"/>
          <w:sz w:val="28"/>
          <w:szCs w:val="28"/>
          <w:lang w:val="ru-RU"/>
        </w:rPr>
        <w:t>до суду</w:t>
      </w:r>
      <w:proofErr w:type="gramEnd"/>
      <w:r w:rsidRPr="00EF58C6">
        <w:rPr>
          <w:rFonts w:ascii="Times New Roman" w:hAnsi="Times New Roman" w:cs="Times New Roman"/>
          <w:sz w:val="28"/>
          <w:szCs w:val="28"/>
          <w:lang w:val="ru-RU"/>
        </w:rPr>
        <w:t>; суми процентів у разі недотримання Урядом строків виплати присудженої Судом компенсації;</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в) рішення ЄСПЛ щодо дружнього врегулювання у справі проти</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України: «На будь-якій стадії провадження Суд може надати себе у розпорядження заінтересованих сторін для забезпечення дружнього врегулювання спору на основі поваги до прав людини, як їх визначає Конвенція та протоколи до неї... У разі досягнення дружнього врегулювання Суд вилучає справу з реєстру, прийнявши рішення, яке містить лише стислий виклад фактів і досягнутого вирішення» (пп. 1, 3 ст. 39 Конвенції);</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 xml:space="preserve">г) рішення ЄСПЛ про схвалення умов односторонньої декларації у справі проти України: «Якщо заявник відмовився від умови дружнього врегулювання відповідно до Правила 62, Договірна Сторона може подати </w:t>
      </w:r>
      <w:proofErr w:type="gramStart"/>
      <w:r w:rsidRPr="00EF58C6">
        <w:rPr>
          <w:rFonts w:ascii="Times New Roman" w:hAnsi="Times New Roman" w:cs="Times New Roman"/>
          <w:sz w:val="28"/>
          <w:szCs w:val="28"/>
          <w:lang w:val="ru-RU"/>
        </w:rPr>
        <w:t>до суду</w:t>
      </w:r>
      <w:proofErr w:type="gramEnd"/>
      <w:r w:rsidRPr="00EF58C6">
        <w:rPr>
          <w:rFonts w:ascii="Times New Roman" w:hAnsi="Times New Roman" w:cs="Times New Roman"/>
          <w:sz w:val="28"/>
          <w:szCs w:val="28"/>
          <w:lang w:val="ru-RU"/>
        </w:rPr>
        <w:t xml:space="preserve"> клопотання про виключення скарги зі списку відповідно до статті 37 § 1 Конвенції. Такий запит повинен супроводжуватися декларацією, чітко визнаючи, що мало місце порушення Конвенції у справі заявника разом із зобовʼязанням надати достатні відшкодування і, при необхідності, вжити необхідних заходів щодо</w:t>
      </w:r>
      <w:r w:rsidR="00704832">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вправлення стан</w:t>
      </w:r>
      <w:r w:rsidR="00EF58C6">
        <w:rPr>
          <w:rFonts w:ascii="Times New Roman" w:hAnsi="Times New Roman" w:cs="Times New Roman"/>
          <w:sz w:val="28"/>
          <w:szCs w:val="28"/>
          <w:lang w:val="ru-RU"/>
        </w:rPr>
        <w:t>овища» (п. 62А Регламенту Суду)</w:t>
      </w:r>
      <w:r w:rsidRPr="00EF58C6">
        <w:rPr>
          <w:rFonts w:ascii="Times New Roman" w:hAnsi="Times New Roman" w:cs="Times New Roman"/>
          <w:sz w:val="28"/>
          <w:szCs w:val="28"/>
          <w:lang w:val="ru-RU"/>
        </w:rPr>
        <w:t>.</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lastRenderedPageBreak/>
        <w:t>Звісно, є випадки, коли скарги заявника визнаються Судом неприйнятними та Суд доходить висновку про відсутність порушення Конвенції з боку держави - в такому разі відсутній сам предмет виконання і процедура виконання рішення не застосовується. Однак це не означає, що ухвала про неприйнятність може ігноруватись в Україні. ЕСПЛ</w:t>
      </w:r>
      <w:r w:rsidR="005E3227">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у таких ухвалах надас розгорнуту мотивацію, яка може бути корисною як оцінка окремих положень національного законодавства та практики.</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Відповідно до ст. 46 Конвенції остаточне рішення Суду передається Комітетові міністрів, який здійснює нагляд за його виконанням.</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Виконання рішення Суду здійснюється державною і включає такі</w:t>
      </w:r>
      <w:r w:rsidR="005E3227">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компоненти:</w:t>
      </w:r>
      <w:r w:rsidR="005E3227">
        <w:rPr>
          <w:rFonts w:ascii="Times New Roman" w:hAnsi="Times New Roman" w:cs="Times New Roman"/>
          <w:sz w:val="28"/>
          <w:szCs w:val="28"/>
          <w:lang w:val="ru-RU"/>
        </w:rPr>
        <w:t xml:space="preserve"> </w:t>
      </w:r>
      <w:r w:rsidRPr="00EF58C6">
        <w:rPr>
          <w:rFonts w:ascii="Tahoma" w:hAnsi="Tahoma" w:cs="Tahoma"/>
          <w:sz w:val="28"/>
          <w:szCs w:val="28"/>
        </w:rPr>
        <w:t>﻿﻿﻿</w:t>
      </w:r>
      <w:r w:rsidRPr="00EF58C6">
        <w:rPr>
          <w:rFonts w:ascii="Times New Roman" w:hAnsi="Times New Roman" w:cs="Times New Roman"/>
          <w:sz w:val="28"/>
          <w:szCs w:val="28"/>
          <w:lang w:val="ru-RU"/>
        </w:rPr>
        <w:t>виплату справедливої сатисфакції;</w:t>
      </w:r>
      <w:r w:rsidR="005E3227">
        <w:rPr>
          <w:rFonts w:ascii="Times New Roman" w:hAnsi="Times New Roman" w:cs="Times New Roman"/>
          <w:sz w:val="28"/>
          <w:szCs w:val="28"/>
          <w:lang w:val="ru-RU"/>
        </w:rPr>
        <w:t xml:space="preserve"> </w:t>
      </w:r>
      <w:r w:rsidRPr="00EF58C6">
        <w:rPr>
          <w:rFonts w:ascii="Tahoma" w:hAnsi="Tahoma" w:cs="Tahoma"/>
          <w:sz w:val="28"/>
          <w:szCs w:val="28"/>
        </w:rPr>
        <w:t>﻿﻿﻿</w:t>
      </w:r>
      <w:r w:rsidRPr="00EF58C6">
        <w:rPr>
          <w:rFonts w:ascii="Times New Roman" w:hAnsi="Times New Roman" w:cs="Times New Roman"/>
          <w:sz w:val="28"/>
          <w:szCs w:val="28"/>
          <w:lang w:val="ru-RU"/>
        </w:rPr>
        <w:t>вжиття додаткових заходів індивідуального характеру;</w:t>
      </w:r>
      <w:r w:rsidR="005E3227">
        <w:rPr>
          <w:rFonts w:ascii="Times New Roman" w:hAnsi="Times New Roman" w:cs="Times New Roman"/>
          <w:sz w:val="28"/>
          <w:szCs w:val="28"/>
          <w:lang w:val="ru-RU"/>
        </w:rPr>
        <w:t xml:space="preserve"> </w:t>
      </w:r>
      <w:r w:rsidRPr="00EF58C6">
        <w:rPr>
          <w:rFonts w:ascii="Tahoma" w:hAnsi="Tahoma" w:cs="Tahoma"/>
          <w:sz w:val="28"/>
          <w:szCs w:val="28"/>
        </w:rPr>
        <w:t>﻿﻿﻿</w:t>
      </w:r>
      <w:r w:rsidRPr="00EF58C6">
        <w:rPr>
          <w:rFonts w:ascii="Times New Roman" w:hAnsi="Times New Roman" w:cs="Times New Roman"/>
          <w:sz w:val="28"/>
          <w:szCs w:val="28"/>
          <w:lang w:val="ru-RU"/>
        </w:rPr>
        <w:t>вжиття заходів загального характеру.</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 xml:space="preserve">Порядок виконання рішення визначається Законом України «Про виконання рішень та застосування практики Європейського суду з прав людини» від 23 лютого 2006 р. </w:t>
      </w:r>
      <w:r w:rsidRPr="00EF58C6">
        <w:rPr>
          <w:rFonts w:ascii="Times New Roman" w:hAnsi="Times New Roman" w:cs="Times New Roman"/>
          <w:sz w:val="28"/>
          <w:szCs w:val="28"/>
        </w:rPr>
        <w:t>N</w:t>
      </w:r>
      <w:r w:rsidRPr="00EF58C6">
        <w:rPr>
          <w:rFonts w:ascii="Times New Roman" w:hAnsi="Times New Roman" w:cs="Times New Roman"/>
          <w:sz w:val="28"/>
          <w:szCs w:val="28"/>
          <w:lang w:val="ru-RU"/>
        </w:rPr>
        <w:t>º 3477-</w:t>
      </w:r>
      <w:r w:rsidRPr="00EF58C6">
        <w:rPr>
          <w:rFonts w:ascii="Times New Roman" w:hAnsi="Times New Roman" w:cs="Times New Roman"/>
          <w:sz w:val="28"/>
          <w:szCs w:val="28"/>
        </w:rPr>
        <w:t>IV</w:t>
      </w:r>
      <w:r w:rsidRPr="00EF58C6">
        <w:rPr>
          <w:rFonts w:ascii="Times New Roman" w:hAnsi="Times New Roman" w:cs="Times New Roman"/>
          <w:sz w:val="28"/>
          <w:szCs w:val="28"/>
          <w:lang w:val="ru-RU"/>
        </w:rPr>
        <w:t xml:space="preserve">, Законом України «Про виконавче провадження» від 21 квітня 1999 р. </w:t>
      </w:r>
      <w:r w:rsidRPr="00EF58C6">
        <w:rPr>
          <w:rFonts w:ascii="Times New Roman" w:hAnsi="Times New Roman" w:cs="Times New Roman"/>
          <w:sz w:val="28"/>
          <w:szCs w:val="28"/>
        </w:rPr>
        <w:t>N</w:t>
      </w:r>
      <w:r w:rsidRPr="00EF58C6">
        <w:rPr>
          <w:rFonts w:ascii="Times New Roman" w:hAnsi="Times New Roman" w:cs="Times New Roman"/>
          <w:sz w:val="28"/>
          <w:szCs w:val="28"/>
          <w:lang w:val="ru-RU"/>
        </w:rPr>
        <w:t>º 606-</w:t>
      </w:r>
      <w:r w:rsidRPr="00EF58C6">
        <w:rPr>
          <w:rFonts w:ascii="Times New Roman" w:hAnsi="Times New Roman" w:cs="Times New Roman"/>
          <w:sz w:val="28"/>
          <w:szCs w:val="28"/>
        </w:rPr>
        <w:t>XIV</w:t>
      </w:r>
      <w:r w:rsidRPr="00EF58C6">
        <w:rPr>
          <w:rFonts w:ascii="Times New Roman" w:hAnsi="Times New Roman" w:cs="Times New Roman"/>
          <w:sz w:val="28"/>
          <w:szCs w:val="28"/>
          <w:lang w:val="ru-RU"/>
        </w:rPr>
        <w:t xml:space="preserve"> та іншими</w:t>
      </w:r>
      <w:r w:rsidR="005E3227">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нормативними актами.</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У кожному з рішень Суду, в яких констатовано порушення Конвен-ції, може бути постановлено сплатити заявникові суму грошової ком-пенсації. Слід зазначити, що справедлива сатисфакція як компенсація шкоди, спричиненої заявникові порушенням його прав, гарантованих</w:t>
      </w:r>
      <w:r w:rsidR="005E3227">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Конвенцією, може бути призначена виключно у випадку констатації</w:t>
      </w:r>
      <w:r w:rsidR="005E3227">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Судом такого порушення, тоді як останні два види рішень передбачають самостійне визнання Договірною державою такого порушення та пропозицію щодо розміру грошової суми на відшкодування заявникові, яка затверджується Судом.</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lastRenderedPageBreak/>
        <w:t>Однак рішення, яким порушення Конвенції вставлено Судом або</w:t>
      </w:r>
      <w:r w:rsidR="005E3227">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визнано державою, не може обме</w:t>
      </w:r>
      <w:r w:rsidR="005E3227">
        <w:rPr>
          <w:rFonts w:ascii="Times New Roman" w:hAnsi="Times New Roman" w:cs="Times New Roman"/>
          <w:sz w:val="28"/>
          <w:szCs w:val="28"/>
          <w:lang w:val="ru-RU"/>
        </w:rPr>
        <w:t>жуватись лише майновою компенса</w:t>
      </w:r>
      <w:r w:rsidRPr="00EF58C6">
        <w:rPr>
          <w:rFonts w:ascii="Times New Roman" w:hAnsi="Times New Roman" w:cs="Times New Roman"/>
          <w:sz w:val="28"/>
          <w:szCs w:val="28"/>
          <w:lang w:val="ru-RU"/>
        </w:rPr>
        <w:t>цією шкоди, завданої таким порушенням. Як правило, рішення Суду є також підставою для вжиття заходів індивідуального характеру, що покликані відновити становище, яке порушує права особи.</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Виконання рішення Суду зумовлює також потребу в проведенні державою заходів загального характеру з метою недопущення повторення визначених рішенням Суду порушень, якщо причинами таких порушень є системні проблеми в діяльності державних інституцій (недоліки законодавства, недосконал</w:t>
      </w:r>
      <w:r w:rsidR="005E3227">
        <w:rPr>
          <w:rFonts w:ascii="Times New Roman" w:hAnsi="Times New Roman" w:cs="Times New Roman"/>
          <w:sz w:val="28"/>
          <w:szCs w:val="28"/>
          <w:lang w:val="ru-RU"/>
        </w:rPr>
        <w:t>ість механізмів правозастосуван</w:t>
      </w:r>
      <w:r w:rsidRPr="00EF58C6">
        <w:rPr>
          <w:rFonts w:ascii="Times New Roman" w:hAnsi="Times New Roman" w:cs="Times New Roman"/>
          <w:sz w:val="28"/>
          <w:szCs w:val="28"/>
          <w:lang w:val="ru-RU"/>
        </w:rPr>
        <w:t>ня та захисту прав людини тощо).</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Звернення рішення до виконання здійснюється Органом представ-ництва, відповідальним за забезпечення представництва України в ЄСПЛ та координацію виконання його рішень.</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Згідно з Постановою КМУ «Про заходи щодо реалізації Закону</w:t>
      </w:r>
      <w:r w:rsidR="005E3227">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 xml:space="preserve">України "Про виконання рішень та застосування практики Європейського суду з прав людини"» від 31 травня 2014 р. </w:t>
      </w:r>
      <w:r w:rsidRPr="00EF58C6">
        <w:rPr>
          <w:rFonts w:ascii="Times New Roman" w:hAnsi="Times New Roman" w:cs="Times New Roman"/>
          <w:sz w:val="28"/>
          <w:szCs w:val="28"/>
        </w:rPr>
        <w:t>N</w:t>
      </w:r>
      <w:r w:rsidR="005E3227">
        <w:rPr>
          <w:rFonts w:ascii="Times New Roman" w:hAnsi="Times New Roman" w:cs="Times New Roman"/>
          <w:sz w:val="28"/>
          <w:szCs w:val="28"/>
          <w:lang w:val="ru-RU"/>
        </w:rPr>
        <w:t>º 784 функції ор</w:t>
      </w:r>
      <w:r w:rsidRPr="00EF58C6">
        <w:rPr>
          <w:rFonts w:ascii="Times New Roman" w:hAnsi="Times New Roman" w:cs="Times New Roman"/>
          <w:sz w:val="28"/>
          <w:szCs w:val="28"/>
          <w:lang w:val="ru-RU"/>
        </w:rPr>
        <w:t xml:space="preserve">гану, відповідального за забезпечення представництва України в ЄСПЛ та виконання його рішень, покладено на Міністерство юстиції України, а саме на Урядового уповноваженого </w:t>
      </w:r>
      <w:proofErr w:type="gramStart"/>
      <w:r w:rsidRPr="00EF58C6">
        <w:rPr>
          <w:rFonts w:ascii="Times New Roman" w:hAnsi="Times New Roman" w:cs="Times New Roman"/>
          <w:sz w:val="28"/>
          <w:szCs w:val="28"/>
          <w:lang w:val="ru-RU"/>
        </w:rPr>
        <w:t>у справах</w:t>
      </w:r>
      <w:proofErr w:type="gramEnd"/>
      <w:r w:rsidRPr="00EF58C6">
        <w:rPr>
          <w:rFonts w:ascii="Times New Roman" w:hAnsi="Times New Roman" w:cs="Times New Roman"/>
          <w:sz w:val="28"/>
          <w:szCs w:val="28"/>
          <w:lang w:val="ru-RU"/>
        </w:rPr>
        <w:t xml:space="preserve"> ЄСПЛ. Діяльність останнього забезпечує Секретаріат Урядового уповноваженого </w:t>
      </w:r>
      <w:proofErr w:type="gramStart"/>
      <w:r w:rsidRPr="00EF58C6">
        <w:rPr>
          <w:rFonts w:ascii="Times New Roman" w:hAnsi="Times New Roman" w:cs="Times New Roman"/>
          <w:sz w:val="28"/>
          <w:szCs w:val="28"/>
          <w:lang w:val="ru-RU"/>
        </w:rPr>
        <w:t>у справах</w:t>
      </w:r>
      <w:proofErr w:type="gramEnd"/>
      <w:r w:rsidRPr="00EF58C6">
        <w:rPr>
          <w:rFonts w:ascii="Times New Roman" w:hAnsi="Times New Roman" w:cs="Times New Roman"/>
          <w:sz w:val="28"/>
          <w:szCs w:val="28"/>
          <w:lang w:val="ru-RU"/>
        </w:rPr>
        <w:t xml:space="preserve"> ЄСПЛ, який утворено у складі центрального апарату Міністерства юстиції України з правами департаменту.</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 xml:space="preserve">Виплата відшкодування (справедливої сатисфакції). Зобовʼязання щодо виплати відшкодування заявникові та вжиття заходів індивідуального характеру тісно повʼязані між собою, адже обидва безпосередньо стосуються потерпілої сторони. Вони мають два аспекти. Перший - це те, що держава має </w:t>
      </w:r>
      <w:r w:rsidRPr="00EF58C6">
        <w:rPr>
          <w:rFonts w:ascii="Times New Roman" w:hAnsi="Times New Roman" w:cs="Times New Roman"/>
          <w:sz w:val="28"/>
          <w:szCs w:val="28"/>
          <w:lang w:val="ru-RU"/>
        </w:rPr>
        <w:lastRenderedPageBreak/>
        <w:t xml:space="preserve">забезпечити </w:t>
      </w:r>
      <w:r w:rsidR="005E3227">
        <w:rPr>
          <w:rFonts w:ascii="Times New Roman" w:hAnsi="Times New Roman" w:cs="Times New Roman"/>
          <w:sz w:val="28"/>
          <w:szCs w:val="28"/>
          <w:lang w:val="ru-RU"/>
        </w:rPr>
        <w:t>справедливу сатисфакцію, як пра</w:t>
      </w:r>
      <w:r w:rsidRPr="00EF58C6">
        <w:rPr>
          <w:rFonts w:ascii="Times New Roman" w:hAnsi="Times New Roman" w:cs="Times New Roman"/>
          <w:sz w:val="28"/>
          <w:szCs w:val="28"/>
          <w:lang w:val="ru-RU"/>
        </w:rPr>
        <w:t>вило, це сума грошей для відшкодування матеріальної та/або моральної шкоди, яку Суд присудив заявникові відповідно до ст. 41</w:t>
      </w:r>
      <w:r w:rsidR="005E3227">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Конвенції. На практиці Україна та інші держави-учасниці здійснюють виплати у належні строки (тримісячний термін), а у випадку прострочення виплачують відповідні відсотки, передбачені в рішенні Суду.</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 xml:space="preserve">Держави інформують Комітет міністрів про факт і дату виплати суми грошової компенсації. Якщо виплата відшкодування здійснена у відповідності з умовами, визначеними Судом у його рішенні, Секретаріат вносить ці дані до реєстру, а Комітет міністрів закриває фінансову складову справи. Другий аспект повʼязаний із тим, що наслідки порушення для заявників не завжди можуть бути повністю усунуті шляхом справедливої сатисфакції, присудженої Судом, або встановленням факту порушення. Залежно від обставин основний обовʼязок досяг-нення, наскільки це можливо </w:t>
      </w:r>
      <w:r w:rsidRPr="00EF58C6">
        <w:rPr>
          <w:rFonts w:ascii="Times New Roman" w:hAnsi="Times New Roman" w:cs="Times New Roman"/>
          <w:sz w:val="28"/>
          <w:szCs w:val="28"/>
        </w:rPr>
        <w:t>restitutio</w:t>
      </w:r>
      <w:r w:rsidRPr="00EF58C6">
        <w:rPr>
          <w:rFonts w:ascii="Times New Roman" w:hAnsi="Times New Roman" w:cs="Times New Roman"/>
          <w:sz w:val="28"/>
          <w:szCs w:val="28"/>
          <w:lang w:val="ru-RU"/>
        </w:rPr>
        <w:t xml:space="preserve"> </w:t>
      </w:r>
      <w:r w:rsidRPr="00EF58C6">
        <w:rPr>
          <w:rFonts w:ascii="Times New Roman" w:hAnsi="Times New Roman" w:cs="Times New Roman"/>
          <w:sz w:val="28"/>
          <w:szCs w:val="28"/>
        </w:rPr>
        <w:t>in</w:t>
      </w:r>
      <w:r w:rsidRPr="00EF58C6">
        <w:rPr>
          <w:rFonts w:ascii="Times New Roman" w:hAnsi="Times New Roman" w:cs="Times New Roman"/>
          <w:sz w:val="28"/>
          <w:szCs w:val="28"/>
          <w:lang w:val="ru-RU"/>
        </w:rPr>
        <w:t xml:space="preserve"> </w:t>
      </w:r>
      <w:r w:rsidRPr="00EF58C6">
        <w:rPr>
          <w:rFonts w:ascii="Times New Roman" w:hAnsi="Times New Roman" w:cs="Times New Roman"/>
          <w:sz w:val="28"/>
          <w:szCs w:val="28"/>
        </w:rPr>
        <w:t>integrum</w:t>
      </w:r>
      <w:r w:rsidRPr="00EF58C6">
        <w:rPr>
          <w:rFonts w:ascii="Times New Roman" w:hAnsi="Times New Roman" w:cs="Times New Roman"/>
          <w:sz w:val="28"/>
          <w:szCs w:val="28"/>
          <w:lang w:val="ru-RU"/>
        </w:rPr>
        <w:t xml:space="preserve"> (відновлення в первісних правах), може вимагати подальших дій, тобто вжиття заходів індивідуального характеру.</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 xml:space="preserve">В Україні процедура виплати відшкодування детально регламентується статтями 7, 8 та 9 Закону України «Про виконання рішень та застосування практики Європейського суду з прав людини» від 23 лютого 2006 </w:t>
      </w:r>
      <w:r w:rsidRPr="00EF58C6">
        <w:rPr>
          <w:rFonts w:ascii="Times New Roman" w:hAnsi="Times New Roman" w:cs="Times New Roman"/>
          <w:sz w:val="28"/>
          <w:szCs w:val="28"/>
        </w:rPr>
        <w:t>p</w:t>
      </w:r>
      <w:r w:rsidRPr="00EF58C6">
        <w:rPr>
          <w:rFonts w:ascii="Times New Roman" w:hAnsi="Times New Roman" w:cs="Times New Roman"/>
          <w:sz w:val="28"/>
          <w:szCs w:val="28"/>
          <w:lang w:val="ru-RU"/>
        </w:rPr>
        <w:t xml:space="preserve">. </w:t>
      </w:r>
      <w:r w:rsidRPr="00EF58C6">
        <w:rPr>
          <w:rFonts w:ascii="Times New Roman" w:hAnsi="Times New Roman" w:cs="Times New Roman"/>
          <w:sz w:val="28"/>
          <w:szCs w:val="28"/>
        </w:rPr>
        <w:t>N</w:t>
      </w:r>
      <w:r w:rsidRPr="00EF58C6">
        <w:rPr>
          <w:rFonts w:ascii="Times New Roman" w:hAnsi="Times New Roman" w:cs="Times New Roman"/>
          <w:sz w:val="28"/>
          <w:szCs w:val="28"/>
          <w:lang w:val="ru-RU"/>
        </w:rPr>
        <w:t>º 3477-</w:t>
      </w:r>
      <w:r w:rsidRPr="00EF58C6">
        <w:rPr>
          <w:rFonts w:ascii="Times New Roman" w:hAnsi="Times New Roman" w:cs="Times New Roman"/>
          <w:sz w:val="28"/>
          <w:szCs w:val="28"/>
        </w:rPr>
        <w:t>IV</w:t>
      </w:r>
      <w:r w:rsidRPr="00EF58C6">
        <w:rPr>
          <w:rFonts w:ascii="Times New Roman" w:hAnsi="Times New Roman" w:cs="Times New Roman"/>
          <w:sz w:val="28"/>
          <w:szCs w:val="28"/>
          <w:lang w:val="ru-RU"/>
        </w:rPr>
        <w:t>. Відповідно до цього Закону стягувачем за рі-щенням Суду може бути не лише особа, на користь якої було постановлено рішення ЄСПЛ, а й її представник чи правонаступник. Після того як Секретаріат Урядового упо</w:t>
      </w:r>
      <w:r w:rsidR="005E3227">
        <w:rPr>
          <w:rFonts w:ascii="Times New Roman" w:hAnsi="Times New Roman" w:cs="Times New Roman"/>
          <w:sz w:val="28"/>
          <w:szCs w:val="28"/>
          <w:lang w:val="ru-RU"/>
        </w:rPr>
        <w:t xml:space="preserve">вноваженого </w:t>
      </w:r>
      <w:proofErr w:type="gramStart"/>
      <w:r w:rsidR="005E3227">
        <w:rPr>
          <w:rFonts w:ascii="Times New Roman" w:hAnsi="Times New Roman" w:cs="Times New Roman"/>
          <w:sz w:val="28"/>
          <w:szCs w:val="28"/>
          <w:lang w:val="ru-RU"/>
        </w:rPr>
        <w:t>у справах</w:t>
      </w:r>
      <w:proofErr w:type="gramEnd"/>
      <w:r w:rsidR="005E3227">
        <w:rPr>
          <w:rFonts w:ascii="Times New Roman" w:hAnsi="Times New Roman" w:cs="Times New Roman"/>
          <w:sz w:val="28"/>
          <w:szCs w:val="28"/>
          <w:lang w:val="ru-RU"/>
        </w:rPr>
        <w:t xml:space="preserve"> ЕСПЛ отри</w:t>
      </w:r>
      <w:r w:rsidRPr="00EF58C6">
        <w:rPr>
          <w:rFonts w:ascii="Times New Roman" w:hAnsi="Times New Roman" w:cs="Times New Roman"/>
          <w:sz w:val="28"/>
          <w:szCs w:val="28"/>
          <w:lang w:val="ru-RU"/>
        </w:rPr>
        <w:t>мав повідомлення Суду про набуття рішенням статусу остаточного, він надсилає до державної виконавчої служби оригінальний текст і переклад резолютивної частини остаточного рішення Суду у справі проти</w:t>
      </w:r>
      <w:r w:rsidR="005E3227">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 xml:space="preserve">України. Державна виконавча служба впродовж десяти днів з дня надходження документів відкриває виконавче провадження. Отже, </w:t>
      </w:r>
      <w:r w:rsidRPr="00EF58C6">
        <w:rPr>
          <w:rFonts w:ascii="Times New Roman" w:hAnsi="Times New Roman" w:cs="Times New Roman"/>
          <w:sz w:val="28"/>
          <w:szCs w:val="28"/>
          <w:lang w:val="ru-RU"/>
        </w:rPr>
        <w:lastRenderedPageBreak/>
        <w:t>рішення Суду як виконавчий документ саме по собі є підставою для відкриття виконавчого провадження.</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 xml:space="preserve">Протягом місяця з дня відкриття виконавчого провадження Секретаріат Урядового уповноваженого </w:t>
      </w:r>
      <w:proofErr w:type="gramStart"/>
      <w:r w:rsidRPr="00EF58C6">
        <w:rPr>
          <w:rFonts w:ascii="Times New Roman" w:hAnsi="Times New Roman" w:cs="Times New Roman"/>
          <w:sz w:val="28"/>
          <w:szCs w:val="28"/>
          <w:lang w:val="ru-RU"/>
        </w:rPr>
        <w:t>у справах</w:t>
      </w:r>
      <w:proofErr w:type="gramEnd"/>
      <w:r w:rsidRPr="00EF58C6">
        <w:rPr>
          <w:rFonts w:ascii="Times New Roman" w:hAnsi="Times New Roman" w:cs="Times New Roman"/>
          <w:sz w:val="28"/>
          <w:szCs w:val="28"/>
          <w:lang w:val="ru-RU"/>
        </w:rPr>
        <w:t xml:space="preserve"> ЄСПЛ надсилає до Державної казначейської служби постанову про відкриття виконавчого провадження з оригінальним текстом і перекладом рішення Суду.</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 xml:space="preserve">Упродовж десяти днів з дня надходження зазначених документів Державна казначейська служба проводить списання коштів </w:t>
      </w:r>
      <w:proofErr w:type="gramStart"/>
      <w:r w:rsidRPr="00EF58C6">
        <w:rPr>
          <w:rFonts w:ascii="Times New Roman" w:hAnsi="Times New Roman" w:cs="Times New Roman"/>
          <w:sz w:val="28"/>
          <w:szCs w:val="28"/>
          <w:lang w:val="ru-RU"/>
        </w:rPr>
        <w:t>у рамках</w:t>
      </w:r>
      <w:proofErr w:type="gramEnd"/>
      <w:r w:rsidRPr="00EF58C6">
        <w:rPr>
          <w:rFonts w:ascii="Times New Roman" w:hAnsi="Times New Roman" w:cs="Times New Roman"/>
          <w:sz w:val="28"/>
          <w:szCs w:val="28"/>
          <w:lang w:val="ru-RU"/>
        </w:rPr>
        <w:t xml:space="preserve"> процедури виплати відшкодування, призначеного Судом, на вказаний стягувачем банківський рахунок, а у разі його відсутності - на депозитний рахунок Державної виконавчої служби.</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Важливою гарантією виплати відшкодування є встановлення рішенням Суду строку на таку виплату. Зазвичай Судом для здійснення виплати відшкодування надається тримісячний строк з моменту набуття рішенням статусу остаточного. Однак у рішенні може бути визначений і інший строк. До того ж Судом визначається розмір пені, яка підлягає стягненню додатково до сум</w:t>
      </w:r>
      <w:r w:rsidR="005E3227">
        <w:rPr>
          <w:rFonts w:ascii="Times New Roman" w:hAnsi="Times New Roman" w:cs="Times New Roman"/>
          <w:sz w:val="28"/>
          <w:szCs w:val="28"/>
          <w:lang w:val="ru-RU"/>
        </w:rPr>
        <w:t>и відшкодування, у разі порушення такого строку.</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Вжиття додаткових заходів індивідуального характеру. Додатковими заходами індивідуального характеру є відновлення настільки, наскільки це можливо, попереднього юридичного стану, який заявник мав до порушення Конвенції (</w:t>
      </w:r>
      <w:r w:rsidRPr="00EF58C6">
        <w:rPr>
          <w:rFonts w:ascii="Times New Roman" w:hAnsi="Times New Roman" w:cs="Times New Roman"/>
          <w:sz w:val="28"/>
          <w:szCs w:val="28"/>
        </w:rPr>
        <w:t>restitutio</w:t>
      </w:r>
      <w:r w:rsidRPr="00EF58C6">
        <w:rPr>
          <w:rFonts w:ascii="Times New Roman" w:hAnsi="Times New Roman" w:cs="Times New Roman"/>
          <w:sz w:val="28"/>
          <w:szCs w:val="28"/>
          <w:lang w:val="ru-RU"/>
        </w:rPr>
        <w:t xml:space="preserve"> </w:t>
      </w:r>
      <w:r w:rsidRPr="00EF58C6">
        <w:rPr>
          <w:rFonts w:ascii="Times New Roman" w:hAnsi="Times New Roman" w:cs="Times New Roman"/>
          <w:sz w:val="28"/>
          <w:szCs w:val="28"/>
        </w:rPr>
        <w:t>in</w:t>
      </w:r>
      <w:r w:rsidRPr="00EF58C6">
        <w:rPr>
          <w:rFonts w:ascii="Times New Roman" w:hAnsi="Times New Roman" w:cs="Times New Roman"/>
          <w:sz w:val="28"/>
          <w:szCs w:val="28"/>
          <w:lang w:val="ru-RU"/>
        </w:rPr>
        <w:t xml:space="preserve"> </w:t>
      </w:r>
      <w:r w:rsidRPr="00EF58C6">
        <w:rPr>
          <w:rFonts w:ascii="Times New Roman" w:hAnsi="Times New Roman" w:cs="Times New Roman"/>
          <w:sz w:val="28"/>
          <w:szCs w:val="28"/>
        </w:rPr>
        <w:t>integrum</w:t>
      </w:r>
      <w:r w:rsidRPr="00EF58C6">
        <w:rPr>
          <w:rFonts w:ascii="Times New Roman" w:hAnsi="Times New Roman" w:cs="Times New Roman"/>
          <w:sz w:val="28"/>
          <w:szCs w:val="28"/>
          <w:lang w:val="ru-RU"/>
        </w:rPr>
        <w:t>). Такі заходи спрямовані на припинення порушень, які ще тривають у часі, та усунення наслідків порушень, які були здійснені в минулому, з метою віднов-лення, наскільки це можливо, становища, яке існувало до порушення конвенційних норм. У деяких випадках відновлення попереднього юридичного стану є неможливим через</w:t>
      </w:r>
      <w:r w:rsidR="005E3227">
        <w:rPr>
          <w:rFonts w:ascii="Times New Roman" w:hAnsi="Times New Roman" w:cs="Times New Roman"/>
          <w:sz w:val="28"/>
          <w:szCs w:val="28"/>
          <w:lang w:val="ru-RU"/>
        </w:rPr>
        <w:t xml:space="preserve"> характер порушення. Зокрема, у </w:t>
      </w:r>
      <w:r w:rsidRPr="00EF58C6">
        <w:rPr>
          <w:rFonts w:ascii="Times New Roman" w:hAnsi="Times New Roman" w:cs="Times New Roman"/>
          <w:sz w:val="28"/>
          <w:szCs w:val="28"/>
          <w:lang w:val="ru-RU"/>
        </w:rPr>
        <w:t xml:space="preserve">разі порушення ст. 3 Конвенції (заборона катування) неможливо відновити ситуацію в тому вигляді, в якому вона існувала до </w:t>
      </w:r>
      <w:r w:rsidRPr="00EF58C6">
        <w:rPr>
          <w:rFonts w:ascii="Times New Roman" w:hAnsi="Times New Roman" w:cs="Times New Roman"/>
          <w:sz w:val="28"/>
          <w:szCs w:val="28"/>
          <w:lang w:val="ru-RU"/>
        </w:rPr>
        <w:lastRenderedPageBreak/>
        <w:t>вчинення порушення. Єдиним відшкодуванням у цьому випадку може бути компенсація моральної та матеріальної шкоди.</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У більшості ж справ понесена заявником шкода може бути реально відшкодована лише вжиттям державою-відповідачем індивідуальних заходів для того, щоб, наскільки це можливо, здійснити відновлення порушених прав. Найбільш поширеними є такі заходи індивідуального характеру: до перших можна віднести заходи, яких вживає держава після констатації порушення Конвенції (в основному ст. 3 та ст. 8) унаслідок вислання іноземних громадян зі своєї території. Це може бути скасування наказу про депортацію, виданого стосовно іноземця, незважаючи на реальну небезпеку тортур або інших форм жорстокого поводження у країні призначення; до других належать зняття накладеної на порушення Конвенції судимості та/або відновлення неправомірно вилучених прав. Якщо заявник був засуджений за публікацію будь-яких матеріалів або думок, а Суд констатував за цим фактом порушення ст. 10 Конвенції, тоді виконання рішення передбачає, окрім виплати можливої компенсації, скасу</w:t>
      </w:r>
      <w:r w:rsidR="005E3227">
        <w:rPr>
          <w:rFonts w:ascii="Times New Roman" w:hAnsi="Times New Roman" w:cs="Times New Roman"/>
          <w:sz w:val="28"/>
          <w:szCs w:val="28"/>
          <w:lang w:val="ru-RU"/>
        </w:rPr>
        <w:t>вання вироку або зняття судимос</w:t>
      </w:r>
      <w:r w:rsidRPr="00EF58C6">
        <w:rPr>
          <w:rFonts w:ascii="Times New Roman" w:hAnsi="Times New Roman" w:cs="Times New Roman"/>
          <w:sz w:val="28"/>
          <w:szCs w:val="28"/>
          <w:lang w:val="ru-RU"/>
        </w:rPr>
        <w:t>ті. Третіми та найбільш проблемними з юридичної точки зору заходами індивідуального характеру є перегляд національними судами спра-ви, щодо якої Судом було вказано на порушення Конвенції.</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 xml:space="preserve">Із метою створення ефективного правового механізму щодо перегляду рішень національних судів була прийнята Рекомендація Комітету міністрів </w:t>
      </w:r>
      <w:r w:rsidRPr="00EF58C6">
        <w:rPr>
          <w:rFonts w:ascii="Times New Roman" w:hAnsi="Times New Roman" w:cs="Times New Roman"/>
          <w:sz w:val="28"/>
          <w:szCs w:val="28"/>
        </w:rPr>
        <w:t>N</w:t>
      </w:r>
      <w:r w:rsidRPr="00EF58C6">
        <w:rPr>
          <w:rFonts w:ascii="Times New Roman" w:hAnsi="Times New Roman" w:cs="Times New Roman"/>
          <w:sz w:val="28"/>
          <w:szCs w:val="28"/>
          <w:lang w:val="ru-RU"/>
        </w:rPr>
        <w:t xml:space="preserve">º </w:t>
      </w:r>
      <w:r w:rsidRPr="00EF58C6">
        <w:rPr>
          <w:rFonts w:ascii="Times New Roman" w:hAnsi="Times New Roman" w:cs="Times New Roman"/>
          <w:sz w:val="28"/>
          <w:szCs w:val="28"/>
        </w:rPr>
        <w:t>R</w:t>
      </w:r>
      <w:r w:rsidRPr="00EF58C6">
        <w:rPr>
          <w:rFonts w:ascii="Times New Roman" w:hAnsi="Times New Roman" w:cs="Times New Roman"/>
          <w:sz w:val="28"/>
          <w:szCs w:val="28"/>
          <w:lang w:val="ru-RU"/>
        </w:rPr>
        <w:t xml:space="preserve"> (2000) 2 «Щодо повторного розгляду або поновлення провадження у певних справах на національному рівні після ухвалення рішень Європейським судом з прав людини». Вона закріпила вироблений у практиці Комітету міністрів принцип, відповідно до якого</w:t>
      </w:r>
      <w:r w:rsidR="005E3227">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 xml:space="preserve">окрім виплати грошової компенсації, вжиття заходів індивідуального характеру для досягнення </w:t>
      </w:r>
      <w:r w:rsidRPr="00EF58C6">
        <w:rPr>
          <w:rFonts w:ascii="Times New Roman" w:hAnsi="Times New Roman" w:cs="Times New Roman"/>
          <w:sz w:val="28"/>
          <w:szCs w:val="28"/>
        </w:rPr>
        <w:t>restitutio</w:t>
      </w:r>
      <w:r w:rsidRPr="00EF58C6">
        <w:rPr>
          <w:rFonts w:ascii="Times New Roman" w:hAnsi="Times New Roman" w:cs="Times New Roman"/>
          <w:sz w:val="28"/>
          <w:szCs w:val="28"/>
          <w:lang w:val="ru-RU"/>
        </w:rPr>
        <w:t xml:space="preserve"> </w:t>
      </w:r>
      <w:r w:rsidRPr="00EF58C6">
        <w:rPr>
          <w:rFonts w:ascii="Times New Roman" w:hAnsi="Times New Roman" w:cs="Times New Roman"/>
          <w:sz w:val="28"/>
          <w:szCs w:val="28"/>
        </w:rPr>
        <w:t>in</w:t>
      </w:r>
      <w:r w:rsidRPr="00EF58C6">
        <w:rPr>
          <w:rFonts w:ascii="Times New Roman" w:hAnsi="Times New Roman" w:cs="Times New Roman"/>
          <w:sz w:val="28"/>
          <w:szCs w:val="28"/>
          <w:lang w:val="ru-RU"/>
        </w:rPr>
        <w:t xml:space="preserve"> </w:t>
      </w:r>
      <w:r w:rsidRPr="00EF58C6">
        <w:rPr>
          <w:rFonts w:ascii="Times New Roman" w:hAnsi="Times New Roman" w:cs="Times New Roman"/>
          <w:sz w:val="28"/>
          <w:szCs w:val="28"/>
        </w:rPr>
        <w:t>integrum</w:t>
      </w:r>
      <w:r w:rsidRPr="00EF58C6">
        <w:rPr>
          <w:rFonts w:ascii="Times New Roman" w:hAnsi="Times New Roman" w:cs="Times New Roman"/>
          <w:sz w:val="28"/>
          <w:szCs w:val="28"/>
          <w:lang w:val="ru-RU"/>
        </w:rPr>
        <w:t xml:space="preserve">. Крім того, Комітет міністрів зазначив, що повторний розгляд справи або </w:t>
      </w:r>
      <w:r w:rsidRPr="00EF58C6">
        <w:rPr>
          <w:rFonts w:ascii="Times New Roman" w:hAnsi="Times New Roman" w:cs="Times New Roman"/>
          <w:sz w:val="28"/>
          <w:szCs w:val="28"/>
          <w:lang w:val="ru-RU"/>
        </w:rPr>
        <w:lastRenderedPageBreak/>
        <w:t xml:space="preserve">поновлення провадження розглядається як найбільш ефективний, якщо не єдиний засіб досягнення </w:t>
      </w:r>
      <w:r w:rsidRPr="00EF58C6">
        <w:rPr>
          <w:rFonts w:ascii="Times New Roman" w:hAnsi="Times New Roman" w:cs="Times New Roman"/>
          <w:sz w:val="28"/>
          <w:szCs w:val="28"/>
        </w:rPr>
        <w:t>restitutio</w:t>
      </w:r>
      <w:r w:rsidRPr="00EF58C6">
        <w:rPr>
          <w:rFonts w:ascii="Times New Roman" w:hAnsi="Times New Roman" w:cs="Times New Roman"/>
          <w:sz w:val="28"/>
          <w:szCs w:val="28"/>
          <w:lang w:val="ru-RU"/>
        </w:rPr>
        <w:t xml:space="preserve"> </w:t>
      </w:r>
      <w:r w:rsidRPr="00EF58C6">
        <w:rPr>
          <w:rFonts w:ascii="Times New Roman" w:hAnsi="Times New Roman" w:cs="Times New Roman"/>
          <w:sz w:val="28"/>
          <w:szCs w:val="28"/>
        </w:rPr>
        <w:t>in</w:t>
      </w:r>
      <w:r w:rsidRPr="00EF58C6">
        <w:rPr>
          <w:rFonts w:ascii="Times New Roman" w:hAnsi="Times New Roman" w:cs="Times New Roman"/>
          <w:sz w:val="28"/>
          <w:szCs w:val="28"/>
          <w:lang w:val="ru-RU"/>
        </w:rPr>
        <w:t xml:space="preserve"> </w:t>
      </w:r>
      <w:r w:rsidRPr="00EF58C6">
        <w:rPr>
          <w:rFonts w:ascii="Times New Roman" w:hAnsi="Times New Roman" w:cs="Times New Roman"/>
          <w:sz w:val="28"/>
          <w:szCs w:val="28"/>
        </w:rPr>
        <w:t>integrum</w:t>
      </w:r>
      <w:r w:rsidRPr="00EF58C6">
        <w:rPr>
          <w:rFonts w:ascii="Times New Roman" w:hAnsi="Times New Roman" w:cs="Times New Roman"/>
          <w:sz w:val="28"/>
          <w:szCs w:val="28"/>
          <w:lang w:val="ru-RU"/>
        </w:rPr>
        <w:t>.</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Аналогічними за змістом щодо цієї рекомендації є п. 3 ч. 4 ст. 361</w:t>
      </w:r>
      <w:r w:rsidR="005E3227">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Кодексу адміністративного судочинства України, п. 2 ч. 3 ст. 320</w:t>
      </w:r>
      <w:r w:rsidR="005E3227">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Господарського процесуального кодексу України, п. 2 ч. 3 ст. 320</w:t>
      </w:r>
      <w:r w:rsidR="005E3227">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Кримінального процесуального кодексу України, п. 2 ч. 3 ст. 423</w:t>
      </w:r>
      <w:r w:rsidR="005E3227">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Цивільного процесуального кодексу України, в яких визначено, що однією з підстав для перегляду судових рішень Верховним Судом є встановлення міжнародною судовою установою, юрисдикція якої визнана Україною, порушення Україною міжнародних зобовʼязань при вирішенні даної справи судом.</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 xml:space="preserve">Ініціювання перегляду справи національним судом як частина процедури виконання рішення ЄСПЛ, що є заходом індивідуального </w:t>
      </w:r>
      <w:proofErr w:type="gramStart"/>
      <w:r w:rsidRPr="00EF58C6">
        <w:rPr>
          <w:rFonts w:ascii="Times New Roman" w:hAnsi="Times New Roman" w:cs="Times New Roman"/>
          <w:sz w:val="28"/>
          <w:szCs w:val="28"/>
          <w:lang w:val="ru-RU"/>
        </w:rPr>
        <w:t>ха-рактеру</w:t>
      </w:r>
      <w:proofErr w:type="gramEnd"/>
      <w:r w:rsidRPr="00EF58C6">
        <w:rPr>
          <w:rFonts w:ascii="Times New Roman" w:hAnsi="Times New Roman" w:cs="Times New Roman"/>
          <w:sz w:val="28"/>
          <w:szCs w:val="28"/>
          <w:lang w:val="ru-RU"/>
        </w:rPr>
        <w:t>, є правом заявника, яким він може скористатися в порядку, визначеному законодавством, вчинивши відповідну дію - подавши заяву в порядку, встановленому національним процесуальним законом.</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У даному випадку, на відміну від здійснення виплати присудженого</w:t>
      </w:r>
      <w:r w:rsidR="005E3227">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 xml:space="preserve">Судом відшкодування, дії Органу представництва (Урядового уповноваженого </w:t>
      </w:r>
      <w:proofErr w:type="gramStart"/>
      <w:r w:rsidRPr="00EF58C6">
        <w:rPr>
          <w:rFonts w:ascii="Times New Roman" w:hAnsi="Times New Roman" w:cs="Times New Roman"/>
          <w:sz w:val="28"/>
          <w:szCs w:val="28"/>
          <w:lang w:val="ru-RU"/>
        </w:rPr>
        <w:t>у справах</w:t>
      </w:r>
      <w:proofErr w:type="gramEnd"/>
      <w:r w:rsidRPr="00EF58C6">
        <w:rPr>
          <w:rFonts w:ascii="Times New Roman" w:hAnsi="Times New Roman" w:cs="Times New Roman"/>
          <w:sz w:val="28"/>
          <w:szCs w:val="28"/>
          <w:lang w:val="ru-RU"/>
        </w:rPr>
        <w:t xml:space="preserve"> ЄСПЛ) обмежуються розʼясненням такого права заявникові. Зазначений орган виконавчої влади не наділений повноваженням самостійно ініціювати процедуру перегляду справи.</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У деяких рішеннях ЄСПЛ може вказати на окремі заходи індивідуального характеру, яких має вжити держава для виконання рішення</w:t>
      </w:r>
      <w:r w:rsidR="005E3227">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Суду. Так, у рішенні «Олександр Волков проти України» від 9 січня</w:t>
      </w:r>
      <w:r w:rsidR="005E3227">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2013 р. Суд, констатувавши порушення п. 1 ст. 6, ст. 8 Конвенції, серед іншого постановив, що Україна має забезпечити якнайшвидше поновлення заявника на посаді судді ВСУ.</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lastRenderedPageBreak/>
        <w:t>Вжиття заходів загального характеру. Зобовʼязання вжити заходів загального характеру спрямова</w:t>
      </w:r>
      <w:r w:rsidR="005E3227">
        <w:rPr>
          <w:rFonts w:ascii="Times New Roman" w:hAnsi="Times New Roman" w:cs="Times New Roman"/>
          <w:sz w:val="28"/>
          <w:szCs w:val="28"/>
          <w:lang w:val="ru-RU"/>
        </w:rPr>
        <w:t>не на те, щоб запобігти порушен</w:t>
      </w:r>
      <w:r w:rsidRPr="00EF58C6">
        <w:rPr>
          <w:rFonts w:ascii="Times New Roman" w:hAnsi="Times New Roman" w:cs="Times New Roman"/>
          <w:sz w:val="28"/>
          <w:szCs w:val="28"/>
          <w:lang w:val="ru-RU"/>
        </w:rPr>
        <w:t>ням, схожим на ті, що вже встановлені Судом, і може залежно від обставин припускати перегляд законодавства та судової практики.</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Порушення, встановлені Судом, та заходи загального характеру, яких було вжито державами, поділяють на дві великі групи. До першої слід віднести рішення, для виконання яких потрібно було вносити зміни до законодавства, а до другої - ті рішення, для виконання яких держава змінювала правозастосовну практику.</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Особливість заходів загального характеру полягає в тому, що вони виходять за межі конкретної справи та зачіпають широке коло осіб. Їх прийняття має на меті перш за все визначити причини, які призвели до порушення Конвенції, та пошук ш</w:t>
      </w:r>
      <w:r w:rsidR="005E3227">
        <w:rPr>
          <w:rFonts w:ascii="Times New Roman" w:hAnsi="Times New Roman" w:cs="Times New Roman"/>
          <w:sz w:val="28"/>
          <w:szCs w:val="28"/>
          <w:lang w:val="ru-RU"/>
        </w:rPr>
        <w:t>ляхів усунення цих причин. У де</w:t>
      </w:r>
      <w:r w:rsidRPr="00EF58C6">
        <w:rPr>
          <w:rFonts w:ascii="Times New Roman" w:hAnsi="Times New Roman" w:cs="Times New Roman"/>
          <w:sz w:val="28"/>
          <w:szCs w:val="28"/>
          <w:lang w:val="ru-RU"/>
        </w:rPr>
        <w:t xml:space="preserve">яких випадках обставини вказують </w:t>
      </w:r>
      <w:r w:rsidR="005E3227">
        <w:rPr>
          <w:rFonts w:ascii="Times New Roman" w:hAnsi="Times New Roman" w:cs="Times New Roman"/>
          <w:sz w:val="28"/>
          <w:szCs w:val="28"/>
          <w:lang w:val="ru-RU"/>
        </w:rPr>
        <w:t>на те, що порушення виникло уна</w:t>
      </w:r>
      <w:r w:rsidRPr="00EF58C6">
        <w:rPr>
          <w:rFonts w:ascii="Times New Roman" w:hAnsi="Times New Roman" w:cs="Times New Roman"/>
          <w:sz w:val="28"/>
          <w:szCs w:val="28"/>
          <w:lang w:val="ru-RU"/>
        </w:rPr>
        <w:t>слідок недосконалості внутрішнього законодавства або відсутності</w:t>
      </w:r>
      <w:r w:rsidR="005E3227">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такого законодавства. У цьому разі виконання рішень Суду вимагає або зміни існуючих законів, або прийняття нового законодавства. Проте</w:t>
      </w:r>
      <w:r w:rsidR="005E3227">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в багатьох виладках системна проблема, яка призвела до порушення,</w:t>
      </w:r>
      <w:r w:rsidR="005E3227">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полягає не в конфлікті між внутрішнім законодавством та Конвенцією, а в правозастосовній практиці національних судів.</w:t>
      </w:r>
    </w:p>
    <w:p w:rsidR="005E3227"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 xml:space="preserve">Відповідно до ч. 2 ст. 13 Закону України «Про виконання рішень та застосування практики Європейського суду з прав людини» від 23 лютого 2006 р. </w:t>
      </w:r>
      <w:r w:rsidRPr="00EF58C6">
        <w:rPr>
          <w:rFonts w:ascii="Times New Roman" w:hAnsi="Times New Roman" w:cs="Times New Roman"/>
          <w:sz w:val="28"/>
          <w:szCs w:val="28"/>
        </w:rPr>
        <w:t>N</w:t>
      </w:r>
      <w:r w:rsidRPr="00EF58C6">
        <w:rPr>
          <w:rFonts w:ascii="Times New Roman" w:hAnsi="Times New Roman" w:cs="Times New Roman"/>
          <w:sz w:val="28"/>
          <w:szCs w:val="28"/>
          <w:lang w:val="ru-RU"/>
        </w:rPr>
        <w:t>º 3477-</w:t>
      </w:r>
      <w:r w:rsidRPr="00EF58C6">
        <w:rPr>
          <w:rFonts w:ascii="Times New Roman" w:hAnsi="Times New Roman" w:cs="Times New Roman"/>
          <w:sz w:val="28"/>
          <w:szCs w:val="28"/>
        </w:rPr>
        <w:t>IV</w:t>
      </w:r>
      <w:r w:rsidRPr="00EF58C6">
        <w:rPr>
          <w:rFonts w:ascii="Times New Roman" w:hAnsi="Times New Roman" w:cs="Times New Roman"/>
          <w:sz w:val="28"/>
          <w:szCs w:val="28"/>
          <w:lang w:val="ru-RU"/>
        </w:rPr>
        <w:t xml:space="preserve"> до заходів загального характеру належать: </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 xml:space="preserve">а) внесення змін до чинного законодавства та практики його </w:t>
      </w:r>
      <w:r w:rsidR="005E3227">
        <w:rPr>
          <w:rFonts w:ascii="Times New Roman" w:hAnsi="Times New Roman" w:cs="Times New Roman"/>
          <w:sz w:val="28"/>
          <w:szCs w:val="28"/>
          <w:lang w:val="ru-RU"/>
        </w:rPr>
        <w:t>за</w:t>
      </w:r>
      <w:r w:rsidRPr="00EF58C6">
        <w:rPr>
          <w:rFonts w:ascii="Times New Roman" w:hAnsi="Times New Roman" w:cs="Times New Roman"/>
          <w:sz w:val="28"/>
          <w:szCs w:val="28"/>
          <w:lang w:val="ru-RU"/>
        </w:rPr>
        <w:t>стосування;</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б) внесення змін до адміністративної практики; в) забезпечення юридичної експертизи законопроектів;</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lastRenderedPageBreak/>
        <w:t>г) забезпечення професійної підготовки з питань вивчення Конвенції та практики Суду прокурорів, адвокатів, працівників правоохоронних органів, працівників імміграційних служб, інших категорій пра-цівників, професійна діяльність яких повʼязана із правозастосуванням, а також із триманням людей в умовах позбавлення свободи;</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д) інші заходи, які визначаються - за умови нагляду з боку КМ РЄ - державою-відповідачем відповідно до рішення з метою забезпечення усунення недоліків системного характеру, припинення спричинених цими недоліками порушень Конвенції та забезпечення максимального відшкодування наслідків цих порушень.</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 xml:space="preserve">Забезпечення вжиття заходів загального характеру належить до компетенції Урядового уповноваженого </w:t>
      </w:r>
      <w:proofErr w:type="gramStart"/>
      <w:r w:rsidRPr="00EF58C6">
        <w:rPr>
          <w:rFonts w:ascii="Times New Roman" w:hAnsi="Times New Roman" w:cs="Times New Roman"/>
          <w:sz w:val="28"/>
          <w:szCs w:val="28"/>
          <w:lang w:val="ru-RU"/>
        </w:rPr>
        <w:t>у справах</w:t>
      </w:r>
      <w:proofErr w:type="gramEnd"/>
      <w:r w:rsidRPr="00EF58C6">
        <w:rPr>
          <w:rFonts w:ascii="Times New Roman" w:hAnsi="Times New Roman" w:cs="Times New Roman"/>
          <w:sz w:val="28"/>
          <w:szCs w:val="28"/>
          <w:lang w:val="ru-RU"/>
        </w:rPr>
        <w:t xml:space="preserve"> ЄСПЛ.</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 xml:space="preserve">Так, Урядовий уповноважений </w:t>
      </w:r>
      <w:proofErr w:type="gramStart"/>
      <w:r w:rsidRPr="00EF58C6">
        <w:rPr>
          <w:rFonts w:ascii="Times New Roman" w:hAnsi="Times New Roman" w:cs="Times New Roman"/>
          <w:sz w:val="28"/>
          <w:szCs w:val="28"/>
          <w:lang w:val="ru-RU"/>
        </w:rPr>
        <w:t>у справах</w:t>
      </w:r>
      <w:proofErr w:type="gramEnd"/>
      <w:r w:rsidRPr="00EF58C6">
        <w:rPr>
          <w:rFonts w:ascii="Times New Roman" w:hAnsi="Times New Roman" w:cs="Times New Roman"/>
          <w:sz w:val="28"/>
          <w:szCs w:val="28"/>
          <w:lang w:val="ru-RU"/>
        </w:rPr>
        <w:t xml:space="preserve"> ЄСПЛ щокварталу готує</w:t>
      </w:r>
      <w:r w:rsidR="005E3227">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та надсилає:</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а) до КМУ - подання щодо вжиття заходів загального характеру, в якому наводить аналіз обставин, що призвели до порушення Конвен-ції, та пропозиції щодо внесення змін до чинного законодавства, адміністративної практики, вжиття заходів з професійної підготовки суддів, прокурорів, адвокатів, працівників правоохоронних органів, імміграційних служб, інших категорій працівників, професійна діяльність яких повʼязана із правозастосуванням, а також із триманням людей в умовах</w:t>
      </w:r>
      <w:r w:rsidR="005E3227">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позбавлення свободи;</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б) до Верховного Суду - аналітичний огляд, який включає аналіз обставин, що спричинили порушення Конвенції, та пропозиції щодо приведення судової практики у відповідність із вимогами Конвенції;</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в) до Апарату ВРУ - пропозиції для врахування під час підготовки законопроектів.</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lastRenderedPageBreak/>
        <w:t>Держави зобовʼязані вжити заходів загального характеру у вигляді законодавчих змін у тих випадках, коли Суд у своєму рішенні вказує на наявність структурних проблем у національному законодавстві та практиці. Це так звані «провідні справи», які Комітет міністрів обʼєднує у групи справ і до яких зазвичай ще включають відповідні пілотні рішення та «повторювані справи». Таке обʼєднання справ робиться з метою ефективного наг</w:t>
      </w:r>
      <w:r w:rsidR="005E3227">
        <w:rPr>
          <w:rFonts w:ascii="Times New Roman" w:hAnsi="Times New Roman" w:cs="Times New Roman"/>
          <w:sz w:val="28"/>
          <w:szCs w:val="28"/>
          <w:lang w:val="ru-RU"/>
        </w:rPr>
        <w:t>ляду за виконанням рішень Суду.</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У той же час за державою залишається право самостійно обирати засоби, за допомогою яких вона здійснюватиме виконання рішення</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Суду, але такі засоби не повинні суперечити висновкам, викладеним у самому рішенні.</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Суд у своїх «пілотних рішеннях» вказує на конкретні недоліки правової системи держави та надає державі час на усунення таких по-рушень, відкладаючи розгляд заяв, в яких заявники посилаються на порушення державою їхніх прав, повʼязані із системними проблемами правозастосування. Так, після того як 15 жовтня 2009 р. Судом було постановлено перше «пілотне рішення» проти України у справі «Юрій Миколайович Іванов проти України», в якому було встановлено порушення ч. 1 ст. 6 Конвенції через тривалість невиконання остаточних судових рішень, Суд відклав розгляд усіх аналогічних заяв на 1 рік, надавши державі строк для усуне</w:t>
      </w:r>
      <w:r w:rsidR="005E3227">
        <w:rPr>
          <w:rFonts w:ascii="Times New Roman" w:hAnsi="Times New Roman" w:cs="Times New Roman"/>
          <w:sz w:val="28"/>
          <w:szCs w:val="28"/>
          <w:lang w:val="ru-RU"/>
        </w:rPr>
        <w:t>ння системних недоліків, що при</w:t>
      </w:r>
      <w:r w:rsidRPr="00EF58C6">
        <w:rPr>
          <w:rFonts w:ascii="Times New Roman" w:hAnsi="Times New Roman" w:cs="Times New Roman"/>
          <w:sz w:val="28"/>
          <w:szCs w:val="28"/>
          <w:lang w:val="ru-RU"/>
        </w:rPr>
        <w:t>зводять до такого порушення права. Однак у зв'язку з невиконанням</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Україною заходів загального характеру відповідно до вказаного рішення 1 березня 2012 р. Суд повідомив про відновлення розгляду таких заяв, зазначивши про наявніст</w:t>
      </w:r>
      <w:r w:rsidR="00847C50">
        <w:rPr>
          <w:rFonts w:ascii="Times New Roman" w:hAnsi="Times New Roman" w:cs="Times New Roman"/>
          <w:sz w:val="28"/>
          <w:szCs w:val="28"/>
          <w:lang w:val="ru-RU"/>
        </w:rPr>
        <w:t xml:space="preserve">ь близько 2,5 тис. таких заяв. </w:t>
      </w:r>
      <w:r w:rsidRPr="00EF58C6">
        <w:rPr>
          <w:rFonts w:ascii="Times New Roman" w:hAnsi="Times New Roman" w:cs="Times New Roman"/>
          <w:sz w:val="28"/>
          <w:szCs w:val="28"/>
          <w:lang w:val="ru-RU"/>
        </w:rPr>
        <w:t xml:space="preserve">Лише у червні 2012 р. на виконання відповідного «пілотного рішення» Суду ВРУ було прийнято </w:t>
      </w:r>
      <w:r w:rsidRPr="00EF58C6">
        <w:rPr>
          <w:rFonts w:ascii="Times New Roman" w:hAnsi="Times New Roman" w:cs="Times New Roman"/>
          <w:sz w:val="28"/>
          <w:szCs w:val="28"/>
          <w:lang w:val="ru-RU"/>
        </w:rPr>
        <w:lastRenderedPageBreak/>
        <w:t xml:space="preserve">Закон України «Про гаранті держави щодо виконання судових рішень» від 5 червня 2012 р. </w:t>
      </w:r>
      <w:r w:rsidRPr="00EF58C6">
        <w:rPr>
          <w:rFonts w:ascii="Times New Roman" w:hAnsi="Times New Roman" w:cs="Times New Roman"/>
          <w:sz w:val="28"/>
          <w:szCs w:val="28"/>
        </w:rPr>
        <w:t>N</w:t>
      </w:r>
      <w:r w:rsidRPr="00EF58C6">
        <w:rPr>
          <w:rFonts w:ascii="Times New Roman" w:hAnsi="Times New Roman" w:cs="Times New Roman"/>
          <w:sz w:val="28"/>
          <w:szCs w:val="28"/>
          <w:lang w:val="ru-RU"/>
        </w:rPr>
        <w:t>º 4901-</w:t>
      </w:r>
      <w:r w:rsidRPr="00EF58C6">
        <w:rPr>
          <w:rFonts w:ascii="Times New Roman" w:hAnsi="Times New Roman" w:cs="Times New Roman"/>
          <w:sz w:val="28"/>
          <w:szCs w:val="28"/>
        </w:rPr>
        <w:t>VI</w:t>
      </w:r>
      <w:r w:rsidRPr="00EF58C6">
        <w:rPr>
          <w:rFonts w:ascii="Times New Roman" w:hAnsi="Times New Roman" w:cs="Times New Roman"/>
          <w:sz w:val="28"/>
          <w:szCs w:val="28"/>
          <w:lang w:val="ru-RU"/>
        </w:rPr>
        <w:t>.</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Прикладом же поступового виконання рішень Суду та вжиття</w:t>
      </w:r>
      <w:r w:rsidR="00847C50">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 xml:space="preserve">Україною заходів загального характеру </w:t>
      </w:r>
      <w:r w:rsidR="00847C50">
        <w:rPr>
          <w:rFonts w:ascii="Times New Roman" w:hAnsi="Times New Roman" w:cs="Times New Roman"/>
          <w:sz w:val="28"/>
          <w:szCs w:val="28"/>
          <w:lang w:val="ru-RU"/>
        </w:rPr>
        <w:t>було рішення у справі «Хар</w:t>
      </w:r>
      <w:r w:rsidRPr="00EF58C6">
        <w:rPr>
          <w:rFonts w:ascii="Times New Roman" w:hAnsi="Times New Roman" w:cs="Times New Roman"/>
          <w:sz w:val="28"/>
          <w:szCs w:val="28"/>
          <w:lang w:val="ru-RU"/>
        </w:rPr>
        <w:t>ченко проти України» від 10 травня 2011 р., з яким узгоджуються ще</w:t>
      </w:r>
      <w:r w:rsidR="00847C50">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30 подібних рішень, які в основному стосуються незаконного або тривалого тримання під вартою («провідна» справа «Групи Харченка».</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На виконання цього рішення українська влада надала Комітету міністрів у листопаді 2011 р. стратегію реформи у вигляді Плану дій. Вона охоплювала як законодавчі заходи, так і заходи, спрямовані на зміну адміністративної практики щодо проблем, визначених у рішенні</w:t>
      </w:r>
      <w:r w:rsidR="00847C50">
        <w:rPr>
          <w:rFonts w:ascii="Times New Roman" w:hAnsi="Times New Roman" w:cs="Times New Roman"/>
          <w:sz w:val="28"/>
          <w:szCs w:val="28"/>
          <w:lang w:val="ru-RU"/>
        </w:rPr>
        <w:t xml:space="preserve"> Суду.</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Ситуація щодо невиконання Україною рішень ЄСПЛ та вжиття</w:t>
      </w:r>
      <w:r w:rsidR="00847C50">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Україною заходів загального характеру значно погіршилася з прийняттям Великою палатою Суду рішення у справі «Бурмич та інші проти</w:t>
      </w:r>
      <w:r w:rsidR="00847C50">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України» від 12 жовтня 2017 р., яким обʼєднало цю справу із 12 143 іншими, що стосуються питань невиконання рішень Суду в україні, й передало їх до Комітету міністрів. Суд у своєму рішенні, зокрема, зазначив, що всі ці справи походять від однієї системної проблеми, яку було встановлено в рішенні у справі «Юрій Миколайович Іванов проти України» від 15 жовтня 2015 р., а саме: недоліків щодо функціонування судової системи України, які впливають на виконання рішень Суду та спричиняють системну проблему невиконання або несвоєчасного виконання рішень національних судів у поєднанні з фактичною відсутністю ефективних внутрішніх засобів правового захисту щодо зазначених недоліків. Тому Суд постановив передати всі подібні справи до Комітету міністрів з метою подальшої комунікації між цим органом та уповноваженими особами України.</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p>
    <w:p w:rsidR="00832AA9" w:rsidRDefault="00832AA9" w:rsidP="00EF58C6">
      <w:pPr>
        <w:spacing w:after="0" w:line="360" w:lineRule="auto"/>
        <w:ind w:firstLine="720"/>
        <w:jc w:val="both"/>
        <w:rPr>
          <w:rFonts w:ascii="Times New Roman" w:hAnsi="Times New Roman" w:cs="Times New Roman"/>
          <w:b/>
          <w:sz w:val="28"/>
          <w:szCs w:val="28"/>
          <w:lang w:val="ru-RU"/>
        </w:rPr>
      </w:pPr>
    </w:p>
    <w:p w:rsidR="001A410A" w:rsidRPr="00847C50" w:rsidRDefault="001A410A" w:rsidP="00EF58C6">
      <w:pPr>
        <w:spacing w:after="0" w:line="360" w:lineRule="auto"/>
        <w:ind w:firstLine="720"/>
        <w:jc w:val="both"/>
        <w:rPr>
          <w:rFonts w:ascii="Times New Roman" w:hAnsi="Times New Roman" w:cs="Times New Roman"/>
          <w:b/>
          <w:sz w:val="28"/>
          <w:szCs w:val="28"/>
          <w:lang w:val="ru-RU"/>
        </w:rPr>
      </w:pPr>
      <w:bookmarkStart w:id="0" w:name="_GoBack"/>
      <w:bookmarkEnd w:id="0"/>
      <w:r w:rsidRPr="00847C50">
        <w:rPr>
          <w:rFonts w:ascii="Times New Roman" w:hAnsi="Times New Roman" w:cs="Times New Roman"/>
          <w:b/>
          <w:sz w:val="28"/>
          <w:szCs w:val="28"/>
          <w:lang w:val="ru-RU"/>
        </w:rPr>
        <w:t>Нагляд Комітету міністрів Ради Європи за виконанням рішень Європейського суду</w:t>
      </w:r>
      <w:r w:rsidR="00847C50">
        <w:rPr>
          <w:rFonts w:ascii="Times New Roman" w:hAnsi="Times New Roman" w:cs="Times New Roman"/>
          <w:b/>
          <w:sz w:val="28"/>
          <w:szCs w:val="28"/>
          <w:lang w:val="ru-RU"/>
        </w:rPr>
        <w:t xml:space="preserve"> </w:t>
      </w:r>
      <w:r w:rsidRPr="00847C50">
        <w:rPr>
          <w:rFonts w:ascii="Times New Roman" w:hAnsi="Times New Roman" w:cs="Times New Roman"/>
          <w:b/>
          <w:sz w:val="28"/>
          <w:szCs w:val="28"/>
          <w:lang w:val="ru-RU"/>
        </w:rPr>
        <w:t>з прав людини</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 xml:space="preserve">Роль органу, який здійснює нагляд за виконанням державами рішень ЄСПЛ, покладено на КМ РЄ. </w:t>
      </w:r>
      <w:r w:rsidR="00704832">
        <w:rPr>
          <w:rFonts w:ascii="Times New Roman" w:hAnsi="Times New Roman" w:cs="Times New Roman"/>
          <w:sz w:val="28"/>
          <w:szCs w:val="28"/>
          <w:lang w:val="ru-RU"/>
        </w:rPr>
        <w:t>Відповідно до ст. 46 Конвенції: «</w:t>
      </w:r>
      <w:r w:rsidRPr="00EF58C6">
        <w:rPr>
          <w:rFonts w:ascii="Times New Roman" w:hAnsi="Times New Roman" w:cs="Times New Roman"/>
          <w:sz w:val="28"/>
          <w:szCs w:val="28"/>
          <w:lang w:val="ru-RU"/>
        </w:rPr>
        <w:t>Високі Договірні Сторони зобо</w:t>
      </w:r>
      <w:r w:rsidR="00704832">
        <w:rPr>
          <w:rFonts w:ascii="Times New Roman" w:hAnsi="Times New Roman" w:cs="Times New Roman"/>
          <w:sz w:val="28"/>
          <w:szCs w:val="28"/>
          <w:lang w:val="ru-RU"/>
        </w:rPr>
        <w:t xml:space="preserve">вʼязуються виконувати остаточні </w:t>
      </w:r>
      <w:r w:rsidRPr="00EF58C6">
        <w:rPr>
          <w:rFonts w:ascii="Times New Roman" w:hAnsi="Times New Roman" w:cs="Times New Roman"/>
          <w:sz w:val="28"/>
          <w:szCs w:val="28"/>
          <w:lang w:val="ru-RU"/>
        </w:rPr>
        <w:t xml:space="preserve">рішення Суду </w:t>
      </w:r>
      <w:proofErr w:type="gramStart"/>
      <w:r w:rsidRPr="00EF58C6">
        <w:rPr>
          <w:rFonts w:ascii="Times New Roman" w:hAnsi="Times New Roman" w:cs="Times New Roman"/>
          <w:sz w:val="28"/>
          <w:szCs w:val="28"/>
          <w:lang w:val="ru-RU"/>
        </w:rPr>
        <w:t>в будь</w:t>
      </w:r>
      <w:proofErr w:type="gramEnd"/>
      <w:r w:rsidRPr="00EF58C6">
        <w:rPr>
          <w:rFonts w:ascii="Times New Roman" w:hAnsi="Times New Roman" w:cs="Times New Roman"/>
          <w:sz w:val="28"/>
          <w:szCs w:val="28"/>
          <w:lang w:val="ru-RU"/>
        </w:rPr>
        <w:t>-яких справах, у яких вони є сторонами. 2. Остаточне рішення Суду передається Комітетові Міністрів, який здійснює</w:t>
      </w:r>
      <w:r w:rsidR="00704832">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нагляд за його виконанням».</w:t>
      </w:r>
    </w:p>
    <w:p w:rsidR="001A410A" w:rsidRPr="00EF58C6" w:rsidRDefault="001A410A" w:rsidP="00704832">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Комітет міністрів здійснює нагляд за виконанням рішень ЄСПЛ відповідно до Правил щодо нагляду за виконанням судових рішень та умов дружнього врегулювання, прийнятих Комітетом міністрів у 2006 р. Процедура нагляду здійсню</w:t>
      </w:r>
      <w:r w:rsidR="00704832">
        <w:rPr>
          <w:rFonts w:ascii="Times New Roman" w:hAnsi="Times New Roman" w:cs="Times New Roman"/>
          <w:sz w:val="28"/>
          <w:szCs w:val="28"/>
          <w:lang w:val="ru-RU"/>
        </w:rPr>
        <w:t xml:space="preserve">ється на спеціальних засіданнях </w:t>
      </w:r>
      <w:r w:rsidRPr="00EF58C6">
        <w:rPr>
          <w:rFonts w:ascii="Times New Roman" w:hAnsi="Times New Roman" w:cs="Times New Roman"/>
          <w:sz w:val="28"/>
          <w:szCs w:val="28"/>
          <w:lang w:val="ru-RU"/>
        </w:rPr>
        <w:t>Комітету міністрів з прав людини (</w:t>
      </w:r>
      <w:r w:rsidRPr="00EF58C6">
        <w:rPr>
          <w:rFonts w:ascii="Times New Roman" w:hAnsi="Times New Roman" w:cs="Times New Roman"/>
          <w:sz w:val="28"/>
          <w:szCs w:val="28"/>
        </w:rPr>
        <w:t>DH</w:t>
      </w:r>
      <w:r w:rsidRPr="00EF58C6">
        <w:rPr>
          <w:rFonts w:ascii="Times New Roman" w:hAnsi="Times New Roman" w:cs="Times New Roman"/>
          <w:sz w:val="28"/>
          <w:szCs w:val="28"/>
          <w:lang w:val="ru-RU"/>
        </w:rPr>
        <w:t>-засідання), які проходять чотири рази на рік. Їх порядок денний є публічним, що робить цю процедуру більш прозорою.</w:t>
      </w:r>
    </w:p>
    <w:p w:rsidR="001A410A" w:rsidRPr="00EF58C6" w:rsidRDefault="001A410A" w:rsidP="00704832">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 xml:space="preserve">Коли остаточне рішення Суду передається до Комітету міністрів, воно негайно вноситься </w:t>
      </w:r>
      <w:proofErr w:type="gramStart"/>
      <w:r w:rsidRPr="00EF58C6">
        <w:rPr>
          <w:rFonts w:ascii="Times New Roman" w:hAnsi="Times New Roman" w:cs="Times New Roman"/>
          <w:sz w:val="28"/>
          <w:szCs w:val="28"/>
          <w:lang w:val="ru-RU"/>
        </w:rPr>
        <w:t>до порядку</w:t>
      </w:r>
      <w:proofErr w:type="gramEnd"/>
      <w:r w:rsidRPr="00EF58C6">
        <w:rPr>
          <w:rFonts w:ascii="Times New Roman" w:hAnsi="Times New Roman" w:cs="Times New Roman"/>
          <w:sz w:val="28"/>
          <w:szCs w:val="28"/>
          <w:lang w:val="ru-RU"/>
        </w:rPr>
        <w:t xml:space="preserve"> денного </w:t>
      </w:r>
      <w:r w:rsidRPr="00EF58C6">
        <w:rPr>
          <w:rFonts w:ascii="Times New Roman" w:hAnsi="Times New Roman" w:cs="Times New Roman"/>
          <w:sz w:val="28"/>
          <w:szCs w:val="28"/>
        </w:rPr>
        <w:t>DH</w:t>
      </w:r>
      <w:r w:rsidRPr="00EF58C6">
        <w:rPr>
          <w:rFonts w:ascii="Times New Roman" w:hAnsi="Times New Roman" w:cs="Times New Roman"/>
          <w:sz w:val="28"/>
          <w:szCs w:val="28"/>
          <w:lang w:val="ru-RU"/>
        </w:rPr>
        <w:t>-засідань. Комітет запрошує державу-відповідача поінформувати його про заходи, вжиті стосовно виплати суми, присудженої Судом як справедлива сатисфак-ція, та за потреби стосовно індивідуальних і загальних заходів, яких вжито для виконання рішення. Після отримання цієї інформації Комітет уважно її розглядає. Відповідно до п. 2 правила 6 Правил Комітету міністрів щодо нагляду за виконанням рішень Комітет міністрів має перевірити, чи була виплачена спра</w:t>
      </w:r>
      <w:r w:rsidR="00704832">
        <w:rPr>
          <w:rFonts w:ascii="Times New Roman" w:hAnsi="Times New Roman" w:cs="Times New Roman"/>
          <w:sz w:val="28"/>
          <w:szCs w:val="28"/>
          <w:lang w:val="ru-RU"/>
        </w:rPr>
        <w:t xml:space="preserve">ведлива сатисфакція, присуджена </w:t>
      </w:r>
      <w:r w:rsidRPr="00EF58C6">
        <w:rPr>
          <w:rFonts w:ascii="Times New Roman" w:hAnsi="Times New Roman" w:cs="Times New Roman"/>
          <w:sz w:val="28"/>
          <w:szCs w:val="28"/>
          <w:lang w:val="ru-RU"/>
        </w:rPr>
        <w:t>Судом, включаючи у відповідних випадках відсотки за прострочення (пеню). Також він має встановити, чи було вжито державою заходів індивідуального та загального характеру на виконання рішення Суду.</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За потреби Комітет також має враховувати думку держави щодо вибору засобів, необхідних для виконання рішення.</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lastRenderedPageBreak/>
        <w:t xml:space="preserve">Питання про стан виконання рішення вноситься </w:t>
      </w:r>
      <w:proofErr w:type="gramStart"/>
      <w:r w:rsidRPr="00EF58C6">
        <w:rPr>
          <w:rFonts w:ascii="Times New Roman" w:hAnsi="Times New Roman" w:cs="Times New Roman"/>
          <w:sz w:val="28"/>
          <w:szCs w:val="28"/>
          <w:lang w:val="ru-RU"/>
        </w:rPr>
        <w:t>до порядку</w:t>
      </w:r>
      <w:proofErr w:type="gramEnd"/>
      <w:r w:rsidRPr="00EF58C6">
        <w:rPr>
          <w:rFonts w:ascii="Times New Roman" w:hAnsi="Times New Roman" w:cs="Times New Roman"/>
          <w:sz w:val="28"/>
          <w:szCs w:val="28"/>
          <w:lang w:val="ru-RU"/>
        </w:rPr>
        <w:t xml:space="preserve"> денного </w:t>
      </w:r>
      <w:r w:rsidRPr="00EF58C6">
        <w:rPr>
          <w:rFonts w:ascii="Times New Roman" w:hAnsi="Times New Roman" w:cs="Times New Roman"/>
          <w:sz w:val="28"/>
          <w:szCs w:val="28"/>
        </w:rPr>
        <w:t>DH</w:t>
      </w:r>
      <w:r w:rsidRPr="00EF58C6">
        <w:rPr>
          <w:rFonts w:ascii="Times New Roman" w:hAnsi="Times New Roman" w:cs="Times New Roman"/>
          <w:sz w:val="28"/>
          <w:szCs w:val="28"/>
          <w:lang w:val="ru-RU"/>
        </w:rPr>
        <w:t xml:space="preserve">-засідань до тих пір, поки держава-відповідач не надала інформацію про виплату справедливої сатисфакції, присудженої Судом, або стосовно можливих заходів індивідуального характеру. Якщо держава-відповідач повідомляє Комітет міністрів про те, що вона не готова доповісти про вжиття заходів загального характеру, необхідних для забезпечення виконання рішення Суду, питання про стан виконання вноситься </w:t>
      </w:r>
      <w:proofErr w:type="gramStart"/>
      <w:r w:rsidRPr="00EF58C6">
        <w:rPr>
          <w:rFonts w:ascii="Times New Roman" w:hAnsi="Times New Roman" w:cs="Times New Roman"/>
          <w:sz w:val="28"/>
          <w:szCs w:val="28"/>
          <w:lang w:val="ru-RU"/>
        </w:rPr>
        <w:t>до порядку</w:t>
      </w:r>
      <w:proofErr w:type="gramEnd"/>
      <w:r w:rsidRPr="00EF58C6">
        <w:rPr>
          <w:rFonts w:ascii="Times New Roman" w:hAnsi="Times New Roman" w:cs="Times New Roman"/>
          <w:sz w:val="28"/>
          <w:szCs w:val="28"/>
          <w:lang w:val="ru-RU"/>
        </w:rPr>
        <w:t xml:space="preserve"> денного </w:t>
      </w:r>
      <w:r w:rsidRPr="00EF58C6">
        <w:rPr>
          <w:rFonts w:ascii="Times New Roman" w:hAnsi="Times New Roman" w:cs="Times New Roman"/>
          <w:sz w:val="28"/>
          <w:szCs w:val="28"/>
        </w:rPr>
        <w:t>DH</w:t>
      </w:r>
      <w:r w:rsidRPr="00EF58C6">
        <w:rPr>
          <w:rFonts w:ascii="Times New Roman" w:hAnsi="Times New Roman" w:cs="Times New Roman"/>
          <w:sz w:val="28"/>
          <w:szCs w:val="28"/>
          <w:lang w:val="ru-RU"/>
        </w:rPr>
        <w:t>-засідань кожні 6 місяців, поки не буде встановлено, що відповідних заходів вжито, і рішення Суду виконано</w:t>
      </w:r>
      <w:r w:rsidR="00704832">
        <w:rPr>
          <w:rFonts w:ascii="Times New Roman" w:hAnsi="Times New Roman" w:cs="Times New Roman"/>
          <w:sz w:val="28"/>
          <w:szCs w:val="28"/>
          <w:lang w:val="ru-RU"/>
        </w:rPr>
        <w:t>.</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Під час нагляду за виконанням рішень Суду Комітет міністрів приймає проміжні та остаточні резолюції. Проміжні резолюції приймаються для того, щоб надати інформацію про хід виконання рішення або щоб висловити занепокоєння та/або внести пропозиції щодо виконання.</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Зазвичай цей тип резолюції містить інформацію щодо вжитих уже тимчасових заходів із боку держави і дає вказівки стосовно необхідних заходів, спрямованих на вирішення проблеми або проблем, порушених у рішенні. Це робиться з метою спонукати державу-відповідача до проведення чи доведення до кінця вже розпочатих реформ або наполягти на вжитті нею заходів, необхідних для виконання рішення.</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Остаточні резолюції приймаються в тому випадку, коли Комітет міністрів установив, що держава вжила всіх належних заходів для виконання відповідного рішення Суду. У них робиться висновок про те, що Комітет міністрів виконав свої функції нагляду за виконанням рішення Суду відповідно до п. 2 ст. 46 Конвенції.</w:t>
      </w:r>
    </w:p>
    <w:p w:rsidR="001A410A" w:rsidRPr="00EF58C6" w:rsidRDefault="001A410A" w:rsidP="00704832">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У січні 2011 р. почала діяти нова система нагляду за виконанням рішень ЄСПЛ, так звана система «двоєдиного підходу» («</w:t>
      </w:r>
      <w:r w:rsidRPr="00EF58C6">
        <w:rPr>
          <w:rFonts w:ascii="Times New Roman" w:hAnsi="Times New Roman" w:cs="Times New Roman"/>
          <w:sz w:val="28"/>
          <w:szCs w:val="28"/>
        </w:rPr>
        <w:t>twin</w:t>
      </w:r>
      <w:r w:rsidRPr="00EF58C6">
        <w:rPr>
          <w:rFonts w:ascii="Times New Roman" w:hAnsi="Times New Roman" w:cs="Times New Roman"/>
          <w:sz w:val="28"/>
          <w:szCs w:val="28"/>
          <w:lang w:val="ru-RU"/>
        </w:rPr>
        <w:t>-</w:t>
      </w:r>
      <w:r w:rsidRPr="00EF58C6">
        <w:rPr>
          <w:rFonts w:ascii="Times New Roman" w:hAnsi="Times New Roman" w:cs="Times New Roman"/>
          <w:sz w:val="28"/>
          <w:szCs w:val="28"/>
        </w:rPr>
        <w:t>track</w:t>
      </w:r>
      <w:r w:rsidRPr="00EF58C6">
        <w:rPr>
          <w:rFonts w:ascii="Times New Roman" w:hAnsi="Times New Roman" w:cs="Times New Roman"/>
          <w:sz w:val="28"/>
          <w:szCs w:val="28"/>
          <w:lang w:val="ru-RU"/>
        </w:rPr>
        <w:t xml:space="preserve"> </w:t>
      </w:r>
      <w:r w:rsidRPr="00EF58C6">
        <w:rPr>
          <w:rFonts w:ascii="Times New Roman" w:hAnsi="Times New Roman" w:cs="Times New Roman"/>
          <w:sz w:val="28"/>
          <w:szCs w:val="28"/>
        </w:rPr>
        <w:t>approach</w:t>
      </w:r>
      <w:r w:rsidRPr="00EF58C6">
        <w:rPr>
          <w:rFonts w:ascii="Times New Roman" w:hAnsi="Times New Roman" w:cs="Times New Roman"/>
          <w:sz w:val="28"/>
          <w:szCs w:val="28"/>
          <w:lang w:val="ru-RU"/>
        </w:rPr>
        <w:t xml:space="preserve">»). Вона була запроваджена відповідно до Плану дій, схваленого на Інтерлакенській </w:t>
      </w:r>
      <w:r w:rsidRPr="00EF58C6">
        <w:rPr>
          <w:rFonts w:ascii="Times New Roman" w:hAnsi="Times New Roman" w:cs="Times New Roman"/>
          <w:sz w:val="28"/>
          <w:szCs w:val="28"/>
          <w:lang w:val="ru-RU"/>
        </w:rPr>
        <w:lastRenderedPageBreak/>
        <w:t>конференції 19 лютого 2010 р. Відповідно до цієї системи Комітетом міністрів упроваджено дві паралельні процедури нагляду за виконанням держав</w:t>
      </w:r>
      <w:r w:rsidR="00704832">
        <w:rPr>
          <w:rFonts w:ascii="Times New Roman" w:hAnsi="Times New Roman" w:cs="Times New Roman"/>
          <w:sz w:val="28"/>
          <w:szCs w:val="28"/>
          <w:lang w:val="ru-RU"/>
        </w:rPr>
        <w:t xml:space="preserve">ами рішень Суду - це стандартна </w:t>
      </w:r>
      <w:r w:rsidRPr="00EF58C6">
        <w:rPr>
          <w:rFonts w:ascii="Times New Roman" w:hAnsi="Times New Roman" w:cs="Times New Roman"/>
          <w:sz w:val="28"/>
          <w:szCs w:val="28"/>
          <w:lang w:val="ru-RU"/>
        </w:rPr>
        <w:t>та посилена процедури.</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Стандартна процедура полягає у перевірці Комітетом міністрів наданої державою-відповідачем інформації стосовно виконання рішення Суду у формі Плану дій або Доповіді про дії. Така інформація має бути подана не пізніше 6 місяців після того, як рішення Суду стало остаточним. Відповідно до розʼяснень Департаменту з виконання рішень ЄСПЛ План дій - це план, у якому викладаються ті заходи, які держава-відповідач має намір ужити для виконання рішення Суду.</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Доповідь про дії - це доповідь, у якій зазначаються заходи, яких уже було вжито державою для виконання рішення Суду, і пояснюється, чому немає потреби у вжитті</w:t>
      </w:r>
      <w:r w:rsidR="00704832">
        <w:rPr>
          <w:rFonts w:ascii="Times New Roman" w:hAnsi="Times New Roman" w:cs="Times New Roman"/>
          <w:sz w:val="28"/>
          <w:szCs w:val="28"/>
          <w:lang w:val="ru-RU"/>
        </w:rPr>
        <w:t xml:space="preserve"> заходів або подальших заходів. </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Посилена процедура полягає в розгляді справ, які в силу свого</w:t>
      </w:r>
      <w:r w:rsidR="00704832">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особливого характеру потребують посиленого нагляду. До таких справ належать:</w:t>
      </w:r>
      <w:r w:rsidR="00704832">
        <w:rPr>
          <w:rFonts w:ascii="Times New Roman" w:hAnsi="Times New Roman" w:cs="Times New Roman"/>
          <w:sz w:val="28"/>
          <w:szCs w:val="28"/>
          <w:lang w:val="ru-RU"/>
        </w:rPr>
        <w:t xml:space="preserve"> </w:t>
      </w:r>
      <w:r w:rsidRPr="00EF58C6">
        <w:rPr>
          <w:rFonts w:ascii="Tahoma" w:hAnsi="Tahoma" w:cs="Tahoma"/>
          <w:sz w:val="28"/>
          <w:szCs w:val="28"/>
        </w:rPr>
        <w:t>﻿﻿</w:t>
      </w:r>
      <w:r w:rsidRPr="00EF58C6">
        <w:rPr>
          <w:rFonts w:ascii="Times New Roman" w:hAnsi="Times New Roman" w:cs="Times New Roman"/>
          <w:sz w:val="28"/>
          <w:szCs w:val="28"/>
          <w:lang w:val="ru-RU"/>
        </w:rPr>
        <w:t>рішення, які вимагають вжиття державами термінових заходів індивідуального характеру;</w:t>
      </w:r>
      <w:r w:rsidR="00704832">
        <w:rPr>
          <w:rFonts w:ascii="Times New Roman" w:hAnsi="Times New Roman" w:cs="Times New Roman"/>
          <w:sz w:val="28"/>
          <w:szCs w:val="28"/>
          <w:lang w:val="ru-RU"/>
        </w:rPr>
        <w:t xml:space="preserve"> </w:t>
      </w:r>
      <w:r w:rsidRPr="00EF58C6">
        <w:rPr>
          <w:rFonts w:ascii="Tahoma" w:hAnsi="Tahoma" w:cs="Tahoma"/>
          <w:sz w:val="28"/>
          <w:szCs w:val="28"/>
        </w:rPr>
        <w:t>﻿﻿</w:t>
      </w:r>
      <w:r w:rsidRPr="00EF58C6">
        <w:rPr>
          <w:rFonts w:ascii="Times New Roman" w:hAnsi="Times New Roman" w:cs="Times New Roman"/>
          <w:sz w:val="28"/>
          <w:szCs w:val="28"/>
          <w:lang w:val="ru-RU"/>
        </w:rPr>
        <w:t>пілотні рішення;</w:t>
      </w:r>
      <w:r w:rsidR="00704832">
        <w:rPr>
          <w:rFonts w:ascii="Times New Roman" w:hAnsi="Times New Roman" w:cs="Times New Roman"/>
          <w:sz w:val="28"/>
          <w:szCs w:val="28"/>
          <w:lang w:val="ru-RU"/>
        </w:rPr>
        <w:t xml:space="preserve"> </w:t>
      </w:r>
      <w:r w:rsidRPr="00EF58C6">
        <w:rPr>
          <w:rFonts w:ascii="Tahoma" w:hAnsi="Tahoma" w:cs="Tahoma"/>
          <w:sz w:val="28"/>
          <w:szCs w:val="28"/>
        </w:rPr>
        <w:t>﻿﻿</w:t>
      </w:r>
      <w:r w:rsidRPr="00EF58C6">
        <w:rPr>
          <w:rFonts w:ascii="Times New Roman" w:hAnsi="Times New Roman" w:cs="Times New Roman"/>
          <w:sz w:val="28"/>
          <w:szCs w:val="28"/>
          <w:lang w:val="ru-RU"/>
        </w:rPr>
        <w:t>рішення, які розкривають структурні та/або складні проблеми, виявлені ЄСПЛ або КМ Р€;</w:t>
      </w:r>
      <w:r w:rsidR="00704832">
        <w:rPr>
          <w:rFonts w:ascii="Times New Roman" w:hAnsi="Times New Roman" w:cs="Times New Roman"/>
          <w:sz w:val="28"/>
          <w:szCs w:val="28"/>
          <w:lang w:val="ru-RU"/>
        </w:rPr>
        <w:t xml:space="preserve"> </w:t>
      </w:r>
      <w:r w:rsidRPr="00EF58C6">
        <w:rPr>
          <w:rFonts w:ascii="Tahoma" w:hAnsi="Tahoma" w:cs="Tahoma"/>
          <w:sz w:val="28"/>
          <w:szCs w:val="28"/>
        </w:rPr>
        <w:t>﻿﻿</w:t>
      </w:r>
      <w:r w:rsidRPr="00EF58C6">
        <w:rPr>
          <w:rFonts w:ascii="Times New Roman" w:hAnsi="Times New Roman" w:cs="Times New Roman"/>
          <w:sz w:val="28"/>
          <w:szCs w:val="28"/>
          <w:lang w:val="ru-RU"/>
        </w:rPr>
        <w:t>рішення в міждержавних справах.</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Зазначений перелік не є вичерпним, тому що будь-яка справа може бути розглянута на основі посиленої процедури за запитом держави - члена РЄ або Секретаріату.</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 xml:space="preserve">У 2011 р. існувала спрощена процедура нагляду за виплатою справедливої сатисфакції. Велика відповідальність тепер покладена на заявника, який має поінформувати Комітет міністрів у тому разі, якщо держава подала інформацію про виплату компенсації, але остання не була виплачена </w:t>
      </w:r>
      <w:r w:rsidRPr="00EF58C6">
        <w:rPr>
          <w:rFonts w:ascii="Times New Roman" w:hAnsi="Times New Roman" w:cs="Times New Roman"/>
          <w:sz w:val="28"/>
          <w:szCs w:val="28"/>
          <w:lang w:val="ru-RU"/>
        </w:rPr>
        <w:lastRenderedPageBreak/>
        <w:t>протягом двох місяців з моменту її опублікування на сайті Департаменту з виконання рішень Суду.</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Заявники в супроводжувальних листах до рішення Суду повідом-ляються, що відтепер на них лежить відповідальність швидко реагувати на будь-які очевидні недоліки (чи відсутність) в оплаті справедливої сатисфакції шляхом подання скарги в Департамент з виконання рішень Суду. Якщо ніякої скарги не було отримано протягом двох місяців з дати, коли надана урядом інформація щодо виплати була опублікована на веб-сайті Департаменту з виконання рішень Суду, питання щодо оплати вважається закритим.</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У контексті рішення Суду по справі «Бурмич та інші проти</w:t>
      </w:r>
      <w:r w:rsidR="00BD30F6">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України» від 12 жовтня 2017 р. комунікація між Комітетом міністрів та Україною має такий вигляд: у звʼязку з обʼєднанням Судом цієї справи із 12 143 іншими, які стосуються питання невиконання судових рішень в Україні, та направленням їх до Комітету міністрів усі наступні скарги будуть автоматично спрямовуватись до Комітету міністрів. Крім того, Су</w:t>
      </w:r>
      <w:r w:rsidR="00BD30F6">
        <w:rPr>
          <w:rFonts w:ascii="Times New Roman" w:hAnsi="Times New Roman" w:cs="Times New Roman"/>
          <w:sz w:val="28"/>
          <w:szCs w:val="28"/>
          <w:lang w:val="ru-RU"/>
        </w:rPr>
        <w:t>д доручив Комітету міністрів домогтися забезпечення виконання Україною початкових рішень національних судів та системної зміни практики виконання судових рішень.</w:t>
      </w:r>
    </w:p>
    <w:p w:rsidR="00BD30F6" w:rsidRDefault="00BD30F6" w:rsidP="00EF58C6">
      <w:pPr>
        <w:spacing w:after="0" w:line="360" w:lineRule="auto"/>
        <w:ind w:firstLine="720"/>
        <w:jc w:val="both"/>
        <w:rPr>
          <w:rFonts w:ascii="Times New Roman" w:hAnsi="Times New Roman" w:cs="Times New Roman"/>
          <w:sz w:val="28"/>
          <w:szCs w:val="28"/>
          <w:lang w:val="ru-RU"/>
        </w:rPr>
      </w:pPr>
    </w:p>
    <w:p w:rsidR="001A410A" w:rsidRPr="00BD30F6" w:rsidRDefault="001A410A" w:rsidP="00EF58C6">
      <w:pPr>
        <w:spacing w:after="0" w:line="360" w:lineRule="auto"/>
        <w:ind w:firstLine="720"/>
        <w:jc w:val="both"/>
        <w:rPr>
          <w:rFonts w:ascii="Times New Roman" w:hAnsi="Times New Roman" w:cs="Times New Roman"/>
          <w:b/>
          <w:sz w:val="28"/>
          <w:szCs w:val="28"/>
          <w:lang w:val="ru-RU"/>
        </w:rPr>
      </w:pPr>
      <w:r w:rsidRPr="00BD30F6">
        <w:rPr>
          <w:rFonts w:ascii="Times New Roman" w:hAnsi="Times New Roman" w:cs="Times New Roman"/>
          <w:b/>
          <w:sz w:val="28"/>
          <w:szCs w:val="28"/>
          <w:lang w:val="ru-RU"/>
        </w:rPr>
        <w:t>Застосування судами Конвенції та практики</w:t>
      </w:r>
      <w:r w:rsidR="00BD30F6" w:rsidRPr="00BD30F6">
        <w:rPr>
          <w:rFonts w:ascii="Times New Roman" w:hAnsi="Times New Roman" w:cs="Times New Roman"/>
          <w:b/>
          <w:sz w:val="28"/>
          <w:szCs w:val="28"/>
          <w:lang w:val="ru-RU"/>
        </w:rPr>
        <w:t xml:space="preserve"> </w:t>
      </w:r>
      <w:r w:rsidRPr="00BD30F6">
        <w:rPr>
          <w:rFonts w:ascii="Times New Roman" w:hAnsi="Times New Roman" w:cs="Times New Roman"/>
          <w:b/>
          <w:sz w:val="28"/>
          <w:szCs w:val="28"/>
          <w:lang w:val="ru-RU"/>
        </w:rPr>
        <w:t>Європейського суду з прав людини</w:t>
      </w:r>
      <w:r w:rsidR="00BD30F6" w:rsidRPr="00BD30F6">
        <w:rPr>
          <w:rFonts w:ascii="Times New Roman" w:hAnsi="Times New Roman" w:cs="Times New Roman"/>
          <w:b/>
          <w:sz w:val="28"/>
          <w:szCs w:val="28"/>
          <w:lang w:val="ru-RU"/>
        </w:rPr>
        <w:t xml:space="preserve"> </w:t>
      </w:r>
      <w:r w:rsidRPr="00BD30F6">
        <w:rPr>
          <w:rFonts w:ascii="Times New Roman" w:hAnsi="Times New Roman" w:cs="Times New Roman"/>
          <w:b/>
          <w:sz w:val="28"/>
          <w:szCs w:val="28"/>
          <w:lang w:val="ru-RU"/>
        </w:rPr>
        <w:t>як джерела права</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 xml:space="preserve">Відповідно до ч. 1 ст. 17 Закону України «Про виконання рішень та застосування практики Європейського суду з прав людини» від 23 лютого 2006 р. </w:t>
      </w:r>
      <w:r w:rsidRPr="00EF58C6">
        <w:rPr>
          <w:rFonts w:ascii="Times New Roman" w:hAnsi="Times New Roman" w:cs="Times New Roman"/>
          <w:sz w:val="28"/>
          <w:szCs w:val="28"/>
        </w:rPr>
        <w:t>N</w:t>
      </w:r>
      <w:r w:rsidRPr="00EF58C6">
        <w:rPr>
          <w:rFonts w:ascii="Times New Roman" w:hAnsi="Times New Roman" w:cs="Times New Roman"/>
          <w:sz w:val="28"/>
          <w:szCs w:val="28"/>
          <w:lang w:val="ru-RU"/>
        </w:rPr>
        <w:t>º 3477-</w:t>
      </w:r>
      <w:r w:rsidRPr="00EF58C6">
        <w:rPr>
          <w:rFonts w:ascii="Times New Roman" w:hAnsi="Times New Roman" w:cs="Times New Roman"/>
          <w:sz w:val="28"/>
          <w:szCs w:val="28"/>
        </w:rPr>
        <w:t>IV</w:t>
      </w:r>
      <w:r w:rsidRPr="00EF58C6">
        <w:rPr>
          <w:rFonts w:ascii="Times New Roman" w:hAnsi="Times New Roman" w:cs="Times New Roman"/>
          <w:sz w:val="28"/>
          <w:szCs w:val="28"/>
          <w:lang w:val="ru-RU"/>
        </w:rPr>
        <w:t xml:space="preserve"> суди застосовують при розгляді справ Конвенцію та практику Суду як джерело права. Якщо застосування норм</w:t>
      </w:r>
      <w:r w:rsidR="00210EF0">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Конвенції як міжнародного договору, згода на обовʼязковість якого</w:t>
      </w:r>
      <w:r w:rsidR="00210EF0">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надана ВРУ у визначеному чинним законодавством порядку, жодних</w:t>
      </w:r>
      <w:r w:rsidR="00210EF0">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 xml:space="preserve">питань не викликає, то щодо застосування практики Суду як джерела права, незважаючи на зазначену вище норму </w:t>
      </w:r>
      <w:r w:rsidRPr="00EF58C6">
        <w:rPr>
          <w:rFonts w:ascii="Times New Roman" w:hAnsi="Times New Roman" w:cs="Times New Roman"/>
          <w:sz w:val="28"/>
          <w:szCs w:val="28"/>
          <w:lang w:val="ru-RU"/>
        </w:rPr>
        <w:lastRenderedPageBreak/>
        <w:t>Закону, в колі науковців та правозастосувачів немає єдиної точки зору щодо вирішення цього питання. Застосування в України рішень Суду як джерела права є досить незвичним явищем, ураховуючи правову систему України, яка належить до романо-германської правової сімʼї та історично не тяжіє до визнання судових прецедентів джерелами національного права.</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Законодавство не дає вичерпного та зрозумілого практикам визначення поняття «Конвенція та практика ЄСПЛ як джерела права», а сама по собі ця конструкція важко узгоджується із традиційними загально-теоретичними уявленнями про джерела права. Ця ситуація може стати суттєвою перешкодою обґрунтованого використання Конвенції та практики ЄСПЛ як національними судами, так і іншими правозасто-совними органами. У практичній площині навряд чи можна знайти випадки очевидної невідповідності національного закону тексту Кон-венції, що потребує виокремлення ситуацій застосування власне Конвенції та її тлумачень у практиці ЄСПЛ (фактично - застосування конкретних рішень ЄСПЛ). Однак цей методичний прийом вимагає чіткого та несуперечливого визначення змісту понять «практика еСпл», «прецедент ЄС», «правові позиції еСПЛ» та інших понять, які використовують як дослідники, т</w:t>
      </w:r>
      <w:r w:rsidR="00210EF0">
        <w:rPr>
          <w:rFonts w:ascii="Times New Roman" w:hAnsi="Times New Roman" w:cs="Times New Roman"/>
          <w:sz w:val="28"/>
          <w:szCs w:val="28"/>
          <w:lang w:val="ru-RU"/>
        </w:rPr>
        <w:t>ак і практики для пояснення зна</w:t>
      </w:r>
      <w:r w:rsidRPr="00EF58C6">
        <w:rPr>
          <w:rFonts w:ascii="Times New Roman" w:hAnsi="Times New Roman" w:cs="Times New Roman"/>
          <w:sz w:val="28"/>
          <w:szCs w:val="28"/>
          <w:lang w:val="ru-RU"/>
        </w:rPr>
        <w:t>чення практики ЄСПЛ в українській правовій системі. Але проблемою є суттєві відмінності в розумінні змісту цих понять, що може призводити і до різного бачення їх правової природи.</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Оптимальним є використання терміна «правова позиція ЄСПЛ», який змістовно та функціонально є аналогічним терміну «прецедент тлумачення Конвенції». Однак перев</w:t>
      </w:r>
      <w:r w:rsidR="00210EF0">
        <w:rPr>
          <w:rFonts w:ascii="Times New Roman" w:hAnsi="Times New Roman" w:cs="Times New Roman"/>
          <w:sz w:val="28"/>
          <w:szCs w:val="28"/>
          <w:lang w:val="ru-RU"/>
        </w:rPr>
        <w:t>агу варто надати терміну «право</w:t>
      </w:r>
      <w:r w:rsidRPr="00EF58C6">
        <w:rPr>
          <w:rFonts w:ascii="Times New Roman" w:hAnsi="Times New Roman" w:cs="Times New Roman"/>
          <w:sz w:val="28"/>
          <w:szCs w:val="28"/>
          <w:lang w:val="ru-RU"/>
        </w:rPr>
        <w:t>ва позиція ЄСПЛ», аби уникнути перевантаженості теоретичних і доктринальних асоціацій поняття «прецедент» та наблизити до традиційної термінології вітчизняної доктрини та юридичної, і перш за все судової, практики.</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lastRenderedPageBreak/>
        <w:t>Для визначення змісту та особлив</w:t>
      </w:r>
      <w:r w:rsidR="00832AA9">
        <w:rPr>
          <w:rFonts w:ascii="Times New Roman" w:hAnsi="Times New Roman" w:cs="Times New Roman"/>
          <w:sz w:val="28"/>
          <w:szCs w:val="28"/>
          <w:lang w:val="ru-RU"/>
        </w:rPr>
        <w:t>остей застосування поняття «пра</w:t>
      </w:r>
      <w:r w:rsidRPr="00EF58C6">
        <w:rPr>
          <w:rFonts w:ascii="Times New Roman" w:hAnsi="Times New Roman" w:cs="Times New Roman"/>
          <w:sz w:val="28"/>
          <w:szCs w:val="28"/>
          <w:lang w:val="ru-RU"/>
        </w:rPr>
        <w:t>вові позиції ЄСПЛ», для аналізу значення Конвенції та практики ЄСПЛ як джерела права доцільно враховувати таке:</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ahoma" w:hAnsi="Tahoma" w:cs="Tahoma"/>
          <w:sz w:val="28"/>
          <w:szCs w:val="28"/>
        </w:rPr>
        <w:t>﻿﻿</w:t>
      </w:r>
      <w:r w:rsidRPr="00EF58C6">
        <w:rPr>
          <w:rFonts w:ascii="Times New Roman" w:hAnsi="Times New Roman" w:cs="Times New Roman"/>
          <w:sz w:val="28"/>
          <w:szCs w:val="28"/>
          <w:lang w:val="ru-RU"/>
        </w:rPr>
        <w:t>значення правових позицій ЄСПЛ у правозастосуванні базується на пріоритеті Конвенції відносно національного законодавства та презумпції її відповідності нормам Конституції України;</w:t>
      </w:r>
    </w:p>
    <w:p w:rsidR="001A410A" w:rsidRPr="00EF58C6" w:rsidRDefault="001A410A" w:rsidP="00832AA9">
      <w:pPr>
        <w:spacing w:after="0" w:line="360" w:lineRule="auto"/>
        <w:ind w:firstLine="720"/>
        <w:jc w:val="both"/>
        <w:rPr>
          <w:rFonts w:ascii="Times New Roman" w:hAnsi="Times New Roman" w:cs="Times New Roman"/>
          <w:sz w:val="28"/>
          <w:szCs w:val="28"/>
          <w:lang w:val="ru-RU"/>
        </w:rPr>
      </w:pPr>
      <w:r w:rsidRPr="00EF58C6">
        <w:rPr>
          <w:rFonts w:ascii="Tahoma" w:hAnsi="Tahoma" w:cs="Tahoma"/>
          <w:sz w:val="28"/>
          <w:szCs w:val="28"/>
        </w:rPr>
        <w:t>﻿﻿</w:t>
      </w:r>
      <w:r w:rsidRPr="00EF58C6">
        <w:rPr>
          <w:rFonts w:ascii="Times New Roman" w:hAnsi="Times New Roman" w:cs="Times New Roman"/>
          <w:sz w:val="28"/>
          <w:szCs w:val="28"/>
          <w:lang w:val="ru-RU"/>
        </w:rPr>
        <w:t>текстуально правові позиції належать до мотивувальної частини рішення ЄСПЛ; у більшості випадків формальними ознаками правової позиції ЄСПЛ є специфічна термінолог</w:t>
      </w:r>
      <w:r w:rsidR="00832AA9">
        <w:rPr>
          <w:rFonts w:ascii="Times New Roman" w:hAnsi="Times New Roman" w:cs="Times New Roman"/>
          <w:sz w:val="28"/>
          <w:szCs w:val="28"/>
          <w:lang w:val="ru-RU"/>
        </w:rPr>
        <w:t xml:space="preserve">ія тексту рішення («прецедент»; </w:t>
      </w:r>
      <w:r w:rsidRPr="00EF58C6">
        <w:rPr>
          <w:rFonts w:ascii="Times New Roman" w:hAnsi="Times New Roman" w:cs="Times New Roman"/>
          <w:sz w:val="28"/>
          <w:szCs w:val="28"/>
          <w:lang w:val="ru-RU"/>
        </w:rPr>
        <w:t>«усталена практика»; «загальний принцип» тощо);</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ahoma" w:hAnsi="Tahoma" w:cs="Tahoma"/>
          <w:sz w:val="28"/>
          <w:szCs w:val="28"/>
        </w:rPr>
        <w:t>﻿﻿</w:t>
      </w:r>
      <w:r w:rsidRPr="00EF58C6">
        <w:rPr>
          <w:rFonts w:ascii="Times New Roman" w:hAnsi="Times New Roman" w:cs="Times New Roman"/>
          <w:sz w:val="28"/>
          <w:szCs w:val="28"/>
          <w:lang w:val="ru-RU"/>
        </w:rPr>
        <w:t>ЄСПЛ є контрольним органом Конвенції, що має повноваження щодо її застосування та тлумачення. Таке тлумачення відбувається на засадах Віденської конвенції про право міжнародних договорів 1969 р. з урахуванням доктрин тлумачення, що вироблені самим ЄСПЛ (на-приклад, автономність понять, європейський консенсус тощо);</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ahoma" w:hAnsi="Tahoma" w:cs="Tahoma"/>
          <w:sz w:val="28"/>
          <w:szCs w:val="28"/>
        </w:rPr>
        <w:t>﻿﻿</w:t>
      </w:r>
      <w:r w:rsidRPr="00EF58C6">
        <w:rPr>
          <w:rFonts w:ascii="Times New Roman" w:hAnsi="Times New Roman" w:cs="Times New Roman"/>
          <w:sz w:val="28"/>
          <w:szCs w:val="28"/>
          <w:lang w:val="ru-RU"/>
        </w:rPr>
        <w:t>за наявності певних обставин зміст рішення ЄСПЛ виходить за межі вирішення конкретного спору, створюючи стандарт чи загальне правило тлумачення положень Конвенції; значна частина рішень ЄСПЛ базується на таких стандартах і посилання виключно на них, без пояснення джерела правової позиції, не може визнаватись коректним та</w:t>
      </w:r>
      <w:r w:rsidR="00210EF0">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обгрунтованим;</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 xml:space="preserve">наявність тлумачень Конвенції визначає </w:t>
      </w:r>
      <w:r w:rsidRPr="00EF58C6">
        <w:rPr>
          <w:rFonts w:ascii="Times New Roman" w:hAnsi="Times New Roman" w:cs="Times New Roman"/>
          <w:sz w:val="28"/>
          <w:szCs w:val="28"/>
        </w:rPr>
        <w:t>res</w:t>
      </w:r>
      <w:r w:rsidRPr="00EF58C6">
        <w:rPr>
          <w:rFonts w:ascii="Times New Roman" w:hAnsi="Times New Roman" w:cs="Times New Roman"/>
          <w:sz w:val="28"/>
          <w:szCs w:val="28"/>
          <w:lang w:val="ru-RU"/>
        </w:rPr>
        <w:t xml:space="preserve"> </w:t>
      </w:r>
      <w:r w:rsidRPr="00EF58C6">
        <w:rPr>
          <w:rFonts w:ascii="Times New Roman" w:hAnsi="Times New Roman" w:cs="Times New Roman"/>
          <w:sz w:val="28"/>
          <w:szCs w:val="28"/>
        </w:rPr>
        <w:t>interpretata</w:t>
      </w:r>
      <w:r w:rsidRPr="00EF58C6">
        <w:rPr>
          <w:rFonts w:ascii="Times New Roman" w:hAnsi="Times New Roman" w:cs="Times New Roman"/>
          <w:sz w:val="28"/>
          <w:szCs w:val="28"/>
          <w:lang w:val="ru-RU"/>
        </w:rPr>
        <w:t xml:space="preserve"> (інтер-претаційне значення) рішень ЄСПЛ, яке за своїм правовим ефектом, однак, не досягає рівня </w:t>
      </w:r>
      <w:r w:rsidRPr="00EF58C6">
        <w:rPr>
          <w:rFonts w:ascii="Times New Roman" w:hAnsi="Times New Roman" w:cs="Times New Roman"/>
          <w:sz w:val="28"/>
          <w:szCs w:val="28"/>
        </w:rPr>
        <w:t>erga</w:t>
      </w:r>
      <w:r w:rsidRPr="00EF58C6">
        <w:rPr>
          <w:rFonts w:ascii="Times New Roman" w:hAnsi="Times New Roman" w:cs="Times New Roman"/>
          <w:sz w:val="28"/>
          <w:szCs w:val="28"/>
          <w:lang w:val="ru-RU"/>
        </w:rPr>
        <w:t xml:space="preserve"> </w:t>
      </w:r>
      <w:r w:rsidRPr="00EF58C6">
        <w:rPr>
          <w:rFonts w:ascii="Times New Roman" w:hAnsi="Times New Roman" w:cs="Times New Roman"/>
          <w:sz w:val="28"/>
          <w:szCs w:val="28"/>
        </w:rPr>
        <w:t>omnes</w:t>
      </w:r>
      <w:r w:rsidRPr="00EF58C6">
        <w:rPr>
          <w:rFonts w:ascii="Times New Roman" w:hAnsi="Times New Roman" w:cs="Times New Roman"/>
          <w:sz w:val="28"/>
          <w:szCs w:val="28"/>
          <w:lang w:val="ru-RU"/>
        </w:rPr>
        <w:t xml:space="preserve"> чи будь-якого іншого подібного</w:t>
      </w:r>
      <w:r w:rsidR="00210EF0">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статусу;</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 xml:space="preserve">правова позиція ЄСПЛ - положення, що за своїм мотиваційним значенням мають однакову силу і для учасників Конвенції (перш за все сторін у справі), і для самого ЄСПЛ, що не позбавляє останнього можливості застосувати інший підхід (застосовуючи еволюційне чи динамічне </w:t>
      </w:r>
      <w:r w:rsidRPr="00EF58C6">
        <w:rPr>
          <w:rFonts w:ascii="Times New Roman" w:hAnsi="Times New Roman" w:cs="Times New Roman"/>
          <w:sz w:val="28"/>
          <w:szCs w:val="28"/>
          <w:lang w:val="ru-RU"/>
        </w:rPr>
        <w:lastRenderedPageBreak/>
        <w:t>тлумачення); ця обставина зобовʼязує у випадках посилання на практику ЄСПЛ враховувати можливість зміни або уточнення, конкретизації такої позиції чи такого тлума</w:t>
      </w:r>
      <w:r w:rsidR="00210EF0">
        <w:rPr>
          <w:rFonts w:ascii="Times New Roman" w:hAnsi="Times New Roman" w:cs="Times New Roman"/>
          <w:sz w:val="28"/>
          <w:szCs w:val="28"/>
          <w:lang w:val="ru-RU"/>
        </w:rPr>
        <w:t>чення в наступних рішеннях само</w:t>
      </w:r>
      <w:r w:rsidRPr="00EF58C6">
        <w:rPr>
          <w:rFonts w:ascii="Times New Roman" w:hAnsi="Times New Roman" w:cs="Times New Roman"/>
          <w:sz w:val="28"/>
          <w:szCs w:val="28"/>
          <w:lang w:val="ru-RU"/>
        </w:rPr>
        <w:t>го ЄСПЛ;</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ahoma" w:hAnsi="Tahoma" w:cs="Tahoma"/>
          <w:sz w:val="28"/>
          <w:szCs w:val="28"/>
        </w:rPr>
        <w:t>﻿﻿</w:t>
      </w:r>
      <w:r w:rsidRPr="00EF58C6">
        <w:rPr>
          <w:rFonts w:ascii="Times New Roman" w:hAnsi="Times New Roman" w:cs="Times New Roman"/>
          <w:sz w:val="28"/>
          <w:szCs w:val="28"/>
          <w:lang w:val="ru-RU"/>
        </w:rPr>
        <w:t>при застосуванні українськими судами правових позицій ЄСПЛ або інших положень тексту рішення цього Суду вони не можуть мати преюдиційного статусу;</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ahoma" w:hAnsi="Tahoma" w:cs="Tahoma"/>
          <w:sz w:val="28"/>
          <w:szCs w:val="28"/>
        </w:rPr>
        <w:t>﻿﻿</w:t>
      </w:r>
      <w:r w:rsidRPr="00EF58C6">
        <w:rPr>
          <w:rFonts w:ascii="Times New Roman" w:hAnsi="Times New Roman" w:cs="Times New Roman"/>
          <w:sz w:val="28"/>
          <w:szCs w:val="28"/>
          <w:lang w:val="ru-RU"/>
        </w:rPr>
        <w:t>поняття «практика ЄСПЛ» та «правові позиції ЄСПЛ» не збігаються за своїм змістом, що дає підстави для висновку про неможливість віднесення всіх без винятку рішень ЄСПЛ чи всіх елементів тексту конкретного рішення до «джерела права», чи релевантного «джерела права»; у кожному конкретному випадку мають бути підстави для можливості ідентифікації окремих фрагментів рішення як правових позицій ЄСПЛ;</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ahoma" w:hAnsi="Tahoma" w:cs="Tahoma"/>
          <w:sz w:val="28"/>
          <w:szCs w:val="28"/>
        </w:rPr>
        <w:t>﻿﻿</w:t>
      </w:r>
      <w:r w:rsidRPr="00EF58C6">
        <w:rPr>
          <w:rFonts w:ascii="Times New Roman" w:hAnsi="Times New Roman" w:cs="Times New Roman"/>
          <w:sz w:val="28"/>
          <w:szCs w:val="28"/>
          <w:lang w:val="ru-RU"/>
        </w:rPr>
        <w:t>«мотиваційна сила» чи значення правової позиції (як стандарту тлумачення) ЄСПЛ для національних юристів не залежить від того, чи була Україна учасницею відповідної справи; необхідно враховувати таке - виконанню в Україні підлягають лише рішення ЄСПЛ, ухвалені проти нашої держави, однак практика Суду при розгляді справ українськими судами застосовується формально без будь-яких обмежень, що разом з тим не означає абсолютної обґрунтованості</w:t>
      </w:r>
      <w:r w:rsidR="00210EF0">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такого застосування;</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до сфери розсуду національного судді належить застосування</w:t>
      </w:r>
      <w:r w:rsidR="00210EF0">
        <w:rPr>
          <w:rFonts w:ascii="Times New Roman" w:hAnsi="Times New Roman" w:cs="Times New Roman"/>
          <w:sz w:val="28"/>
          <w:szCs w:val="28"/>
          <w:lang w:val="ru-RU"/>
        </w:rPr>
        <w:t xml:space="preserve"> Конвенції в т</w:t>
      </w:r>
      <w:r w:rsidRPr="00EF58C6">
        <w:rPr>
          <w:rFonts w:ascii="Times New Roman" w:hAnsi="Times New Roman" w:cs="Times New Roman"/>
          <w:sz w:val="28"/>
          <w:szCs w:val="28"/>
          <w:lang w:val="ru-RU"/>
        </w:rPr>
        <w:t xml:space="preserve">лумаченні, що надане </w:t>
      </w:r>
      <w:r w:rsidR="00210EF0">
        <w:rPr>
          <w:rFonts w:ascii="Times New Roman" w:hAnsi="Times New Roman" w:cs="Times New Roman"/>
          <w:sz w:val="28"/>
          <w:szCs w:val="28"/>
          <w:lang w:val="ru-RU"/>
        </w:rPr>
        <w:t>у конкретному рішенні ЄСПЛ (тоб</w:t>
      </w:r>
      <w:r w:rsidRPr="00EF58C6">
        <w:rPr>
          <w:rFonts w:ascii="Times New Roman" w:hAnsi="Times New Roman" w:cs="Times New Roman"/>
          <w:sz w:val="28"/>
          <w:szCs w:val="28"/>
          <w:lang w:val="ru-RU"/>
        </w:rPr>
        <w:t>то конкретної правової позиції), однак відмова від такого глумачення можлива лише за наявності достатніх та переконливих аргументів;</w:t>
      </w:r>
      <w:r w:rsidR="00210EF0">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міжнародно-правовий принцип «</w:t>
      </w:r>
      <w:r w:rsidRPr="00EF58C6">
        <w:rPr>
          <w:rFonts w:ascii="Times New Roman" w:hAnsi="Times New Roman" w:cs="Times New Roman"/>
          <w:sz w:val="28"/>
          <w:szCs w:val="28"/>
        </w:rPr>
        <w:t>pacta</w:t>
      </w:r>
      <w:r w:rsidRPr="00EF58C6">
        <w:rPr>
          <w:rFonts w:ascii="Times New Roman" w:hAnsi="Times New Roman" w:cs="Times New Roman"/>
          <w:sz w:val="28"/>
          <w:szCs w:val="28"/>
          <w:lang w:val="ru-RU"/>
        </w:rPr>
        <w:t xml:space="preserve"> </w:t>
      </w:r>
      <w:r w:rsidRPr="00EF58C6">
        <w:rPr>
          <w:rFonts w:ascii="Times New Roman" w:hAnsi="Times New Roman" w:cs="Times New Roman"/>
          <w:sz w:val="28"/>
          <w:szCs w:val="28"/>
        </w:rPr>
        <w:t>sunt</w:t>
      </w:r>
      <w:r w:rsidRPr="00EF58C6">
        <w:rPr>
          <w:rFonts w:ascii="Times New Roman" w:hAnsi="Times New Roman" w:cs="Times New Roman"/>
          <w:sz w:val="28"/>
          <w:szCs w:val="28"/>
          <w:lang w:val="ru-RU"/>
        </w:rPr>
        <w:t xml:space="preserve"> </w:t>
      </w:r>
      <w:r w:rsidRPr="00EF58C6">
        <w:rPr>
          <w:rFonts w:ascii="Times New Roman" w:hAnsi="Times New Roman" w:cs="Times New Roman"/>
          <w:sz w:val="28"/>
          <w:szCs w:val="28"/>
        </w:rPr>
        <w:t>servanda</w:t>
      </w:r>
      <w:r w:rsidRPr="00EF58C6">
        <w:rPr>
          <w:rFonts w:ascii="Times New Roman" w:hAnsi="Times New Roman" w:cs="Times New Roman"/>
          <w:sz w:val="28"/>
          <w:szCs w:val="28"/>
          <w:lang w:val="ru-RU"/>
        </w:rPr>
        <w:t>» мае застосовуватися і щодо тлумачення Конвенції в рішеннях ЄСПЛ;</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правові позиції ЄСПЛ належать до усталеної судової практики</w:t>
      </w:r>
      <w:r w:rsidR="00210EF0">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ЄСПЛ (</w:t>
      </w:r>
      <w:r w:rsidRPr="00EF58C6">
        <w:rPr>
          <w:rFonts w:ascii="Times New Roman" w:hAnsi="Times New Roman" w:cs="Times New Roman"/>
          <w:sz w:val="28"/>
          <w:szCs w:val="28"/>
        </w:rPr>
        <w:t>settled</w:t>
      </w:r>
      <w:r w:rsidRPr="00EF58C6">
        <w:rPr>
          <w:rFonts w:ascii="Times New Roman" w:hAnsi="Times New Roman" w:cs="Times New Roman"/>
          <w:sz w:val="28"/>
          <w:szCs w:val="28"/>
          <w:lang w:val="ru-RU"/>
        </w:rPr>
        <w:t xml:space="preserve"> </w:t>
      </w:r>
      <w:r w:rsidRPr="00EF58C6">
        <w:rPr>
          <w:rFonts w:ascii="Times New Roman" w:hAnsi="Times New Roman" w:cs="Times New Roman"/>
          <w:sz w:val="28"/>
          <w:szCs w:val="28"/>
        </w:rPr>
        <w:t>jurisprudence</w:t>
      </w:r>
      <w:r w:rsidRPr="00EF58C6">
        <w:rPr>
          <w:rFonts w:ascii="Times New Roman" w:hAnsi="Times New Roman" w:cs="Times New Roman"/>
          <w:sz w:val="28"/>
          <w:szCs w:val="28"/>
          <w:lang w:val="ru-RU"/>
        </w:rPr>
        <w:t xml:space="preserve">), що в окремих випадках не виключає (пе-редусім в </w:t>
      </w:r>
      <w:r w:rsidRPr="00EF58C6">
        <w:rPr>
          <w:rFonts w:ascii="Times New Roman" w:hAnsi="Times New Roman" w:cs="Times New Roman"/>
          <w:sz w:val="28"/>
          <w:szCs w:val="28"/>
          <w:lang w:val="ru-RU"/>
        </w:rPr>
        <w:lastRenderedPageBreak/>
        <w:t>українських справах) можливість посилання на окремі аргу-менти, що сам ЄСПЛ може й не наділяти статусом усталеної судової</w:t>
      </w:r>
      <w:r w:rsidR="00210EF0">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практики;</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ahoma" w:hAnsi="Tahoma" w:cs="Tahoma"/>
          <w:sz w:val="28"/>
          <w:szCs w:val="28"/>
        </w:rPr>
        <w:t>﻿﻿</w:t>
      </w:r>
      <w:r w:rsidRPr="00EF58C6">
        <w:rPr>
          <w:rFonts w:ascii="Times New Roman" w:hAnsi="Times New Roman" w:cs="Times New Roman"/>
          <w:sz w:val="28"/>
          <w:szCs w:val="28"/>
          <w:lang w:val="ru-RU"/>
        </w:rPr>
        <w:t>правові позиції пілотних рішень щодо України не можуть в юридичному сенсі мати пріоритетного значення лише на підставі їх належності до пілотних;</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ahoma" w:hAnsi="Tahoma" w:cs="Tahoma"/>
          <w:sz w:val="28"/>
          <w:szCs w:val="28"/>
        </w:rPr>
        <w:t>﻿﻿</w:t>
      </w:r>
      <w:r w:rsidRPr="00EF58C6">
        <w:rPr>
          <w:rFonts w:ascii="Times New Roman" w:hAnsi="Times New Roman" w:cs="Times New Roman"/>
          <w:sz w:val="28"/>
          <w:szCs w:val="28"/>
          <w:lang w:val="ru-RU"/>
        </w:rPr>
        <w:t>правові позиції ЄСПЛ мають оцінюватись та застосовуватись з урахуванням виду рішення, де вони визначені (наприклад, рішення по суті чи про прийнятність; рішення комітету, палати чи Великої</w:t>
      </w:r>
      <w:r w:rsidR="00210EF0">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палати).</w:t>
      </w:r>
    </w:p>
    <w:p w:rsidR="00210EF0" w:rsidRDefault="00210EF0" w:rsidP="00EF58C6">
      <w:pPr>
        <w:spacing w:after="0" w:line="360" w:lineRule="auto"/>
        <w:ind w:firstLine="720"/>
        <w:jc w:val="both"/>
        <w:rPr>
          <w:rFonts w:ascii="Times New Roman" w:hAnsi="Times New Roman" w:cs="Times New Roman"/>
          <w:b/>
          <w:sz w:val="28"/>
          <w:szCs w:val="28"/>
          <w:lang w:val="ru-RU"/>
        </w:rPr>
      </w:pPr>
    </w:p>
    <w:p w:rsidR="001A410A" w:rsidRPr="00210EF0" w:rsidRDefault="00210EF0" w:rsidP="00EF58C6">
      <w:pPr>
        <w:spacing w:after="0" w:line="360" w:lineRule="auto"/>
        <w:ind w:firstLine="720"/>
        <w:jc w:val="both"/>
        <w:rPr>
          <w:rFonts w:ascii="Times New Roman" w:hAnsi="Times New Roman" w:cs="Times New Roman"/>
          <w:b/>
          <w:sz w:val="28"/>
          <w:szCs w:val="28"/>
          <w:lang w:val="ru-RU"/>
        </w:rPr>
      </w:pPr>
      <w:r w:rsidRPr="00210EF0">
        <w:rPr>
          <w:rFonts w:ascii="Times New Roman" w:hAnsi="Times New Roman" w:cs="Times New Roman"/>
          <w:b/>
          <w:sz w:val="28"/>
          <w:szCs w:val="28"/>
          <w:lang w:val="ru-RU"/>
        </w:rPr>
        <w:t xml:space="preserve">Застосування Конвенції та практики </w:t>
      </w:r>
      <w:r w:rsidR="001A410A" w:rsidRPr="00210EF0">
        <w:rPr>
          <w:rFonts w:ascii="Times New Roman" w:hAnsi="Times New Roman" w:cs="Times New Roman"/>
          <w:b/>
          <w:sz w:val="28"/>
          <w:szCs w:val="28"/>
          <w:lang w:val="ru-RU"/>
        </w:rPr>
        <w:t>Європейського суду з прав людини органами законодавчої гілки влади</w:t>
      </w:r>
    </w:p>
    <w:p w:rsidR="001A410A" w:rsidRPr="00EF58C6" w:rsidRDefault="001A410A" w:rsidP="00210EF0">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 xml:space="preserve">Відповідно до ч. 1 ст. 19 Закону України «Про виконання рішень та застосування практики Європейського суду з прав людини» від 23 лютого 2006 р. </w:t>
      </w:r>
      <w:r w:rsidRPr="00EF58C6">
        <w:rPr>
          <w:rFonts w:ascii="Times New Roman" w:hAnsi="Times New Roman" w:cs="Times New Roman"/>
          <w:sz w:val="28"/>
          <w:szCs w:val="28"/>
        </w:rPr>
        <w:t>N</w:t>
      </w:r>
      <w:r w:rsidRPr="00EF58C6">
        <w:rPr>
          <w:rFonts w:ascii="Times New Roman" w:hAnsi="Times New Roman" w:cs="Times New Roman"/>
          <w:sz w:val="28"/>
          <w:szCs w:val="28"/>
          <w:lang w:val="ru-RU"/>
        </w:rPr>
        <w:t>º 3477-</w:t>
      </w:r>
      <w:r w:rsidRPr="00EF58C6">
        <w:rPr>
          <w:rFonts w:ascii="Times New Roman" w:hAnsi="Times New Roman" w:cs="Times New Roman"/>
          <w:sz w:val="28"/>
          <w:szCs w:val="28"/>
        </w:rPr>
        <w:t>IV</w:t>
      </w:r>
      <w:r w:rsidRPr="00EF58C6">
        <w:rPr>
          <w:rFonts w:ascii="Times New Roman" w:hAnsi="Times New Roman" w:cs="Times New Roman"/>
          <w:sz w:val="28"/>
          <w:szCs w:val="28"/>
          <w:lang w:val="ru-RU"/>
        </w:rPr>
        <w:t xml:space="preserve"> Орган представництва здійснює юридичну експертизу всіх законопроектів, а також підзаконних нормативних актів, на які поширюється вимога державної реєстрації, на відповідність Конвенції, за резу</w:t>
      </w:r>
      <w:r w:rsidR="00210EF0">
        <w:rPr>
          <w:rFonts w:ascii="Times New Roman" w:hAnsi="Times New Roman" w:cs="Times New Roman"/>
          <w:sz w:val="28"/>
          <w:szCs w:val="28"/>
          <w:lang w:val="ru-RU"/>
        </w:rPr>
        <w:t xml:space="preserve">льтатами чого готує спеціальний </w:t>
      </w:r>
      <w:r w:rsidRPr="00EF58C6">
        <w:rPr>
          <w:rFonts w:ascii="Times New Roman" w:hAnsi="Times New Roman" w:cs="Times New Roman"/>
          <w:sz w:val="28"/>
          <w:szCs w:val="28"/>
          <w:lang w:val="ru-RU"/>
        </w:rPr>
        <w:t>висновок.</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 xml:space="preserve">Порядок здійснення такої експертизи врегульовано наказом Міністерства юстиції України від 20 серпня 2008 р. </w:t>
      </w:r>
      <w:r w:rsidRPr="00EF58C6">
        <w:rPr>
          <w:rFonts w:ascii="Times New Roman" w:hAnsi="Times New Roman" w:cs="Times New Roman"/>
          <w:sz w:val="28"/>
          <w:szCs w:val="28"/>
        </w:rPr>
        <w:t>N</w:t>
      </w:r>
      <w:r w:rsidRPr="00EF58C6">
        <w:rPr>
          <w:rFonts w:ascii="Times New Roman" w:hAnsi="Times New Roman" w:cs="Times New Roman"/>
          <w:sz w:val="28"/>
          <w:szCs w:val="28"/>
          <w:lang w:val="ru-RU"/>
        </w:rPr>
        <w:t>º 1219/7 «Про здійснення експертизи проектів законів та проектів актів Кабінету Міністрів України, а також нормативно-правових актів, на які поширюється вимога державної реєстрації, щодо відповідності положенням Конвенції про захист прав людини і основоп</w:t>
      </w:r>
      <w:r w:rsidR="00210EF0">
        <w:rPr>
          <w:rFonts w:ascii="Times New Roman" w:hAnsi="Times New Roman" w:cs="Times New Roman"/>
          <w:sz w:val="28"/>
          <w:szCs w:val="28"/>
          <w:lang w:val="ru-RU"/>
        </w:rPr>
        <w:t>оложних свобод та практиці Євро</w:t>
      </w:r>
      <w:r w:rsidRPr="00EF58C6">
        <w:rPr>
          <w:rFonts w:ascii="Times New Roman" w:hAnsi="Times New Roman" w:cs="Times New Roman"/>
          <w:sz w:val="28"/>
          <w:szCs w:val="28"/>
          <w:lang w:val="ru-RU"/>
        </w:rPr>
        <w:t>пейського суду з прав людини».</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Важливою гарантією є те, що нездійснення такої перевірки або наявність висновку про невідповідність підзаконного акта вимогам</w:t>
      </w:r>
      <w:r w:rsidR="00210EF0">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 xml:space="preserve">Конвенції є підставою для відмови в державній реєстрації відповідного акта. Однак вимога про застосування Конвенції та практики Суду в процедурі законотворення не обмежується новими нормативно-правовими актами. Так, частинами 3, 4 ст. </w:t>
      </w:r>
      <w:r w:rsidRPr="00EF58C6">
        <w:rPr>
          <w:rFonts w:ascii="Times New Roman" w:hAnsi="Times New Roman" w:cs="Times New Roman"/>
          <w:sz w:val="28"/>
          <w:szCs w:val="28"/>
          <w:lang w:val="ru-RU"/>
        </w:rPr>
        <w:lastRenderedPageBreak/>
        <w:t xml:space="preserve">19 Закону України «Про виконання рішень та застосування практики Європейського суду з прав людини» від 23 лютого 2006 р. </w:t>
      </w:r>
      <w:r w:rsidRPr="00EF58C6">
        <w:rPr>
          <w:rFonts w:ascii="Times New Roman" w:hAnsi="Times New Roman" w:cs="Times New Roman"/>
          <w:sz w:val="28"/>
          <w:szCs w:val="28"/>
        </w:rPr>
        <w:t>N</w:t>
      </w:r>
      <w:r w:rsidRPr="00EF58C6">
        <w:rPr>
          <w:rFonts w:ascii="Times New Roman" w:hAnsi="Times New Roman" w:cs="Times New Roman"/>
          <w:sz w:val="28"/>
          <w:szCs w:val="28"/>
          <w:lang w:val="ru-RU"/>
        </w:rPr>
        <w:t>º 3477-</w:t>
      </w:r>
      <w:r w:rsidRPr="00EF58C6">
        <w:rPr>
          <w:rFonts w:ascii="Times New Roman" w:hAnsi="Times New Roman" w:cs="Times New Roman"/>
          <w:sz w:val="28"/>
          <w:szCs w:val="28"/>
        </w:rPr>
        <w:t>IV</w:t>
      </w:r>
      <w:r w:rsidRPr="00EF58C6">
        <w:rPr>
          <w:rFonts w:ascii="Times New Roman" w:hAnsi="Times New Roman" w:cs="Times New Roman"/>
          <w:sz w:val="28"/>
          <w:szCs w:val="28"/>
          <w:lang w:val="ru-RU"/>
        </w:rPr>
        <w:t xml:space="preserve"> передбачено, що Орган</w:t>
      </w:r>
      <w:r w:rsidR="00210EF0">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 xml:space="preserve">представництва забезпечує постійну та з розумною періодичністю перевірку чинних законів і підзаконних актів на відповідність Конвенції та практиці Суду, передусім </w:t>
      </w:r>
      <w:proofErr w:type="gramStart"/>
      <w:r w:rsidRPr="00EF58C6">
        <w:rPr>
          <w:rFonts w:ascii="Times New Roman" w:hAnsi="Times New Roman" w:cs="Times New Roman"/>
          <w:sz w:val="28"/>
          <w:szCs w:val="28"/>
          <w:lang w:val="ru-RU"/>
        </w:rPr>
        <w:t>у сферах</w:t>
      </w:r>
      <w:proofErr w:type="gramEnd"/>
      <w:r w:rsidRPr="00EF58C6">
        <w:rPr>
          <w:rFonts w:ascii="Times New Roman" w:hAnsi="Times New Roman" w:cs="Times New Roman"/>
          <w:sz w:val="28"/>
          <w:szCs w:val="28"/>
          <w:lang w:val="ru-RU"/>
        </w:rPr>
        <w:t>, що стосуються діяльності правоохоронних органів, кримінального провадження, позбавлення свободи. За результатами такої перевірки Орган представництва подає до КМУ пропозиції щодо внесення змін до чинних законів та підзаконних актів з метою приведення їх у відповідність з вимогами Конвенції та відповідною практикою Суду.</w:t>
      </w:r>
    </w:p>
    <w:p w:rsidR="0055753A"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Питання застосування норм Конвенції та практики Суду органами законодавчої гілки влади тісно повʼязане із вжиттям державою заходів загального характеру на виконання рішення Суду, оскільки саме при їх здійсненні вноситься велика кільк</w:t>
      </w:r>
      <w:r w:rsidR="00BE57DC">
        <w:rPr>
          <w:rFonts w:ascii="Times New Roman" w:hAnsi="Times New Roman" w:cs="Times New Roman"/>
          <w:sz w:val="28"/>
          <w:szCs w:val="28"/>
          <w:lang w:val="ru-RU"/>
        </w:rPr>
        <w:t>ість змін до національного зако</w:t>
      </w:r>
      <w:r w:rsidRPr="00EF58C6">
        <w:rPr>
          <w:rFonts w:ascii="Times New Roman" w:hAnsi="Times New Roman" w:cs="Times New Roman"/>
          <w:sz w:val="28"/>
          <w:szCs w:val="28"/>
          <w:lang w:val="ru-RU"/>
        </w:rPr>
        <w:t xml:space="preserve">нодавства, а у деяких випадках приймаються навіть нові нормативно-правові акти. Підставою для цього є досконалий аналіз норм законодавства на основі винесених проти </w:t>
      </w:r>
      <w:r w:rsidR="00210EF0">
        <w:rPr>
          <w:rFonts w:ascii="Times New Roman" w:hAnsi="Times New Roman" w:cs="Times New Roman"/>
          <w:sz w:val="28"/>
          <w:szCs w:val="28"/>
          <w:lang w:val="ru-RU"/>
        </w:rPr>
        <w:t xml:space="preserve">України рішень та з урахуванням </w:t>
      </w:r>
      <w:r w:rsidRPr="00EF58C6">
        <w:rPr>
          <w:rFonts w:ascii="Times New Roman" w:hAnsi="Times New Roman" w:cs="Times New Roman"/>
          <w:sz w:val="28"/>
          <w:szCs w:val="28"/>
          <w:lang w:val="ru-RU"/>
        </w:rPr>
        <w:t>висловлених у них зауважень щодо</w:t>
      </w:r>
      <w:r w:rsidR="00BE57DC">
        <w:rPr>
          <w:rFonts w:ascii="Times New Roman" w:hAnsi="Times New Roman" w:cs="Times New Roman"/>
          <w:sz w:val="28"/>
          <w:szCs w:val="28"/>
          <w:lang w:val="ru-RU"/>
        </w:rPr>
        <w:t xml:space="preserve"> структурних проблем певного ха</w:t>
      </w:r>
      <w:r w:rsidRPr="00EF58C6">
        <w:rPr>
          <w:rFonts w:ascii="Times New Roman" w:hAnsi="Times New Roman" w:cs="Times New Roman"/>
          <w:sz w:val="28"/>
          <w:szCs w:val="28"/>
          <w:lang w:val="ru-RU"/>
        </w:rPr>
        <w:t>рактеру, як це, наприклад, було у справі «Юрій Миколайович Іванов проти україни» від 15 жовтня 2009 р.</w:t>
      </w:r>
      <w:r w:rsidR="0055753A">
        <w:rPr>
          <w:rFonts w:ascii="Times New Roman" w:hAnsi="Times New Roman" w:cs="Times New Roman"/>
          <w:sz w:val="28"/>
          <w:szCs w:val="28"/>
          <w:lang w:val="ru-RU"/>
        </w:rPr>
        <w:t xml:space="preserve"> </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На виконання рішення «Невмержицький проти України» від 5 квітня 2005 р. стосовно незадовільних умов тримання в місцях несвободи були внесені законодавчі зміни до Кримінально-виконавчого кодексу, які набули чинності у лютому 2010 р. і встановили норму площі на одного увʼ</w:t>
      </w:r>
      <w:r w:rsidR="0055753A">
        <w:rPr>
          <w:rFonts w:ascii="Times New Roman" w:hAnsi="Times New Roman" w:cs="Times New Roman"/>
          <w:sz w:val="28"/>
          <w:szCs w:val="28"/>
          <w:lang w:val="ru-RU"/>
        </w:rPr>
        <w:t>язненого на рівні не менше 4 м2</w:t>
      </w:r>
      <w:r w:rsidRPr="00EF58C6">
        <w:rPr>
          <w:rFonts w:ascii="Times New Roman" w:hAnsi="Times New Roman" w:cs="Times New Roman"/>
          <w:sz w:val="28"/>
          <w:szCs w:val="28"/>
          <w:lang w:val="ru-RU"/>
        </w:rPr>
        <w:t xml:space="preserve"> (станом на січень</w:t>
      </w:r>
      <w:r w:rsidR="0055753A">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2012 р.).</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 xml:space="preserve"> </w:t>
      </w:r>
      <w:r w:rsidR="0055753A">
        <w:rPr>
          <w:rFonts w:ascii="Times New Roman" w:hAnsi="Times New Roman" w:cs="Times New Roman"/>
          <w:sz w:val="28"/>
          <w:szCs w:val="28"/>
          <w:lang w:val="ru-RU"/>
        </w:rPr>
        <w:t>Законодавчі зміни були прийняті й у зв</w:t>
      </w:r>
      <w:r w:rsidR="0055753A" w:rsidRPr="0055753A">
        <w:rPr>
          <w:rFonts w:ascii="Times New Roman" w:hAnsi="Times New Roman" w:cs="Times New Roman"/>
          <w:sz w:val="28"/>
          <w:szCs w:val="28"/>
          <w:lang w:val="ru-RU"/>
        </w:rPr>
        <w:t>’</w:t>
      </w:r>
      <w:r w:rsidR="0055753A">
        <w:rPr>
          <w:rFonts w:ascii="Times New Roman" w:hAnsi="Times New Roman" w:cs="Times New Roman"/>
          <w:sz w:val="28"/>
          <w:szCs w:val="28"/>
          <w:lang w:val="uk-UA"/>
        </w:rPr>
        <w:t>язку з справою «Сокуренко</w:t>
      </w:r>
      <w:r w:rsidRPr="00EF58C6">
        <w:rPr>
          <w:rFonts w:ascii="Times New Roman" w:hAnsi="Times New Roman" w:cs="Times New Roman"/>
          <w:sz w:val="28"/>
          <w:szCs w:val="28"/>
          <w:lang w:val="ru-RU"/>
        </w:rPr>
        <w:t xml:space="preserve"> проти України» від 20 липня 2006 р. щодо несправедливого цивільного </w:t>
      </w:r>
      <w:r w:rsidRPr="00EF58C6">
        <w:rPr>
          <w:rFonts w:ascii="Times New Roman" w:hAnsi="Times New Roman" w:cs="Times New Roman"/>
          <w:sz w:val="28"/>
          <w:szCs w:val="28"/>
          <w:lang w:val="ru-RU"/>
        </w:rPr>
        <w:lastRenderedPageBreak/>
        <w:t xml:space="preserve">судочинства. Уряд України надав Комітету міністрів інформацію про прийняття 7 липня 2010 р. Закону країни «Про судоустрій і статус суддів», який вніс зміни до Господарсько-процесуального кодексу України. Відповідно до цих змін ВГС› став єдиною касаційною інстанцією з розгляду господарських справ. Повноваження ВСУ щодо вирішення господарських спорів були зведені виключно </w:t>
      </w:r>
      <w:proofErr w:type="gramStart"/>
      <w:r w:rsidRPr="00EF58C6">
        <w:rPr>
          <w:rFonts w:ascii="Times New Roman" w:hAnsi="Times New Roman" w:cs="Times New Roman"/>
          <w:sz w:val="28"/>
          <w:szCs w:val="28"/>
          <w:lang w:val="ru-RU"/>
        </w:rPr>
        <w:t>до перегляду</w:t>
      </w:r>
      <w:proofErr w:type="gramEnd"/>
      <w:r w:rsidRPr="00EF58C6">
        <w:rPr>
          <w:rFonts w:ascii="Times New Roman" w:hAnsi="Times New Roman" w:cs="Times New Roman"/>
          <w:sz w:val="28"/>
          <w:szCs w:val="28"/>
          <w:lang w:val="ru-RU"/>
        </w:rPr>
        <w:t xml:space="preserve"> рішень ВГСУ.</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На цей час відповідно до змін, внесених до Конституції України, найвищою судовою інстанцією в системі судоустрою України є Верховний Суд (ч. 3 ст. 125)'. Відповідно до положень Закону України «Про судоустрій і статус суддів»? (ч. 2 ст. 36) Верховний Суд здійснює правосуддя як суд касаційної інстанції, який забезпечує сталість та єдність судової практики. У складі Верховного Суду діють Касаційний адміністративний суд, Касаційний господарський суд, Касаційний кримінальний суд, Касаційний цивільний суд.</w:t>
      </w:r>
    </w:p>
    <w:p w:rsidR="00443393" w:rsidRDefault="00443393" w:rsidP="00EF58C6">
      <w:pPr>
        <w:spacing w:after="0" w:line="360" w:lineRule="auto"/>
        <w:ind w:firstLine="720"/>
        <w:jc w:val="both"/>
        <w:rPr>
          <w:rFonts w:ascii="Times New Roman" w:hAnsi="Times New Roman" w:cs="Times New Roman"/>
          <w:sz w:val="28"/>
          <w:szCs w:val="28"/>
          <w:lang w:val="ru-RU"/>
        </w:rPr>
      </w:pPr>
    </w:p>
    <w:p w:rsidR="001A410A" w:rsidRPr="00443393" w:rsidRDefault="001A410A" w:rsidP="00EF58C6">
      <w:pPr>
        <w:spacing w:after="0" w:line="360" w:lineRule="auto"/>
        <w:ind w:firstLine="720"/>
        <w:jc w:val="both"/>
        <w:rPr>
          <w:rFonts w:ascii="Times New Roman" w:hAnsi="Times New Roman" w:cs="Times New Roman"/>
          <w:b/>
          <w:sz w:val="28"/>
          <w:szCs w:val="28"/>
          <w:lang w:val="ru-RU"/>
        </w:rPr>
      </w:pPr>
      <w:r w:rsidRPr="00443393">
        <w:rPr>
          <w:rFonts w:ascii="Times New Roman" w:hAnsi="Times New Roman" w:cs="Times New Roman"/>
          <w:b/>
          <w:sz w:val="28"/>
          <w:szCs w:val="28"/>
          <w:lang w:val="ru-RU"/>
        </w:rPr>
        <w:t>Застосування Конвенції та практики</w:t>
      </w:r>
      <w:r w:rsidR="00443393" w:rsidRPr="00443393">
        <w:rPr>
          <w:rFonts w:ascii="Times New Roman" w:hAnsi="Times New Roman" w:cs="Times New Roman"/>
          <w:b/>
          <w:sz w:val="28"/>
          <w:szCs w:val="28"/>
          <w:lang w:val="ru-RU"/>
        </w:rPr>
        <w:t xml:space="preserve"> </w:t>
      </w:r>
      <w:r w:rsidRPr="00443393">
        <w:rPr>
          <w:rFonts w:ascii="Times New Roman" w:hAnsi="Times New Roman" w:cs="Times New Roman"/>
          <w:b/>
          <w:sz w:val="28"/>
          <w:szCs w:val="28"/>
          <w:lang w:val="ru-RU"/>
        </w:rPr>
        <w:t>Європейського суду з прав людини органами виконавчої влади та іншими адміністративними органами</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Найчастіше порушення державою тієї чи іншої статті Конвенції зумовлене діями певного органу державної влади (чи то виконавчої влади, чи то іншого субʼєкта владних повноважень (адміністративного</w:t>
      </w:r>
      <w:r w:rsidR="00832AA9">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органу)).</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 xml:space="preserve">Так, у справі «Інтерсплав проти України» від 9 січня 2007 р. Суд установив, що численні відмови податкових органів підтвердити право заявника на повернення ПДВ, тоді як такі відмови щоразу визнавалися безпідставними національними судами, становили адміністративну практику втручання в права власності заявника на порушення ст. 1 Першого протоколу Конвенції. Судом також розглядаються спра-ви, в яких визнається порушення Конвенції у звʼязку з неналежним розслідуванням кримінальних справ. Так, у </w:t>
      </w:r>
      <w:r w:rsidRPr="00EF58C6">
        <w:rPr>
          <w:rFonts w:ascii="Times New Roman" w:hAnsi="Times New Roman" w:cs="Times New Roman"/>
          <w:sz w:val="28"/>
          <w:szCs w:val="28"/>
          <w:lang w:val="ru-RU"/>
        </w:rPr>
        <w:lastRenderedPageBreak/>
        <w:t>рішенні «Афанасьєв проти</w:t>
      </w:r>
      <w:r w:rsidR="00832AA9">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України» від 5 квітня 2005 р. Суд дійшов висновку про порушення статей 3 та 13 Конвенції у звʼязку з незадовільним розслідуванням кримінальної справи.</w:t>
      </w:r>
    </w:p>
    <w:p w:rsidR="001A410A"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Ураховуючи рішення Суду у справі «Полторацький проти Укра-їни» від 29 квітня 2003 р., Державна пенітенціарна служба України прийняла низку правових актів, спрямованих на покращення розслідування ймовірного жорстокого поводження з увʼязненими. Серед іншого було передбачено щоденне обстеження увʼязнених лікарями для того, щоб бачити, чи потребує особа медичної допомо</w:t>
      </w:r>
      <w:r w:rsidR="00832AA9">
        <w:rPr>
          <w:rFonts w:ascii="Times New Roman" w:hAnsi="Times New Roman" w:cs="Times New Roman"/>
          <w:sz w:val="28"/>
          <w:szCs w:val="28"/>
          <w:lang w:val="ru-RU"/>
        </w:rPr>
        <w:t>ги, консультації або експертизи.</w:t>
      </w:r>
    </w:p>
    <w:p w:rsidR="008F7F17" w:rsidRPr="00EF58C6" w:rsidRDefault="001A410A" w:rsidP="00EF58C6">
      <w:pPr>
        <w:spacing w:after="0" w:line="360" w:lineRule="auto"/>
        <w:ind w:firstLine="720"/>
        <w:jc w:val="both"/>
        <w:rPr>
          <w:rFonts w:ascii="Times New Roman" w:hAnsi="Times New Roman" w:cs="Times New Roman"/>
          <w:sz w:val="28"/>
          <w:szCs w:val="28"/>
          <w:lang w:val="ru-RU"/>
        </w:rPr>
      </w:pPr>
      <w:r w:rsidRPr="00EF58C6">
        <w:rPr>
          <w:rFonts w:ascii="Times New Roman" w:hAnsi="Times New Roman" w:cs="Times New Roman"/>
          <w:sz w:val="28"/>
          <w:szCs w:val="28"/>
          <w:lang w:val="ru-RU"/>
        </w:rPr>
        <w:t>Проблемою правового характеру в питаннях застосування норм</w:t>
      </w:r>
      <w:r w:rsidR="00832AA9">
        <w:rPr>
          <w:rFonts w:ascii="Times New Roman" w:hAnsi="Times New Roman" w:cs="Times New Roman"/>
          <w:sz w:val="28"/>
          <w:szCs w:val="28"/>
          <w:lang w:val="ru-RU"/>
        </w:rPr>
        <w:t xml:space="preserve"> </w:t>
      </w:r>
      <w:r w:rsidRPr="00EF58C6">
        <w:rPr>
          <w:rFonts w:ascii="Times New Roman" w:hAnsi="Times New Roman" w:cs="Times New Roman"/>
          <w:sz w:val="28"/>
          <w:szCs w:val="28"/>
          <w:lang w:val="ru-RU"/>
        </w:rPr>
        <w:t>Конвенції та практики Суду органами виконавчої гілки влади та іншими адміністративними органами є те, що навіть за наявності ефективного законодавчого врегулювання правовідносин у державі в дусі цінностей Конвенції досягнення цілі дотримання прав та свобод лю-дини, гарантованих Конвенцією, інколи не видається можливим з огляду на недосконалість функціонування цих органів.</w:t>
      </w:r>
    </w:p>
    <w:sectPr w:rsidR="008F7F17" w:rsidRPr="00EF58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C7D"/>
    <w:rsid w:val="001A410A"/>
    <w:rsid w:val="00210EF0"/>
    <w:rsid w:val="00443393"/>
    <w:rsid w:val="0055753A"/>
    <w:rsid w:val="005E3227"/>
    <w:rsid w:val="00704832"/>
    <w:rsid w:val="00832AA9"/>
    <w:rsid w:val="00847C50"/>
    <w:rsid w:val="008F7F17"/>
    <w:rsid w:val="009A1C7D"/>
    <w:rsid w:val="00BD30F6"/>
    <w:rsid w:val="00BE57DC"/>
    <w:rsid w:val="00EF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B04F2"/>
  <w15:chartTrackingRefBased/>
  <w15:docId w15:val="{245CCE50-7948-4918-BF55-578ED99D0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23</Pages>
  <Words>5785</Words>
  <Characters>32975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Nelya</dc:creator>
  <cp:keywords/>
  <dc:description/>
  <cp:lastModifiedBy>Nelya</cp:lastModifiedBy>
  <cp:revision>10</cp:revision>
  <dcterms:created xsi:type="dcterms:W3CDTF">2024-11-19T10:03:00Z</dcterms:created>
  <dcterms:modified xsi:type="dcterms:W3CDTF">2024-11-19T10:35:00Z</dcterms:modified>
</cp:coreProperties>
</file>