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70" w:rsidRPr="00233370" w:rsidRDefault="00457E2E" w:rsidP="00457E2E">
      <w:pPr>
        <w:spacing w:after="0"/>
        <w:ind w:firstLine="567"/>
        <w:jc w:val="center"/>
        <w:rPr>
          <w:rFonts w:eastAsia="Times New Roman" w:cs="Times New Roman"/>
          <w:b/>
          <w:bCs/>
          <w:szCs w:val="28"/>
          <w:lang w:eastAsia="uk-UA"/>
        </w:rPr>
      </w:pPr>
      <w:r>
        <w:rPr>
          <w:rFonts w:eastAsia="Times New Roman" w:cs="Times New Roman"/>
          <w:b/>
          <w:bCs/>
          <w:szCs w:val="28"/>
          <w:lang w:eastAsia="uk-UA"/>
        </w:rPr>
        <w:t>Тема 13. П</w:t>
      </w:r>
      <w:r w:rsidR="00233370" w:rsidRPr="00233370">
        <w:rPr>
          <w:rFonts w:eastAsia="Times New Roman" w:cs="Times New Roman"/>
          <w:b/>
          <w:bCs/>
          <w:szCs w:val="28"/>
          <w:lang w:eastAsia="uk-UA"/>
        </w:rPr>
        <w:t>равовідносин</w:t>
      </w:r>
      <w:r>
        <w:rPr>
          <w:rFonts w:eastAsia="Times New Roman" w:cs="Times New Roman"/>
          <w:b/>
          <w:bCs/>
          <w:szCs w:val="28"/>
          <w:lang w:eastAsia="uk-UA"/>
        </w:rPr>
        <w:t>и</w:t>
      </w:r>
      <w:r w:rsidR="00233370" w:rsidRPr="00233370">
        <w:rPr>
          <w:rFonts w:eastAsia="Times New Roman" w:cs="Times New Roman"/>
          <w:b/>
          <w:bCs/>
          <w:szCs w:val="28"/>
          <w:lang w:eastAsia="uk-UA"/>
        </w:rPr>
        <w:t xml:space="preserve"> у сфері соціального забезпечення</w:t>
      </w:r>
    </w:p>
    <w:p w:rsidR="00457E2E" w:rsidRPr="00ED5C44" w:rsidRDefault="00457E2E" w:rsidP="00457E2E">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Pr="00ED5C44">
        <w:rPr>
          <w:rFonts w:eastAsia="Times New Roman" w:cs="Times New Roman"/>
          <w:b/>
          <w:bCs/>
          <w:szCs w:val="28"/>
          <w:lang w:eastAsia="uk-UA"/>
        </w:rPr>
        <w:t>Соціально-забезпечувальні правовідносини</w:t>
      </w:r>
      <w:r>
        <w:rPr>
          <w:rFonts w:eastAsia="Times New Roman" w:cs="Times New Roman"/>
          <w:b/>
          <w:bCs/>
          <w:szCs w:val="28"/>
          <w:lang w:eastAsia="uk-UA"/>
        </w:rPr>
        <w:t>.</w:t>
      </w:r>
    </w:p>
    <w:p w:rsidR="00457E2E" w:rsidRPr="00457E2E" w:rsidRDefault="00457E2E" w:rsidP="00457E2E">
      <w:pPr>
        <w:spacing w:after="0"/>
        <w:ind w:firstLine="567"/>
        <w:jc w:val="both"/>
        <w:rPr>
          <w:rFonts w:eastAsia="Times New Roman" w:cs="Times New Roman"/>
          <w:b/>
          <w:bCs/>
          <w:szCs w:val="28"/>
          <w:lang w:eastAsia="uk-UA"/>
        </w:rPr>
      </w:pPr>
      <w:r w:rsidRPr="00457E2E">
        <w:rPr>
          <w:rFonts w:eastAsia="Times New Roman" w:cs="Times New Roman"/>
          <w:b/>
          <w:bCs/>
          <w:szCs w:val="28"/>
          <w:lang w:eastAsia="uk-UA"/>
        </w:rPr>
        <w:t>2. С</w:t>
      </w:r>
      <w:r w:rsidRPr="00C35E5F">
        <w:rPr>
          <w:rFonts w:eastAsia="Times New Roman" w:cs="Times New Roman"/>
          <w:b/>
          <w:bCs/>
          <w:szCs w:val="28"/>
          <w:lang w:eastAsia="uk-UA"/>
        </w:rPr>
        <w:t>уб’єкти права соціального забезпечення</w:t>
      </w:r>
      <w:r>
        <w:rPr>
          <w:rFonts w:eastAsia="Times New Roman" w:cs="Times New Roman"/>
          <w:b/>
          <w:bCs/>
          <w:szCs w:val="28"/>
          <w:lang w:eastAsia="uk-UA"/>
        </w:rPr>
        <w:t>.</w:t>
      </w:r>
    </w:p>
    <w:p w:rsidR="00457E2E" w:rsidRPr="00C35E5F" w:rsidRDefault="00457E2E" w:rsidP="00457E2E">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3. </w:t>
      </w:r>
      <w:r w:rsidRPr="00C35E5F">
        <w:rPr>
          <w:rFonts w:eastAsia="Times New Roman" w:cs="Times New Roman"/>
          <w:b/>
          <w:bCs/>
          <w:szCs w:val="28"/>
          <w:lang w:eastAsia="uk-UA"/>
        </w:rPr>
        <w:t>Відповідальність у сфері соціального забезпечення</w:t>
      </w:r>
      <w:r>
        <w:rPr>
          <w:rFonts w:eastAsia="Times New Roman" w:cs="Times New Roman"/>
          <w:b/>
          <w:bCs/>
          <w:szCs w:val="28"/>
          <w:lang w:eastAsia="uk-UA"/>
        </w:rPr>
        <w:t>.</w:t>
      </w:r>
    </w:p>
    <w:p w:rsidR="00457E2E" w:rsidRPr="00C35E5F" w:rsidRDefault="00457E2E" w:rsidP="00457E2E">
      <w:pPr>
        <w:spacing w:after="0"/>
        <w:ind w:firstLine="567"/>
        <w:jc w:val="both"/>
        <w:textAlignment w:val="baseline"/>
        <w:outlineLvl w:val="0"/>
        <w:rPr>
          <w:rFonts w:eastAsia="Times New Roman" w:cs="Times New Roman"/>
          <w:b/>
          <w:bCs/>
          <w:kern w:val="36"/>
          <w:szCs w:val="28"/>
          <w:lang w:eastAsia="uk-UA"/>
        </w:rPr>
      </w:pPr>
      <w:r>
        <w:rPr>
          <w:rFonts w:eastAsia="Times New Roman" w:cs="Times New Roman"/>
          <w:b/>
          <w:bCs/>
          <w:kern w:val="36"/>
          <w:szCs w:val="28"/>
          <w:bdr w:val="none" w:sz="0" w:space="0" w:color="auto" w:frame="1"/>
          <w:lang w:eastAsia="uk-UA"/>
        </w:rPr>
        <w:t xml:space="preserve">4. </w:t>
      </w:r>
      <w:r w:rsidRPr="00C35E5F">
        <w:rPr>
          <w:rFonts w:eastAsia="Times New Roman" w:cs="Times New Roman"/>
          <w:b/>
          <w:bCs/>
          <w:kern w:val="36"/>
          <w:szCs w:val="28"/>
          <w:bdr w:val="none" w:sz="0" w:space="0" w:color="auto" w:frame="1"/>
          <w:lang w:eastAsia="uk-UA"/>
        </w:rPr>
        <w:t>Законодавство про соціальне забезпечення</w:t>
      </w:r>
      <w:r>
        <w:rPr>
          <w:rFonts w:eastAsia="Times New Roman" w:cs="Times New Roman"/>
          <w:b/>
          <w:bCs/>
          <w:kern w:val="36"/>
          <w:szCs w:val="28"/>
          <w:bdr w:val="none" w:sz="0" w:space="0" w:color="auto" w:frame="1"/>
          <w:lang w:eastAsia="uk-UA"/>
        </w:rPr>
        <w:t>.</w:t>
      </w:r>
    </w:p>
    <w:p w:rsidR="00ED5C44" w:rsidRDefault="00ED5C44" w:rsidP="00ED5C44">
      <w:pPr>
        <w:spacing w:after="0"/>
        <w:ind w:firstLine="567"/>
        <w:jc w:val="both"/>
        <w:rPr>
          <w:rFonts w:eastAsia="Times New Roman" w:cs="Times New Roman"/>
          <w:b/>
          <w:bCs/>
          <w:szCs w:val="28"/>
          <w:lang w:eastAsia="uk-UA"/>
        </w:rPr>
      </w:pPr>
    </w:p>
    <w:p w:rsidR="00F12C76" w:rsidRPr="00ED5C44" w:rsidRDefault="00457E2E" w:rsidP="00ED5C44">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00233370" w:rsidRPr="00ED5C44">
        <w:rPr>
          <w:rFonts w:eastAsia="Times New Roman" w:cs="Times New Roman"/>
          <w:b/>
          <w:bCs/>
          <w:szCs w:val="28"/>
          <w:lang w:eastAsia="uk-UA"/>
        </w:rPr>
        <w:t>Соціально-забезпечувальні правовідносини</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xml:space="preserve">Загалом процедура призначення соціального забезпечення має </w:t>
      </w:r>
      <w:proofErr w:type="spellStart"/>
      <w:r w:rsidRPr="00233370">
        <w:rPr>
          <w:rFonts w:eastAsia="Times New Roman" w:cs="Times New Roman"/>
          <w:szCs w:val="28"/>
          <w:lang w:eastAsia="uk-UA"/>
        </w:rPr>
        <w:t>заявницький</w:t>
      </w:r>
      <w:proofErr w:type="spellEnd"/>
      <w:r w:rsidRPr="00233370">
        <w:rPr>
          <w:rFonts w:eastAsia="Times New Roman" w:cs="Times New Roman"/>
          <w:szCs w:val="28"/>
          <w:lang w:eastAsia="uk-UA"/>
        </w:rPr>
        <w:t xml:space="preserve"> характер.</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Аналіз чинного законодавства у сфері соціального забезпечення дає підстави виокремити декілька форм звернення:</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1) оформлення заяви та подання необхідного переліку документів, що підтверджують право особи на призначення конкретного виду та розміру соціального забезпечення</w:t>
      </w:r>
      <w:r w:rsidR="00ED5C44">
        <w:rPr>
          <w:rFonts w:eastAsia="Times New Roman" w:cs="Times New Roman"/>
          <w:szCs w:val="28"/>
          <w:lang w:eastAsia="uk-UA"/>
        </w:rPr>
        <w:t>;</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2) без заяви, подаються тільки необхідні документи</w:t>
      </w:r>
      <w:r w:rsidR="00ED5C44">
        <w:rPr>
          <w:rFonts w:eastAsia="Times New Roman" w:cs="Times New Roman"/>
          <w:szCs w:val="28"/>
          <w:lang w:eastAsia="uk-UA"/>
        </w:rPr>
        <w:t xml:space="preserve">. </w:t>
      </w:r>
      <w:r w:rsidRPr="00233370">
        <w:rPr>
          <w:rFonts w:eastAsia="Times New Roman" w:cs="Times New Roman"/>
          <w:szCs w:val="28"/>
          <w:lang w:eastAsia="uk-UA"/>
        </w:rPr>
        <w:t>Наприклад, у випадку призначення страхових виплат у зв’язку з тимчасовою втратою працездатності особа подає лише листок непрацездатності</w:t>
      </w:r>
      <w:r w:rsidR="00ED5C44">
        <w:rPr>
          <w:rFonts w:eastAsia="Times New Roman" w:cs="Times New Roman"/>
          <w:szCs w:val="28"/>
          <w:lang w:eastAsia="uk-UA"/>
        </w:rPr>
        <w:t>;</w:t>
      </w:r>
    </w:p>
    <w:p w:rsidR="00233370" w:rsidRPr="00ED5C44"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3) оформлення заяви, без документів, на договірній основі.</w:t>
      </w:r>
      <w:r w:rsidR="00ED5C44">
        <w:rPr>
          <w:rFonts w:eastAsia="Times New Roman" w:cs="Times New Roman"/>
          <w:szCs w:val="28"/>
          <w:lang w:eastAsia="uk-UA"/>
        </w:rPr>
        <w:t xml:space="preserve"> </w:t>
      </w:r>
      <w:r w:rsidRPr="00ED5C44">
        <w:rPr>
          <w:rFonts w:eastAsia="Times New Roman" w:cs="Times New Roman"/>
          <w:szCs w:val="28"/>
          <w:lang w:eastAsia="uk-UA"/>
        </w:rPr>
        <w:t>Наприклад, у випадку надання соціальних послуг за плату</w:t>
      </w:r>
      <w:r w:rsidR="00ED5C44">
        <w:rPr>
          <w:rFonts w:eastAsia="Times New Roman" w:cs="Times New Roman"/>
          <w:szCs w:val="28"/>
          <w:lang w:eastAsia="uk-UA"/>
        </w:rPr>
        <w:t>.</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Соціально-забезпечувальні правовідносини виникають, змінюються та припиняються у таких сферах соціального забезпечення:</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у сфері загальнообов’язкового державного пенсійного страхування;</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у сфері загальнообов’язкового державного соціального страхування;</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у сфері недержавного пенсійного забезпечення;</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у сфері надання (нестрахових) соціальних послуг особам, які опинилися в складних життєвих ситуаціях;</w:t>
      </w:r>
    </w:p>
    <w:p w:rsidR="00233370" w:rsidRPr="00ED5C44" w:rsidRDefault="00233370" w:rsidP="00ED5C44">
      <w:pPr>
        <w:spacing w:after="0"/>
        <w:ind w:firstLine="567"/>
        <w:jc w:val="both"/>
        <w:rPr>
          <w:rFonts w:eastAsia="Times New Roman" w:cs="Times New Roman"/>
          <w:szCs w:val="28"/>
          <w:lang w:eastAsia="uk-UA"/>
        </w:rPr>
      </w:pPr>
      <w:r w:rsidRPr="00ED5C44">
        <w:rPr>
          <w:rFonts w:eastAsia="Times New Roman" w:cs="Times New Roman"/>
          <w:szCs w:val="28"/>
          <w:lang w:eastAsia="uk-UA"/>
        </w:rPr>
        <w:t>– у сфері призначення та виплати державних соціальних допомог, пільг та компенсацій.</w:t>
      </w:r>
    </w:p>
    <w:p w:rsidR="00233370" w:rsidRPr="00233370" w:rsidRDefault="00ED5C44" w:rsidP="00ED5C44">
      <w:pPr>
        <w:spacing w:after="0"/>
        <w:ind w:firstLine="567"/>
        <w:jc w:val="both"/>
        <w:rPr>
          <w:rFonts w:eastAsia="Times New Roman" w:cs="Times New Roman"/>
          <w:szCs w:val="28"/>
          <w:lang w:eastAsia="uk-UA"/>
        </w:rPr>
      </w:pPr>
      <w:r>
        <w:rPr>
          <w:rFonts w:eastAsia="Times New Roman" w:cs="Times New Roman"/>
          <w:szCs w:val="28"/>
          <w:lang w:eastAsia="uk-UA"/>
        </w:rPr>
        <w:t>З</w:t>
      </w:r>
      <w:r w:rsidR="00233370" w:rsidRPr="00233370">
        <w:rPr>
          <w:rFonts w:eastAsia="Times New Roman" w:cs="Times New Roman"/>
          <w:szCs w:val="28"/>
          <w:lang w:eastAsia="uk-UA"/>
        </w:rPr>
        <w:t>а часом надання відповідної соціальної виплати та соціальних послуг соціально-забезпечувальні правовідносини поділяють на:</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постійні;</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 тимчасові.</w:t>
      </w:r>
    </w:p>
    <w:p w:rsidR="00233370" w:rsidRPr="00ED5C44" w:rsidRDefault="00ED5C44" w:rsidP="00ED5C44">
      <w:pPr>
        <w:spacing w:after="0"/>
        <w:ind w:firstLine="567"/>
        <w:jc w:val="both"/>
        <w:rPr>
          <w:rFonts w:eastAsia="Times New Roman" w:cs="Times New Roman"/>
          <w:szCs w:val="28"/>
          <w:lang w:eastAsia="uk-UA"/>
        </w:rPr>
      </w:pPr>
      <w:r>
        <w:rPr>
          <w:rFonts w:eastAsia="Times New Roman" w:cs="Times New Roman"/>
          <w:szCs w:val="28"/>
          <w:lang w:eastAsia="uk-UA"/>
        </w:rPr>
        <w:t>П</w:t>
      </w:r>
      <w:r w:rsidR="00233370" w:rsidRPr="00233370">
        <w:rPr>
          <w:rFonts w:eastAsia="Times New Roman" w:cs="Times New Roman"/>
          <w:szCs w:val="28"/>
          <w:lang w:eastAsia="uk-UA"/>
        </w:rPr>
        <w:t>остійні правовідносини характеризують довічне (протягом життя отримувача соціального забезпечення) надання певної соціальної виплати (пенсії, державної соціальної допомоги тощо).</w:t>
      </w:r>
      <w:r>
        <w:rPr>
          <w:rFonts w:eastAsia="Times New Roman" w:cs="Times New Roman"/>
          <w:szCs w:val="28"/>
          <w:lang w:eastAsia="uk-UA"/>
        </w:rPr>
        <w:t xml:space="preserve"> </w:t>
      </w:r>
      <w:r w:rsidR="00233370" w:rsidRPr="00ED5C44">
        <w:rPr>
          <w:rFonts w:eastAsia="Times New Roman" w:cs="Times New Roman"/>
          <w:szCs w:val="28"/>
          <w:lang w:eastAsia="uk-UA"/>
        </w:rPr>
        <w:t>Тимчасові правовідносини вказують, що відповідно до норм чинного законодавства особі призначається соціальне забезпечення (соціальні виплати чи соціальні послуги) на певний строк.</w:t>
      </w:r>
    </w:p>
    <w:p w:rsidR="00233370" w:rsidRPr="00233370" w:rsidRDefault="00233370" w:rsidP="00ED5C44">
      <w:pPr>
        <w:spacing w:after="0"/>
        <w:ind w:firstLine="567"/>
        <w:jc w:val="both"/>
        <w:rPr>
          <w:rFonts w:eastAsia="Times New Roman" w:cs="Times New Roman"/>
          <w:szCs w:val="28"/>
          <w:lang w:eastAsia="uk-UA"/>
        </w:rPr>
      </w:pPr>
      <w:r w:rsidRPr="00233370">
        <w:rPr>
          <w:rFonts w:eastAsia="Times New Roman" w:cs="Times New Roman"/>
          <w:szCs w:val="28"/>
          <w:lang w:eastAsia="uk-UA"/>
        </w:rPr>
        <w:t>Соціально-забезпечувальні правовідносини в процесі отримання соціального забезпечення можуть змінюватися та припинятися на певний строк (призупинятися) або назавжди внаслідок настання визначених законодавством обставин, перелік яких, зазвичай, є вичерпним до відповідного закону.</w:t>
      </w:r>
      <w:r w:rsidR="00ED5C44">
        <w:rPr>
          <w:rFonts w:eastAsia="Times New Roman" w:cs="Times New Roman"/>
          <w:szCs w:val="28"/>
          <w:lang w:eastAsia="uk-UA"/>
        </w:rPr>
        <w:t xml:space="preserve"> </w:t>
      </w:r>
      <w:r w:rsidRPr="00233370">
        <w:rPr>
          <w:rFonts w:eastAsia="Times New Roman" w:cs="Times New Roman"/>
          <w:szCs w:val="28"/>
          <w:lang w:eastAsia="uk-UA"/>
        </w:rPr>
        <w:t>Зміна правовідносин означає, що соціальне забезпечення продовжує надаватися, однак може змінитися, наприклад його розмір. Так, коли особі встановлено іншу групу інвалідності, то здійснюється перерахунок соціальних виплат.</w:t>
      </w:r>
      <w:r w:rsidR="00ED5C44">
        <w:rPr>
          <w:rFonts w:eastAsia="Times New Roman" w:cs="Times New Roman"/>
          <w:szCs w:val="28"/>
          <w:lang w:eastAsia="uk-UA"/>
        </w:rPr>
        <w:t xml:space="preserve"> </w:t>
      </w:r>
      <w:r w:rsidRPr="00233370">
        <w:rPr>
          <w:rFonts w:eastAsia="Times New Roman" w:cs="Times New Roman"/>
          <w:szCs w:val="28"/>
          <w:lang w:eastAsia="uk-UA"/>
        </w:rPr>
        <w:t xml:space="preserve">Призупинення </w:t>
      </w:r>
      <w:r w:rsidRPr="00233370">
        <w:rPr>
          <w:rFonts w:eastAsia="Times New Roman" w:cs="Times New Roman"/>
          <w:szCs w:val="28"/>
          <w:lang w:eastAsia="uk-UA"/>
        </w:rPr>
        <w:lastRenderedPageBreak/>
        <w:t>правовідносин передбачає, що виникли обставини, які унеможливлюють подальше надання соціального забезпечення до їхнього усунення.</w:t>
      </w:r>
    </w:p>
    <w:p w:rsidR="00233370" w:rsidRPr="00ED5C44" w:rsidRDefault="00233370" w:rsidP="00ED5C44">
      <w:pPr>
        <w:spacing w:after="0"/>
        <w:ind w:firstLine="567"/>
        <w:jc w:val="both"/>
        <w:rPr>
          <w:rFonts w:eastAsia="Times New Roman" w:cs="Times New Roman"/>
          <w:szCs w:val="28"/>
          <w:lang w:eastAsia="uk-UA"/>
        </w:rPr>
      </w:pPr>
    </w:p>
    <w:p w:rsidR="00457E2E" w:rsidRPr="00457E2E" w:rsidRDefault="00457E2E" w:rsidP="00ED5C44">
      <w:pPr>
        <w:spacing w:after="0"/>
        <w:ind w:firstLine="567"/>
        <w:jc w:val="both"/>
        <w:rPr>
          <w:rFonts w:eastAsia="Times New Roman" w:cs="Times New Roman"/>
          <w:b/>
          <w:bCs/>
          <w:szCs w:val="28"/>
          <w:lang w:eastAsia="uk-UA"/>
        </w:rPr>
      </w:pPr>
      <w:r w:rsidRPr="00457E2E">
        <w:rPr>
          <w:rFonts w:eastAsia="Times New Roman" w:cs="Times New Roman"/>
          <w:b/>
          <w:bCs/>
          <w:szCs w:val="28"/>
          <w:lang w:eastAsia="uk-UA"/>
        </w:rPr>
        <w:t>2. С</w:t>
      </w:r>
      <w:r w:rsidRPr="00C35E5F">
        <w:rPr>
          <w:rFonts w:eastAsia="Times New Roman" w:cs="Times New Roman"/>
          <w:b/>
          <w:bCs/>
          <w:szCs w:val="28"/>
          <w:lang w:eastAsia="uk-UA"/>
        </w:rPr>
        <w:t>уб’єкти права соціального забезпечення</w:t>
      </w:r>
    </w:p>
    <w:p w:rsidR="00C35E5F" w:rsidRPr="00C35E5F" w:rsidRDefault="00ED5C44" w:rsidP="00ED5C44">
      <w:pPr>
        <w:spacing w:after="0"/>
        <w:ind w:firstLine="567"/>
        <w:jc w:val="both"/>
        <w:rPr>
          <w:rFonts w:eastAsia="Times New Roman" w:cs="Times New Roman"/>
          <w:szCs w:val="28"/>
          <w:lang w:eastAsia="uk-UA"/>
        </w:rPr>
      </w:pPr>
      <w:r>
        <w:rPr>
          <w:rFonts w:eastAsia="Times New Roman" w:cs="Times New Roman"/>
          <w:szCs w:val="28"/>
          <w:lang w:eastAsia="uk-UA"/>
        </w:rPr>
        <w:t>Б</w:t>
      </w:r>
      <w:r w:rsidR="00C35E5F" w:rsidRPr="00C35E5F">
        <w:rPr>
          <w:rFonts w:eastAsia="Times New Roman" w:cs="Times New Roman"/>
          <w:szCs w:val="28"/>
          <w:lang w:eastAsia="uk-UA"/>
        </w:rPr>
        <w:t xml:space="preserve">ільшість науковців </w:t>
      </w:r>
      <w:r w:rsidRPr="00C35E5F">
        <w:rPr>
          <w:rFonts w:eastAsia="Times New Roman" w:cs="Times New Roman"/>
          <w:szCs w:val="28"/>
          <w:lang w:eastAsia="uk-UA"/>
        </w:rPr>
        <w:t>об’єднують</w:t>
      </w:r>
      <w:r w:rsidR="00C35E5F" w:rsidRPr="00C35E5F">
        <w:rPr>
          <w:rFonts w:eastAsia="Times New Roman" w:cs="Times New Roman"/>
          <w:szCs w:val="28"/>
          <w:lang w:eastAsia="uk-UA"/>
        </w:rPr>
        <w:t xml:space="preserve"> суб’єкти права соціального забезпечення у три групи.</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До першої групи належать суб’єкти, які реалізують своє право на соціальне забезпечення, яких своєю чергою поділяють на загальні та спеціальні.</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Серед загальних суб’єктів вирізняють такі категорії як пенсіонери, які одержують пенсію на загальних підставах; особи з інвалідністю; тимчасово непрацездатні; безробітні; малозабезпечені; особи, які втратили годувальника; сім’я, зокрема одинока особа.</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Спеціальні суб’єкти наділені окрім галузевого правового статусу одночасно спеціальним галузевим статусом відповідно до закону, який гарантує право на спеціальне (додаткове) соціальне забезпечення. Йдеться про ветеранів праці; осіб, які мають особливі заслуги перед Україною; осіб, які мають особливі трудові заслуги перед Батьківщиною; бездомних осіб; військовослужбовців та членів їх сімей; громадян, які постраждали внаслідок Чорнобильської катастрофи; жертв політичних репресій в Україні; жертв нацистських переслідувань; дітей війни; донорів; осіб, що проживають і працюють на території населеного пункту, якому надано статус гірського, дітей-сиріт, дітей, позбавлених батьківського піклування тощо.</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У другу групу можна об’єднати усі ті суб’єкти, які в залежності від сфери соціального забезпечення уповноважені законом на ухвалення рішення про призначення та надання соціального забезпечення. Це територіальні органи Пенсійного фонду України, органи соціального захисту населення, надавачі соціальних послуг державного/комунального та недержавного секторів установи соціальної підтримки, фонди соціального страхування, недержавні пенсійні фонди тощо.</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До третьої групи належать суб’єкти, які сприяють в отриманні соціального забезпечення. Їхнє основне завдання полягає у встановленні фактів, що мають юридичне значення для призначення певного виду соціального забезпечення.</w:t>
      </w:r>
    </w:p>
    <w:p w:rsidR="00233370" w:rsidRPr="00ED5C44"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Законодавство України до них відносить органи медико</w:t>
      </w:r>
      <w:r w:rsidR="00ED5C44">
        <w:rPr>
          <w:rFonts w:eastAsia="Times New Roman" w:cs="Times New Roman"/>
          <w:szCs w:val="28"/>
          <w:lang w:eastAsia="uk-UA"/>
        </w:rPr>
        <w:t>-</w:t>
      </w:r>
      <w:r w:rsidRPr="00C35E5F">
        <w:rPr>
          <w:rFonts w:eastAsia="Times New Roman" w:cs="Times New Roman"/>
          <w:szCs w:val="28"/>
          <w:lang w:eastAsia="uk-UA"/>
        </w:rPr>
        <w:t>соціальної експертизи (МСЕК та ЛКК); медичні (військово</w:t>
      </w:r>
      <w:r w:rsidR="00ED5C44">
        <w:rPr>
          <w:rFonts w:eastAsia="Times New Roman" w:cs="Times New Roman"/>
          <w:szCs w:val="28"/>
          <w:lang w:eastAsia="uk-UA"/>
        </w:rPr>
        <w:t>-</w:t>
      </w:r>
      <w:r w:rsidRPr="00C35E5F">
        <w:rPr>
          <w:rFonts w:eastAsia="Times New Roman" w:cs="Times New Roman"/>
          <w:szCs w:val="28"/>
          <w:lang w:eastAsia="uk-UA"/>
        </w:rPr>
        <w:t>лікарські) комісії (ВЛК) Міністерства внутрішніх справ України</w:t>
      </w:r>
      <w:r w:rsidRPr="00ED5C44">
        <w:rPr>
          <w:rFonts w:eastAsia="Times New Roman" w:cs="Times New Roman"/>
          <w:szCs w:val="28"/>
          <w:lang w:eastAsia="uk-UA"/>
        </w:rPr>
        <w:t xml:space="preserve"> щодо проведення лікарської та військово-лікарської експертизи та Збройних Сил України щодо проведення військово</w:t>
      </w:r>
      <w:r w:rsidR="00ED5C44">
        <w:rPr>
          <w:rFonts w:eastAsia="Times New Roman" w:cs="Times New Roman"/>
          <w:szCs w:val="28"/>
          <w:lang w:eastAsia="uk-UA"/>
        </w:rPr>
        <w:t>-</w:t>
      </w:r>
      <w:r w:rsidRPr="00ED5C44">
        <w:rPr>
          <w:rFonts w:eastAsia="Times New Roman" w:cs="Times New Roman"/>
          <w:szCs w:val="28"/>
          <w:lang w:eastAsia="uk-UA"/>
        </w:rPr>
        <w:t>лікарської експертизи; комісії зі встановлення пенсій за особливі заслуги перед Україною; органи, які видають посвідчення, які підтверджують наявність у особи певних додаткових соціальних ознак (посвідчення учасника бойових дій, посвідчення ветерана війни, посвідчення особи з інвалідністю внаслідок війни, посвідчення біженця, посвідчення учасника ліквідації наслідків аварії на Чорнобильській АЕС і потерпілого внаслідок Чорнобильської катастрофи тощо), спеціальні комісії щодо надання пільгового статусу окремим громадянам, створеними місцевими органами з питань соціального захисту населення тощо.</w:t>
      </w:r>
    </w:p>
    <w:p w:rsidR="00C35E5F" w:rsidRPr="00C35E5F" w:rsidRDefault="00457E2E" w:rsidP="00ED5C44">
      <w:pPr>
        <w:spacing w:after="0"/>
        <w:ind w:firstLine="567"/>
        <w:jc w:val="both"/>
        <w:rPr>
          <w:rFonts w:eastAsia="Times New Roman" w:cs="Times New Roman"/>
          <w:b/>
          <w:bCs/>
          <w:szCs w:val="28"/>
          <w:lang w:eastAsia="uk-UA"/>
        </w:rPr>
      </w:pPr>
      <w:r>
        <w:rPr>
          <w:rFonts w:eastAsia="Times New Roman" w:cs="Times New Roman"/>
          <w:b/>
          <w:bCs/>
          <w:szCs w:val="28"/>
          <w:lang w:eastAsia="uk-UA"/>
        </w:rPr>
        <w:lastRenderedPageBreak/>
        <w:t xml:space="preserve">3. </w:t>
      </w:r>
      <w:r w:rsidR="00C35E5F" w:rsidRPr="00C35E5F">
        <w:rPr>
          <w:rFonts w:eastAsia="Times New Roman" w:cs="Times New Roman"/>
          <w:b/>
          <w:bCs/>
          <w:szCs w:val="28"/>
          <w:lang w:eastAsia="uk-UA"/>
        </w:rPr>
        <w:t>Відповідальність у сфері соціального забезпечення</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Відповідальність отримувача</w:t>
      </w:r>
      <w:r w:rsidR="00ED5C44">
        <w:rPr>
          <w:rFonts w:eastAsia="Times New Roman" w:cs="Times New Roman"/>
          <w:szCs w:val="28"/>
          <w:lang w:eastAsia="uk-UA"/>
        </w:rPr>
        <w:t xml:space="preserve"> </w:t>
      </w:r>
      <w:r w:rsidRPr="00C35E5F">
        <w:rPr>
          <w:rFonts w:eastAsia="Times New Roman" w:cs="Times New Roman"/>
          <w:szCs w:val="28"/>
          <w:lang w:eastAsia="uk-UA"/>
        </w:rPr>
        <w:t>державної соціальної допомоги настає у разі надміру виплачених йому сум соціального забезпечення.</w:t>
      </w:r>
      <w:r w:rsidR="00ED5C44">
        <w:rPr>
          <w:rFonts w:eastAsia="Times New Roman" w:cs="Times New Roman"/>
          <w:szCs w:val="28"/>
          <w:lang w:eastAsia="uk-UA"/>
        </w:rPr>
        <w:t xml:space="preserve"> </w:t>
      </w:r>
      <w:r w:rsidRPr="00C35E5F">
        <w:rPr>
          <w:rFonts w:eastAsia="Times New Roman" w:cs="Times New Roman"/>
          <w:szCs w:val="28"/>
          <w:lang w:eastAsia="uk-UA"/>
        </w:rPr>
        <w:t>До цього суб’єкта не застосовуються штрафні санкції. У судовій практиці надміру виплачені суми трактуються безпідставно набутим майном. Тому під час вирішення подібних судових прав застосовується у комплексі дві статті Цивільного кодексу України.</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Зокрема, у ст. 1214 наведеного акту передбачено обов’язок особи, яка набула майно відшкодувати всі доходи, які вона одержала або могла одержати від цього майна з часу, коли ця особа дізналася або могла дізнатися про володіння цим майном без достатньої правової підстави.</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Водночас у ст. 1215 зазначено, що не підлягає поверненню безпідставно набуті пенсії, допомоги, стипендії, відшкодування шкоди, завданої каліцтвом, іншим ушкодженням здоров’я або смертю, аліменти та інші грошові суми, надані фізичній особі як засіб до існування, якщо їх виплата проведена фізичною або юридичною особою добровільно, за відсутності рахункової помилки з її боку і недобросовісності з боку набувача.</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Отже, рахункова помилка є умовою, яка унеможливлює відповідальність, оскільки соціальна виплата розглядається у цивільному праві як засіб матеріального існування.</w:t>
      </w:r>
    </w:p>
    <w:p w:rsidR="00C35E5F" w:rsidRPr="00ED5C44" w:rsidRDefault="009A4E2D" w:rsidP="00ED5C44">
      <w:pPr>
        <w:spacing w:after="0"/>
        <w:ind w:firstLine="567"/>
        <w:jc w:val="both"/>
        <w:rPr>
          <w:rFonts w:eastAsia="Times New Roman" w:cs="Times New Roman"/>
          <w:szCs w:val="28"/>
          <w:lang w:eastAsia="uk-UA"/>
        </w:rPr>
      </w:pPr>
      <w:r>
        <w:rPr>
          <w:rFonts w:eastAsia="Times New Roman" w:cs="Times New Roman"/>
          <w:szCs w:val="28"/>
          <w:lang w:eastAsia="uk-UA"/>
        </w:rPr>
        <w:t>В</w:t>
      </w:r>
      <w:r w:rsidR="00C35E5F" w:rsidRPr="00ED5C44">
        <w:rPr>
          <w:rFonts w:eastAsia="Times New Roman" w:cs="Times New Roman"/>
          <w:szCs w:val="28"/>
          <w:lang w:eastAsia="uk-UA"/>
        </w:rPr>
        <w:t>ідповідальність отримувача соціального забезпечення настає у разі зловживання з його боку, яке і характеризує загалом його недобросовісну, неправомірну винну поведінку.</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Також зазначимо, що вичерпного переліку обставин, які можуть трактуватися як зловживання законодавством загалом не визначає. Тож і підлягають довільному тлумаченню факти, які доводять вину особи у зловживанні, внаслідок якого було здійснено виплату соціального забезпечення та можуть бути покладені в основу правопорушення.</w:t>
      </w:r>
    </w:p>
    <w:p w:rsidR="00C35E5F" w:rsidRPr="00ED5C44" w:rsidRDefault="00C35E5F" w:rsidP="00ED5C44">
      <w:pPr>
        <w:spacing w:after="0"/>
        <w:ind w:firstLine="567"/>
        <w:jc w:val="both"/>
        <w:rPr>
          <w:rFonts w:eastAsia="Times New Roman" w:cs="Times New Roman"/>
          <w:szCs w:val="28"/>
          <w:lang w:eastAsia="uk-UA"/>
        </w:rPr>
      </w:pPr>
      <w:r w:rsidRPr="00ED5C44">
        <w:rPr>
          <w:rFonts w:eastAsia="Times New Roman" w:cs="Times New Roman"/>
          <w:szCs w:val="28"/>
          <w:lang w:eastAsia="uk-UA"/>
        </w:rPr>
        <w:t>Умови відповідальності загалом визначені окремими законодавчими актами, що регулюють призначення певного виду соціального забезпечення.</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Аналіз чинного соціального законодавства дає підстави віднести до зловживань такі неправомірні дії як:</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 подання документів, які були підроблені або будь-яким іншим чином сфальсифіковані (а тому охоплюють недостовірні дані);</w:t>
      </w:r>
    </w:p>
    <w:p w:rsidR="00C35E5F" w:rsidRPr="00C35E5F" w:rsidRDefault="00C35E5F" w:rsidP="00ED5C44">
      <w:pPr>
        <w:spacing w:after="0"/>
        <w:ind w:firstLine="567"/>
        <w:jc w:val="both"/>
        <w:rPr>
          <w:rFonts w:eastAsia="Times New Roman" w:cs="Times New Roman"/>
          <w:szCs w:val="28"/>
          <w:lang w:eastAsia="uk-UA"/>
        </w:rPr>
      </w:pPr>
      <w:r w:rsidRPr="00C35E5F">
        <w:rPr>
          <w:rFonts w:eastAsia="Times New Roman" w:cs="Times New Roman"/>
          <w:szCs w:val="28"/>
          <w:lang w:eastAsia="uk-UA"/>
        </w:rPr>
        <w:t>– подання документів з явно неправильними відомостями;</w:t>
      </w:r>
    </w:p>
    <w:p w:rsidR="00C35E5F" w:rsidRPr="00ED5C44" w:rsidRDefault="00C35E5F" w:rsidP="00ED5C44">
      <w:pPr>
        <w:spacing w:after="0"/>
        <w:ind w:firstLine="567"/>
        <w:jc w:val="both"/>
        <w:rPr>
          <w:rFonts w:eastAsia="Times New Roman" w:cs="Times New Roman"/>
          <w:szCs w:val="28"/>
          <w:lang w:eastAsia="uk-UA"/>
        </w:rPr>
      </w:pPr>
      <w:r w:rsidRPr="00ED5C44">
        <w:rPr>
          <w:rFonts w:eastAsia="Times New Roman" w:cs="Times New Roman"/>
          <w:szCs w:val="28"/>
          <w:lang w:eastAsia="uk-UA"/>
        </w:rPr>
        <w:t>– неподання або несвоєчасне подання відомостей про зміни у складі сім’ї, зміну місця проживання, власні доходи, одруження тощо, які можуть вплинути на надання конкретного виду та розміру соціального забезпечення.</w:t>
      </w:r>
    </w:p>
    <w:p w:rsidR="00C35E5F" w:rsidRPr="00ED5C44" w:rsidRDefault="00C35E5F" w:rsidP="00ED5C44">
      <w:pPr>
        <w:spacing w:after="0"/>
        <w:ind w:firstLine="567"/>
        <w:jc w:val="both"/>
        <w:rPr>
          <w:rFonts w:eastAsia="Times New Roman" w:cs="Times New Roman"/>
          <w:szCs w:val="28"/>
          <w:lang w:eastAsia="uk-UA"/>
        </w:rPr>
      </w:pPr>
    </w:p>
    <w:p w:rsidR="00C35E5F" w:rsidRPr="00C35E5F" w:rsidRDefault="00457E2E" w:rsidP="00ED5C44">
      <w:pPr>
        <w:spacing w:after="0"/>
        <w:ind w:firstLine="567"/>
        <w:jc w:val="both"/>
        <w:textAlignment w:val="baseline"/>
        <w:outlineLvl w:val="0"/>
        <w:rPr>
          <w:rFonts w:eastAsia="Times New Roman" w:cs="Times New Roman"/>
          <w:b/>
          <w:bCs/>
          <w:kern w:val="36"/>
          <w:szCs w:val="28"/>
          <w:lang w:eastAsia="uk-UA"/>
        </w:rPr>
      </w:pPr>
      <w:r>
        <w:rPr>
          <w:rFonts w:eastAsia="Times New Roman" w:cs="Times New Roman"/>
          <w:b/>
          <w:bCs/>
          <w:kern w:val="36"/>
          <w:szCs w:val="28"/>
          <w:bdr w:val="none" w:sz="0" w:space="0" w:color="auto" w:frame="1"/>
          <w:lang w:eastAsia="uk-UA"/>
        </w:rPr>
        <w:t xml:space="preserve">4. </w:t>
      </w:r>
      <w:r w:rsidR="00C35E5F" w:rsidRPr="00C35E5F">
        <w:rPr>
          <w:rFonts w:eastAsia="Times New Roman" w:cs="Times New Roman"/>
          <w:b/>
          <w:bCs/>
          <w:kern w:val="36"/>
          <w:szCs w:val="28"/>
          <w:bdr w:val="none" w:sz="0" w:space="0" w:color="auto" w:frame="1"/>
          <w:lang w:eastAsia="uk-UA"/>
        </w:rPr>
        <w:t>Законодавство про соціальне забезпечення</w:t>
      </w:r>
    </w:p>
    <w:p w:rsidR="00C35E5F" w:rsidRPr="00C35E5F" w:rsidRDefault="00055220" w:rsidP="009A4E2D">
      <w:pPr>
        <w:spacing w:after="0"/>
        <w:ind w:firstLine="567"/>
        <w:jc w:val="both"/>
        <w:textAlignment w:val="baseline"/>
        <w:rPr>
          <w:rFonts w:eastAsia="Times New Roman" w:cs="Times New Roman"/>
          <w:szCs w:val="28"/>
          <w:lang w:eastAsia="uk-UA"/>
        </w:rPr>
      </w:pPr>
      <w:hyperlink r:id="rId7"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заходи щодо законодавчого забезпечення реформування пенсійної системи</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8"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соціальний захист дітей війни</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9"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загальнообов’язкове державне пенсійне страхування</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10"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Закон України «Про загальнообов’язкове державне соціальне страхування на випадок безробіття»</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11"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статус ветеранів війни, гарантії їх соціального захисту</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12"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державну допомогу сім’ям з дітьми</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13"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Закон України «Про основи соціальної захищеності інвалідів в Україні»</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14"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Закон України «Про зайнятість населення»</w:t>
        </w:r>
      </w:hyperlink>
    </w:p>
    <w:p w:rsidR="00457E2E" w:rsidRDefault="00457E2E" w:rsidP="00457E2E">
      <w:pPr>
        <w:pStyle w:val="a4"/>
        <w:spacing w:before="0" w:beforeAutospacing="0" w:after="0" w:afterAutospacing="0"/>
        <w:ind w:firstLine="567"/>
        <w:jc w:val="both"/>
        <w:rPr>
          <w:sz w:val="28"/>
          <w:szCs w:val="28"/>
        </w:rPr>
      </w:pPr>
      <w:r w:rsidRPr="00C35E5F">
        <w:rPr>
          <w:sz w:val="28"/>
          <w:szCs w:val="28"/>
        </w:rPr>
        <w:t xml:space="preserve">Закон України </w:t>
      </w:r>
      <w:r>
        <w:rPr>
          <w:sz w:val="28"/>
          <w:szCs w:val="28"/>
        </w:rPr>
        <w:t>«</w:t>
      </w:r>
      <w:hyperlink r:id="rId15" w:history="1">
        <w:r w:rsidRPr="009A4E2D">
          <w:rPr>
            <w:rStyle w:val="a3"/>
            <w:color w:val="auto"/>
            <w:sz w:val="28"/>
            <w:szCs w:val="28"/>
            <w:u w:val="none"/>
          </w:rPr>
          <w:t>Про державні соціальні стандарти та державні соціальні гарантії</w:t>
        </w:r>
      </w:hyperlink>
      <w:r>
        <w:rPr>
          <w:sz w:val="28"/>
          <w:szCs w:val="28"/>
        </w:rPr>
        <w:t>»</w:t>
      </w:r>
    </w:p>
    <w:p w:rsidR="00C35E5F" w:rsidRPr="00C35E5F" w:rsidRDefault="00055220" w:rsidP="009A4E2D">
      <w:pPr>
        <w:spacing w:after="0"/>
        <w:ind w:firstLine="567"/>
        <w:jc w:val="both"/>
        <w:textAlignment w:val="baseline"/>
        <w:rPr>
          <w:rFonts w:eastAsia="Times New Roman" w:cs="Times New Roman"/>
          <w:szCs w:val="28"/>
          <w:lang w:eastAsia="uk-UA"/>
        </w:rPr>
      </w:pPr>
      <w:hyperlink r:id="rId16"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Закон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статус і соціальний захист громадян, які постраждали внаслідок Чорнобильської катастрофи</w:t>
        </w:r>
        <w:r w:rsidR="006F3E58">
          <w:rPr>
            <w:rFonts w:eastAsia="Times New Roman" w:cs="Times New Roman"/>
            <w:szCs w:val="28"/>
            <w:bdr w:val="none" w:sz="0" w:space="0" w:color="auto" w:frame="1"/>
            <w:lang w:eastAsia="uk-UA"/>
          </w:rPr>
          <w:t>»</w:t>
        </w:r>
      </w:hyperlink>
    </w:p>
    <w:p w:rsidR="00457E2E" w:rsidRDefault="00457E2E" w:rsidP="00457E2E">
      <w:pPr>
        <w:pStyle w:val="a4"/>
        <w:spacing w:before="0" w:beforeAutospacing="0" w:after="0" w:afterAutospacing="0"/>
        <w:ind w:firstLine="567"/>
        <w:jc w:val="both"/>
        <w:rPr>
          <w:sz w:val="28"/>
          <w:szCs w:val="28"/>
        </w:rPr>
      </w:pPr>
      <w:r w:rsidRPr="00C35E5F">
        <w:rPr>
          <w:sz w:val="28"/>
          <w:szCs w:val="28"/>
        </w:rPr>
        <w:t xml:space="preserve">Закон України </w:t>
      </w:r>
      <w:r w:rsidRPr="00457E2E">
        <w:rPr>
          <w:sz w:val="28"/>
          <w:szCs w:val="28"/>
        </w:rPr>
        <w:t>«</w:t>
      </w:r>
      <w:hyperlink r:id="rId17" w:history="1">
        <w:r w:rsidRPr="009A4E2D">
          <w:rPr>
            <w:rStyle w:val="a3"/>
            <w:color w:val="auto"/>
            <w:sz w:val="28"/>
            <w:szCs w:val="28"/>
            <w:u w:val="none"/>
          </w:rPr>
          <w:t>Про основні засади соціального захисту ветеранів праці та інших громадян похилого віку в Україні</w:t>
        </w:r>
      </w:hyperlink>
      <w:r>
        <w:rPr>
          <w:sz w:val="28"/>
          <w:szCs w:val="28"/>
        </w:rPr>
        <w:t>»</w:t>
      </w:r>
    </w:p>
    <w:p w:rsidR="00457E2E" w:rsidRPr="009A4E2D" w:rsidRDefault="00457E2E" w:rsidP="00457E2E">
      <w:pPr>
        <w:pStyle w:val="a4"/>
        <w:spacing w:before="0" w:beforeAutospacing="0" w:after="0" w:afterAutospacing="0"/>
        <w:ind w:firstLine="567"/>
        <w:jc w:val="both"/>
        <w:rPr>
          <w:sz w:val="28"/>
          <w:szCs w:val="28"/>
        </w:rPr>
      </w:pPr>
      <w:r w:rsidRPr="00C35E5F">
        <w:rPr>
          <w:sz w:val="28"/>
          <w:szCs w:val="28"/>
        </w:rPr>
        <w:t xml:space="preserve">Закон України </w:t>
      </w:r>
      <w:r w:rsidRPr="00457E2E">
        <w:rPr>
          <w:sz w:val="28"/>
          <w:szCs w:val="28"/>
        </w:rPr>
        <w:t>«</w:t>
      </w:r>
      <w:hyperlink r:id="rId18" w:history="1">
        <w:r w:rsidRPr="009A4E2D">
          <w:rPr>
            <w:rStyle w:val="a3"/>
            <w:color w:val="auto"/>
            <w:sz w:val="28"/>
            <w:szCs w:val="28"/>
            <w:u w:val="none"/>
          </w:rPr>
          <w:t>Про соціальний і правовий захист військовослужбовців та членів їх сімей</w:t>
        </w:r>
      </w:hyperlink>
      <w:r>
        <w:rPr>
          <w:sz w:val="28"/>
          <w:szCs w:val="28"/>
        </w:rPr>
        <w:t>»</w:t>
      </w:r>
    </w:p>
    <w:p w:rsidR="00457E2E" w:rsidRDefault="00457E2E" w:rsidP="00457E2E">
      <w:pPr>
        <w:pStyle w:val="a4"/>
        <w:spacing w:before="0" w:beforeAutospacing="0" w:after="0" w:afterAutospacing="0"/>
        <w:ind w:firstLine="567"/>
        <w:jc w:val="both"/>
        <w:rPr>
          <w:sz w:val="28"/>
          <w:szCs w:val="28"/>
        </w:rPr>
      </w:pPr>
      <w:r w:rsidRPr="00C35E5F">
        <w:rPr>
          <w:sz w:val="28"/>
          <w:szCs w:val="28"/>
        </w:rPr>
        <w:t xml:space="preserve">Закон України </w:t>
      </w:r>
      <w:r w:rsidRPr="00457E2E">
        <w:rPr>
          <w:sz w:val="28"/>
          <w:szCs w:val="28"/>
        </w:rPr>
        <w:t>«</w:t>
      </w:r>
      <w:hyperlink r:id="rId19" w:history="1">
        <w:r w:rsidRPr="009A4E2D">
          <w:rPr>
            <w:rStyle w:val="a3"/>
            <w:color w:val="auto"/>
            <w:sz w:val="28"/>
            <w:szCs w:val="28"/>
            <w:u w:val="none"/>
          </w:rPr>
          <w:t>Про соціальний захист дітей війни</w:t>
        </w:r>
      </w:hyperlink>
      <w:r>
        <w:rPr>
          <w:sz w:val="28"/>
          <w:szCs w:val="28"/>
        </w:rPr>
        <w:t>»</w:t>
      </w:r>
    </w:p>
    <w:p w:rsidR="00C35E5F" w:rsidRPr="00C35E5F" w:rsidRDefault="00055220" w:rsidP="009A4E2D">
      <w:pPr>
        <w:spacing w:after="0"/>
        <w:ind w:firstLine="567"/>
        <w:jc w:val="both"/>
        <w:textAlignment w:val="baseline"/>
        <w:rPr>
          <w:rFonts w:eastAsia="Times New Roman" w:cs="Times New Roman"/>
          <w:szCs w:val="28"/>
          <w:lang w:eastAsia="uk-UA"/>
        </w:rPr>
      </w:pPr>
      <w:hyperlink r:id="rId20"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 xml:space="preserve">Указ Президента України </w:t>
        </w:r>
        <w:r w:rsidR="006F3E58">
          <w:rPr>
            <w:rFonts w:eastAsia="Times New Roman" w:cs="Times New Roman"/>
            <w:szCs w:val="28"/>
            <w:bdr w:val="none" w:sz="0" w:space="0" w:color="auto" w:frame="1"/>
            <w:lang w:eastAsia="uk-UA"/>
          </w:rPr>
          <w:t>«</w:t>
        </w:r>
        <w:r w:rsidR="00C35E5F" w:rsidRPr="00C35E5F">
          <w:rPr>
            <w:rFonts w:eastAsia="Times New Roman" w:cs="Times New Roman"/>
            <w:szCs w:val="28"/>
            <w:bdr w:val="none" w:sz="0" w:space="0" w:color="auto" w:frame="1"/>
            <w:lang w:eastAsia="uk-UA"/>
          </w:rPr>
          <w:t>Про Положення про Пенсійний фонд України</w:t>
        </w:r>
        <w:r w:rsidR="006F3E58">
          <w:rPr>
            <w:rFonts w:eastAsia="Times New Roman" w:cs="Times New Roman"/>
            <w:szCs w:val="28"/>
            <w:bdr w:val="none" w:sz="0" w:space="0" w:color="auto" w:frame="1"/>
            <w:lang w:eastAsia="uk-UA"/>
          </w:rPr>
          <w:t>»</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21"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Кабінет Міністрів України; Постанова від 28.12.2011 № 1381 Про підвищення рівня соціального захисту найбільш вразливих верств населення</w:t>
        </w:r>
      </w:hyperlink>
    </w:p>
    <w:p w:rsidR="00C35E5F" w:rsidRPr="00C35E5F" w:rsidRDefault="00055220" w:rsidP="009A4E2D">
      <w:pPr>
        <w:spacing w:after="0"/>
        <w:ind w:firstLine="567"/>
        <w:jc w:val="both"/>
        <w:textAlignment w:val="baseline"/>
        <w:rPr>
          <w:rFonts w:eastAsia="Times New Roman" w:cs="Times New Roman"/>
          <w:szCs w:val="28"/>
          <w:lang w:eastAsia="uk-UA"/>
        </w:rPr>
      </w:pPr>
      <w:hyperlink r:id="rId22" w:tgtFrame="_blank" w:tooltip="Законодавство про соціальне забезпечення" w:history="1">
        <w:r w:rsidR="00C35E5F" w:rsidRPr="00C35E5F">
          <w:rPr>
            <w:rFonts w:eastAsia="Times New Roman" w:cs="Times New Roman"/>
            <w:szCs w:val="28"/>
            <w:bdr w:val="none" w:sz="0" w:space="0" w:color="auto" w:frame="1"/>
            <w:lang w:eastAsia="uk-UA"/>
          </w:rPr>
          <w:t>Кабінет Міністрів України; Постанова від 28.05.2008 № 530 Деякі питання соціального захисту окремих категорій громадян</w:t>
        </w:r>
      </w:hyperlink>
    </w:p>
    <w:p w:rsidR="000365AF" w:rsidRPr="009A4E2D" w:rsidRDefault="000365AF" w:rsidP="009A4E2D">
      <w:pPr>
        <w:pStyle w:val="3"/>
        <w:spacing w:before="0"/>
        <w:ind w:firstLine="567"/>
        <w:jc w:val="both"/>
        <w:rPr>
          <w:rFonts w:ascii="Times New Roman" w:hAnsi="Times New Roman" w:cs="Times New Roman"/>
          <w:color w:val="auto"/>
          <w:sz w:val="28"/>
          <w:szCs w:val="28"/>
        </w:rPr>
      </w:pPr>
      <w:r w:rsidRPr="009A4E2D">
        <w:rPr>
          <w:rFonts w:ascii="Times New Roman" w:hAnsi="Times New Roman" w:cs="Times New Roman"/>
          <w:b/>
          <w:bCs/>
          <w:color w:val="auto"/>
          <w:sz w:val="28"/>
          <w:szCs w:val="28"/>
        </w:rPr>
        <w:t>Законодавство у сфері соціального захисту</w:t>
      </w:r>
    </w:p>
    <w:p w:rsidR="006F3E58" w:rsidRDefault="00055220" w:rsidP="009A4E2D">
      <w:pPr>
        <w:pStyle w:val="a4"/>
        <w:spacing w:before="0" w:beforeAutospacing="0" w:after="0" w:afterAutospacing="0"/>
        <w:ind w:firstLine="567"/>
        <w:jc w:val="both"/>
        <w:rPr>
          <w:sz w:val="28"/>
          <w:szCs w:val="28"/>
        </w:rPr>
      </w:pPr>
      <w:hyperlink r:id="rId23" w:history="1">
        <w:r w:rsidR="000365AF" w:rsidRPr="009A4E2D">
          <w:rPr>
            <w:rStyle w:val="a3"/>
            <w:color w:val="auto"/>
            <w:sz w:val="28"/>
            <w:szCs w:val="28"/>
            <w:u w:val="none"/>
          </w:rPr>
          <w:t>Про державну соціальну допомогу особам з інвалідністю з дитинства та дітям з інвалідністю</w:t>
        </w:r>
      </w:hyperlink>
    </w:p>
    <w:p w:rsidR="006F3E58" w:rsidRDefault="00055220" w:rsidP="009A4E2D">
      <w:pPr>
        <w:pStyle w:val="a4"/>
        <w:spacing w:before="0" w:beforeAutospacing="0" w:after="0" w:afterAutospacing="0"/>
        <w:ind w:firstLine="567"/>
        <w:jc w:val="both"/>
        <w:rPr>
          <w:sz w:val="28"/>
          <w:szCs w:val="28"/>
        </w:rPr>
      </w:pPr>
      <w:hyperlink r:id="rId24" w:history="1">
        <w:r w:rsidR="000365AF" w:rsidRPr="009A4E2D">
          <w:rPr>
            <w:rStyle w:val="a3"/>
            <w:color w:val="auto"/>
            <w:sz w:val="28"/>
            <w:szCs w:val="28"/>
            <w:u w:val="none"/>
          </w:rPr>
          <w:t>Про основи соціальної захищеності осіб з інвалідністю в Україні</w:t>
        </w:r>
      </w:hyperlink>
    </w:p>
    <w:p w:rsidR="006F3E58" w:rsidRDefault="00055220" w:rsidP="009A4E2D">
      <w:pPr>
        <w:pStyle w:val="a4"/>
        <w:spacing w:before="0" w:beforeAutospacing="0" w:after="0" w:afterAutospacing="0"/>
        <w:ind w:firstLine="567"/>
        <w:jc w:val="both"/>
        <w:rPr>
          <w:sz w:val="28"/>
          <w:szCs w:val="28"/>
        </w:rPr>
      </w:pPr>
      <w:hyperlink r:id="rId25" w:history="1">
        <w:r w:rsidR="000365AF" w:rsidRPr="009A4E2D">
          <w:rPr>
            <w:rStyle w:val="a3"/>
            <w:color w:val="auto"/>
            <w:sz w:val="28"/>
            <w:szCs w:val="28"/>
            <w:u w:val="none"/>
          </w:rPr>
          <w:t>Про основи соціального захисту бездомних осіб і безпритульних дітей</w:t>
        </w:r>
      </w:hyperlink>
      <w:hyperlink r:id="rId26" w:history="1"/>
    </w:p>
    <w:p w:rsidR="006F3E58" w:rsidRDefault="00055220" w:rsidP="009A4E2D">
      <w:pPr>
        <w:pStyle w:val="a4"/>
        <w:spacing w:before="0" w:beforeAutospacing="0" w:after="0" w:afterAutospacing="0"/>
        <w:ind w:firstLine="567"/>
        <w:jc w:val="both"/>
        <w:rPr>
          <w:sz w:val="28"/>
          <w:szCs w:val="28"/>
        </w:rPr>
      </w:pPr>
      <w:hyperlink r:id="rId27" w:history="1">
        <w:r w:rsidR="000365AF" w:rsidRPr="009A4E2D">
          <w:rPr>
            <w:rStyle w:val="a3"/>
            <w:color w:val="auto"/>
            <w:sz w:val="28"/>
            <w:szCs w:val="28"/>
            <w:u w:val="none"/>
          </w:rPr>
          <w:t>Про соціальні послуги</w:t>
        </w:r>
      </w:hyperlink>
    </w:p>
    <w:p w:rsidR="006F3E58" w:rsidRDefault="00055220" w:rsidP="009A4E2D">
      <w:pPr>
        <w:pStyle w:val="a4"/>
        <w:spacing w:before="0" w:beforeAutospacing="0" w:after="0" w:afterAutospacing="0"/>
        <w:ind w:firstLine="567"/>
        <w:jc w:val="both"/>
        <w:rPr>
          <w:sz w:val="28"/>
          <w:szCs w:val="28"/>
        </w:rPr>
      </w:pPr>
      <w:hyperlink r:id="rId28" w:history="1">
        <w:r w:rsidR="000365AF" w:rsidRPr="009A4E2D">
          <w:rPr>
            <w:rStyle w:val="a3"/>
            <w:color w:val="auto"/>
            <w:sz w:val="28"/>
            <w:szCs w:val="28"/>
            <w:u w:val="none"/>
          </w:rPr>
          <w:t>Про відновлення прав осіб, депортованих за національною ознакою</w:t>
        </w:r>
      </w:hyperlink>
    </w:p>
    <w:p w:rsidR="006F3E58" w:rsidRDefault="00055220" w:rsidP="009A4E2D">
      <w:pPr>
        <w:pStyle w:val="a4"/>
        <w:spacing w:before="0" w:beforeAutospacing="0" w:after="0" w:afterAutospacing="0"/>
        <w:ind w:firstLine="567"/>
        <w:jc w:val="both"/>
        <w:rPr>
          <w:sz w:val="28"/>
          <w:szCs w:val="28"/>
        </w:rPr>
      </w:pPr>
      <w:hyperlink r:id="rId29" w:history="1">
        <w:r w:rsidR="000365AF" w:rsidRPr="009A4E2D">
          <w:rPr>
            <w:rStyle w:val="a3"/>
            <w:color w:val="auto"/>
            <w:sz w:val="28"/>
            <w:szCs w:val="28"/>
            <w:u w:val="none"/>
          </w:rPr>
          <w:t>Про гарантії держави щодо виконання судових рішень</w:t>
        </w:r>
      </w:hyperlink>
      <w:r w:rsidR="000365AF" w:rsidRPr="009A4E2D">
        <w:rPr>
          <w:sz w:val="28"/>
          <w:szCs w:val="28"/>
        </w:rPr>
        <w:fldChar w:fldCharType="begin"/>
      </w:r>
      <w:r w:rsidR="000365AF" w:rsidRPr="009A4E2D">
        <w:rPr>
          <w:sz w:val="28"/>
          <w:szCs w:val="28"/>
        </w:rPr>
        <w:instrText xml:space="preserve"> HYPERLINK "https://zakon.rada.gov.ua/go/250-2003-%D0%BF" </w:instrText>
      </w:r>
      <w:r w:rsidR="000365AF" w:rsidRPr="009A4E2D">
        <w:rPr>
          <w:sz w:val="28"/>
          <w:szCs w:val="28"/>
        </w:rPr>
        <w:fldChar w:fldCharType="separate"/>
      </w:r>
    </w:p>
    <w:p w:rsidR="006F3E58" w:rsidRDefault="000365AF" w:rsidP="009A4E2D">
      <w:pPr>
        <w:pStyle w:val="a4"/>
        <w:spacing w:before="0" w:beforeAutospacing="0" w:after="0" w:afterAutospacing="0"/>
        <w:ind w:firstLine="567"/>
        <w:jc w:val="both"/>
        <w:rPr>
          <w:sz w:val="28"/>
          <w:szCs w:val="28"/>
        </w:rPr>
      </w:pPr>
      <w:r w:rsidRPr="009A4E2D">
        <w:rPr>
          <w:rStyle w:val="a3"/>
          <w:color w:val="auto"/>
          <w:sz w:val="28"/>
          <w:szCs w:val="28"/>
          <w:u w:val="none"/>
        </w:rPr>
        <w:t>Про затвердження Порядку призначення і виплати державної соціальної допомоги малозабезпеченим сім'ям</w:t>
      </w:r>
      <w:r w:rsidRPr="009A4E2D">
        <w:rPr>
          <w:sz w:val="28"/>
          <w:szCs w:val="28"/>
        </w:rPr>
        <w:fldChar w:fldCharType="end"/>
      </w:r>
    </w:p>
    <w:p w:rsidR="006F3E58" w:rsidRPr="009A4E2D" w:rsidRDefault="00055220" w:rsidP="009A4E2D">
      <w:pPr>
        <w:pStyle w:val="a4"/>
        <w:spacing w:before="0" w:beforeAutospacing="0" w:after="0" w:afterAutospacing="0"/>
        <w:ind w:firstLine="567"/>
        <w:jc w:val="both"/>
        <w:rPr>
          <w:sz w:val="28"/>
          <w:szCs w:val="28"/>
        </w:rPr>
      </w:pPr>
      <w:hyperlink r:id="rId30" w:history="1">
        <w:r w:rsidR="000365AF" w:rsidRPr="009A4E2D">
          <w:rPr>
            <w:rStyle w:val="a3"/>
            <w:color w:val="auto"/>
            <w:sz w:val="28"/>
            <w:szCs w:val="28"/>
            <w:u w:val="none"/>
          </w:rPr>
          <w:t>Про затвердження Порядку призначення і виплати державної допомоги сім'ям з дітьми</w:t>
        </w:r>
      </w:hyperlink>
    </w:p>
    <w:p w:rsidR="000365AF" w:rsidRPr="009A4E2D" w:rsidRDefault="00055220" w:rsidP="009A4E2D">
      <w:pPr>
        <w:pStyle w:val="a4"/>
        <w:spacing w:before="0" w:beforeAutospacing="0" w:after="0" w:afterAutospacing="0"/>
        <w:ind w:firstLine="567"/>
        <w:jc w:val="both"/>
        <w:rPr>
          <w:sz w:val="28"/>
          <w:szCs w:val="28"/>
        </w:rPr>
      </w:pPr>
      <w:hyperlink r:id="rId31" w:history="1">
        <w:r w:rsidR="000365AF" w:rsidRPr="009A4E2D">
          <w:rPr>
            <w:rStyle w:val="a3"/>
            <w:color w:val="auto"/>
            <w:sz w:val="28"/>
            <w:szCs w:val="28"/>
            <w:u w:val="none"/>
          </w:rPr>
          <w:t>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p>
    <w:p w:rsidR="006F3E58" w:rsidRDefault="00055220" w:rsidP="009A4E2D">
      <w:pPr>
        <w:pStyle w:val="a4"/>
        <w:spacing w:before="0" w:beforeAutospacing="0" w:after="0" w:afterAutospacing="0"/>
        <w:ind w:firstLine="567"/>
        <w:jc w:val="both"/>
        <w:rPr>
          <w:sz w:val="28"/>
          <w:szCs w:val="28"/>
        </w:rPr>
      </w:pPr>
      <w:hyperlink r:id="rId32" w:history="1">
        <w:r w:rsidR="000365AF" w:rsidRPr="009A4E2D">
          <w:rPr>
            <w:rStyle w:val="a3"/>
            <w:color w:val="auto"/>
            <w:sz w:val="28"/>
            <w:szCs w:val="28"/>
            <w:u w:val="none"/>
          </w:rPr>
          <w:t>Про підвищення рівня соціального захисту громадян, які постраждали внаслідок Чорнобильської катастрофи</w:t>
        </w:r>
      </w:hyperlink>
    </w:p>
    <w:p w:rsidR="006F3E58" w:rsidRDefault="00055220" w:rsidP="009A4E2D">
      <w:pPr>
        <w:pStyle w:val="a4"/>
        <w:spacing w:before="0" w:beforeAutospacing="0" w:after="0" w:afterAutospacing="0"/>
        <w:ind w:firstLine="567"/>
        <w:jc w:val="both"/>
        <w:rPr>
          <w:sz w:val="28"/>
          <w:szCs w:val="28"/>
        </w:rPr>
      </w:pPr>
      <w:hyperlink r:id="rId33" w:history="1">
        <w:r w:rsidR="000365AF" w:rsidRPr="009A4E2D">
          <w:rPr>
            <w:rStyle w:val="a3"/>
            <w:color w:val="auto"/>
            <w:sz w:val="28"/>
            <w:szCs w:val="28"/>
            <w:u w:val="none"/>
          </w:rPr>
          <w:t>Про затвердження Порядку підтвердження наявного трудового стажу для призначення пенсій за відсутності трудової книжки або відповідних записів у ній</w:t>
        </w:r>
      </w:hyperlink>
    </w:p>
    <w:p w:rsidR="006F3E58" w:rsidRDefault="00055220" w:rsidP="009A4E2D">
      <w:pPr>
        <w:pStyle w:val="a4"/>
        <w:spacing w:before="0" w:beforeAutospacing="0" w:after="0" w:afterAutospacing="0"/>
        <w:ind w:firstLine="567"/>
        <w:jc w:val="both"/>
        <w:rPr>
          <w:sz w:val="28"/>
          <w:szCs w:val="28"/>
        </w:rPr>
      </w:pPr>
      <w:hyperlink r:id="rId34" w:history="1">
        <w:r w:rsidR="000365AF" w:rsidRPr="009A4E2D">
          <w:rPr>
            <w:rStyle w:val="a3"/>
            <w:color w:val="auto"/>
            <w:sz w:val="28"/>
            <w:szCs w:val="28"/>
            <w:u w:val="none"/>
          </w:rPr>
          <w:t>Про затвердження Порядку погашення заборгованості за рішеннями суду, виконання яких гарантується державою</w:t>
        </w:r>
      </w:hyperlink>
      <w:hyperlink r:id="rId35" w:history="1"/>
    </w:p>
    <w:p w:rsidR="006F3E58" w:rsidRDefault="00055220" w:rsidP="009A4E2D">
      <w:pPr>
        <w:pStyle w:val="a4"/>
        <w:spacing w:before="0" w:beforeAutospacing="0" w:after="0" w:afterAutospacing="0"/>
        <w:ind w:firstLine="567"/>
        <w:jc w:val="both"/>
        <w:rPr>
          <w:sz w:val="28"/>
          <w:szCs w:val="28"/>
        </w:rPr>
      </w:pPr>
      <w:hyperlink r:id="rId36" w:history="1">
        <w:r w:rsidR="000365AF" w:rsidRPr="009A4E2D">
          <w:rPr>
            <w:rStyle w:val="a3"/>
            <w:color w:val="auto"/>
            <w:sz w:val="28"/>
            <w:szCs w:val="28"/>
            <w:u w:val="none"/>
          </w:rPr>
          <w:t>Питання погашення заборгованості з пенсійних виплат за рішеннями суду</w:t>
        </w:r>
      </w:hyperlink>
      <w:hyperlink r:id="rId37" w:history="1"/>
    </w:p>
    <w:p w:rsidR="006F3E58" w:rsidRPr="00457E2E" w:rsidRDefault="00055220" w:rsidP="009A4E2D">
      <w:pPr>
        <w:pStyle w:val="a4"/>
        <w:spacing w:before="0" w:beforeAutospacing="0" w:after="0" w:afterAutospacing="0"/>
        <w:ind w:firstLine="567"/>
        <w:jc w:val="both"/>
        <w:rPr>
          <w:sz w:val="28"/>
          <w:szCs w:val="28"/>
        </w:rPr>
      </w:pPr>
      <w:hyperlink r:id="rId38" w:history="1">
        <w:r w:rsidR="000365AF" w:rsidRPr="009A4E2D">
          <w:rPr>
            <w:rStyle w:val="a3"/>
            <w:color w:val="auto"/>
            <w:sz w:val="28"/>
            <w:szCs w:val="28"/>
            <w:u w:val="none"/>
          </w:rPr>
          <w:t>Про затвердження Порядку забезпечення осіб з інвалідністю автомобілями</w:t>
        </w:r>
      </w:hyperlink>
    </w:p>
    <w:p w:rsidR="006F3E58" w:rsidRDefault="000365AF" w:rsidP="009A4E2D">
      <w:pPr>
        <w:pStyle w:val="a4"/>
        <w:spacing w:before="0" w:beforeAutospacing="0" w:after="0" w:afterAutospacing="0"/>
        <w:ind w:firstLine="567"/>
        <w:jc w:val="both"/>
        <w:rPr>
          <w:sz w:val="28"/>
          <w:szCs w:val="28"/>
        </w:rPr>
      </w:pPr>
      <w:r w:rsidRPr="00457E2E">
        <w:rPr>
          <w:sz w:val="28"/>
          <w:szCs w:val="28"/>
        </w:rPr>
        <w:t>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w:t>
      </w:r>
    </w:p>
    <w:p w:rsidR="006F3E58" w:rsidRDefault="00055220" w:rsidP="009A4E2D">
      <w:pPr>
        <w:pStyle w:val="a4"/>
        <w:spacing w:before="0" w:beforeAutospacing="0" w:after="0" w:afterAutospacing="0"/>
        <w:ind w:firstLine="567"/>
        <w:jc w:val="both"/>
        <w:rPr>
          <w:sz w:val="28"/>
          <w:szCs w:val="28"/>
        </w:rPr>
      </w:pPr>
      <w:hyperlink r:id="rId39" w:history="1">
        <w:r w:rsidR="000365AF" w:rsidRPr="009A4E2D">
          <w:rPr>
            <w:rStyle w:val="a3"/>
            <w:color w:val="auto"/>
            <w:sz w:val="28"/>
            <w:szCs w:val="28"/>
            <w:u w:val="none"/>
          </w:rPr>
          <w:t>Про затвердження Порядку призначення і виплати компенсації фізичним особам, які надають соціальні послуги</w:t>
        </w:r>
      </w:hyperlink>
    </w:p>
    <w:p w:rsidR="006F3E58" w:rsidRDefault="00055220" w:rsidP="009A4E2D">
      <w:pPr>
        <w:pStyle w:val="a4"/>
        <w:spacing w:before="0" w:beforeAutospacing="0" w:after="0" w:afterAutospacing="0"/>
        <w:ind w:firstLine="567"/>
        <w:jc w:val="both"/>
        <w:rPr>
          <w:sz w:val="28"/>
          <w:szCs w:val="28"/>
        </w:rPr>
      </w:pPr>
      <w:hyperlink r:id="rId40" w:history="1">
        <w:r w:rsidR="000365AF" w:rsidRPr="009A4E2D">
          <w:rPr>
            <w:rStyle w:val="a3"/>
            <w:color w:val="auto"/>
            <w:sz w:val="28"/>
            <w:szCs w:val="28"/>
            <w:u w:val="none"/>
          </w:rPr>
          <w:t>Деякі питання державної допомоги окремим категоріям громадян</w:t>
        </w:r>
      </w:hyperlink>
      <w:r w:rsidR="000365AF" w:rsidRPr="009A4E2D">
        <w:rPr>
          <w:sz w:val="28"/>
          <w:szCs w:val="28"/>
        </w:rPr>
        <w:fldChar w:fldCharType="begin"/>
      </w:r>
      <w:r w:rsidR="000365AF" w:rsidRPr="009A4E2D">
        <w:rPr>
          <w:sz w:val="28"/>
          <w:szCs w:val="28"/>
        </w:rPr>
        <w:instrText xml:space="preserve"> HYPERLINK "https://zakon.rada.gov.ua/go/187-2006-%D0%BF" </w:instrText>
      </w:r>
      <w:r w:rsidR="000365AF" w:rsidRPr="009A4E2D">
        <w:rPr>
          <w:sz w:val="28"/>
          <w:szCs w:val="28"/>
        </w:rPr>
        <w:fldChar w:fldCharType="separate"/>
      </w:r>
    </w:p>
    <w:p w:rsidR="006F3E58" w:rsidRDefault="000365AF" w:rsidP="009A4E2D">
      <w:pPr>
        <w:pStyle w:val="a4"/>
        <w:spacing w:before="0" w:beforeAutospacing="0" w:after="0" w:afterAutospacing="0"/>
        <w:ind w:firstLine="567"/>
        <w:jc w:val="both"/>
        <w:rPr>
          <w:sz w:val="28"/>
          <w:szCs w:val="28"/>
        </w:rPr>
      </w:pPr>
      <w:r w:rsidRPr="009A4E2D">
        <w:rPr>
          <w:rStyle w:val="a3"/>
          <w:color w:val="auto"/>
          <w:sz w:val="28"/>
          <w:szCs w:val="28"/>
          <w:u w:val="none"/>
        </w:rPr>
        <w:t>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Pr="009A4E2D">
        <w:rPr>
          <w:sz w:val="28"/>
          <w:szCs w:val="28"/>
        </w:rPr>
        <w:fldChar w:fldCharType="end"/>
      </w:r>
    </w:p>
    <w:p w:rsidR="006F3E58" w:rsidRDefault="00055220" w:rsidP="009A4E2D">
      <w:pPr>
        <w:pStyle w:val="a4"/>
        <w:spacing w:before="0" w:beforeAutospacing="0" w:after="0" w:afterAutospacing="0"/>
        <w:ind w:firstLine="567"/>
        <w:jc w:val="both"/>
        <w:rPr>
          <w:sz w:val="28"/>
          <w:szCs w:val="28"/>
        </w:rPr>
      </w:pPr>
      <w:hyperlink r:id="rId41" w:history="1">
        <w:r w:rsidR="000365AF" w:rsidRPr="009A4E2D">
          <w:rPr>
            <w:rStyle w:val="a3"/>
            <w:color w:val="auto"/>
            <w:sz w:val="28"/>
            <w:szCs w:val="28"/>
            <w:u w:val="none"/>
          </w:rPr>
          <w:t>Про затвердження Порядку виплати грошової компенсації вартості санаторно-курортного лікування деяким категоріям громадян</w:t>
        </w:r>
      </w:hyperlink>
    </w:p>
    <w:p w:rsidR="006F3E58" w:rsidRDefault="00055220" w:rsidP="009A4E2D">
      <w:pPr>
        <w:pStyle w:val="a4"/>
        <w:spacing w:before="0" w:beforeAutospacing="0" w:after="0" w:afterAutospacing="0"/>
        <w:ind w:firstLine="567"/>
        <w:jc w:val="both"/>
        <w:rPr>
          <w:sz w:val="28"/>
          <w:szCs w:val="28"/>
        </w:rPr>
      </w:pPr>
      <w:hyperlink r:id="rId42" w:history="1">
        <w:r w:rsidR="000365AF" w:rsidRPr="009A4E2D">
          <w:rPr>
            <w:rStyle w:val="a3"/>
            <w:color w:val="auto"/>
            <w:sz w:val="28"/>
            <w:szCs w:val="28"/>
            <w:u w:val="none"/>
          </w:rPr>
          <w:t>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rsidR="006F3E58" w:rsidRDefault="00055220" w:rsidP="009A4E2D">
      <w:pPr>
        <w:pStyle w:val="a4"/>
        <w:spacing w:before="0" w:beforeAutospacing="0" w:after="0" w:afterAutospacing="0"/>
        <w:ind w:firstLine="567"/>
        <w:jc w:val="both"/>
        <w:rPr>
          <w:sz w:val="28"/>
          <w:szCs w:val="28"/>
        </w:rPr>
      </w:pPr>
      <w:hyperlink r:id="rId43" w:history="1">
        <w:r w:rsidR="000365AF" w:rsidRPr="009A4E2D">
          <w:rPr>
            <w:rStyle w:val="a3"/>
            <w:color w:val="auto"/>
            <w:sz w:val="28"/>
            <w:szCs w:val="28"/>
            <w:u w:val="none"/>
          </w:rPr>
          <w:t>Деякі питання санаторно-курортного лікування та відпочинку громадян, які постраждали внаслідок Чорнобильської катастрофи</w:t>
        </w:r>
      </w:hyperlink>
    </w:p>
    <w:p w:rsidR="006F3E58" w:rsidRDefault="00055220" w:rsidP="009A4E2D">
      <w:pPr>
        <w:pStyle w:val="a4"/>
        <w:spacing w:before="0" w:beforeAutospacing="0" w:after="0" w:afterAutospacing="0"/>
        <w:ind w:firstLine="567"/>
        <w:jc w:val="both"/>
        <w:rPr>
          <w:sz w:val="28"/>
          <w:szCs w:val="28"/>
        </w:rPr>
      </w:pPr>
      <w:hyperlink r:id="rId44" w:history="1">
        <w:r w:rsidR="000365AF" w:rsidRPr="009A4E2D">
          <w:rPr>
            <w:rStyle w:val="a3"/>
            <w:color w:val="auto"/>
            <w:sz w:val="28"/>
            <w:szCs w:val="28"/>
            <w:u w:val="none"/>
          </w:rPr>
          <w:t>Про встановлення розміру грошової допомоги для компенсації вартості путівок санаторно-курортним закладам і закладам оздоровлення та відпочинку у 2017 році</w:t>
        </w:r>
      </w:hyperlink>
    </w:p>
    <w:p w:rsidR="006F3E58" w:rsidRDefault="00055220" w:rsidP="009A4E2D">
      <w:pPr>
        <w:pStyle w:val="a4"/>
        <w:spacing w:before="0" w:beforeAutospacing="0" w:after="0" w:afterAutospacing="0"/>
        <w:ind w:firstLine="567"/>
        <w:jc w:val="both"/>
        <w:rPr>
          <w:sz w:val="28"/>
          <w:szCs w:val="28"/>
        </w:rPr>
      </w:pPr>
      <w:hyperlink r:id="rId45" w:history="1">
        <w:r w:rsidR="000365AF" w:rsidRPr="009A4E2D">
          <w:rPr>
            <w:rStyle w:val="a3"/>
            <w:color w:val="auto"/>
            <w:sz w:val="28"/>
            <w:szCs w:val="28"/>
            <w:u w:val="none"/>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hyperlink>
    </w:p>
    <w:p w:rsidR="006F3E58" w:rsidRDefault="00055220" w:rsidP="009A4E2D">
      <w:pPr>
        <w:pStyle w:val="a4"/>
        <w:spacing w:before="0" w:beforeAutospacing="0" w:after="0" w:afterAutospacing="0"/>
        <w:ind w:firstLine="567"/>
        <w:jc w:val="both"/>
        <w:rPr>
          <w:sz w:val="28"/>
          <w:szCs w:val="28"/>
        </w:rPr>
      </w:pPr>
      <w:hyperlink r:id="rId46" w:history="1">
        <w:r w:rsidR="000365AF" w:rsidRPr="009A4E2D">
          <w:rPr>
            <w:rStyle w:val="a3"/>
            <w:color w:val="auto"/>
            <w:sz w:val="28"/>
            <w:szCs w:val="28"/>
            <w:u w:val="none"/>
          </w:rPr>
          <w:t>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hyperlink>
    </w:p>
    <w:p w:rsidR="006F3E58" w:rsidRDefault="00055220" w:rsidP="009A4E2D">
      <w:pPr>
        <w:pStyle w:val="a4"/>
        <w:spacing w:before="0" w:beforeAutospacing="0" w:after="0" w:afterAutospacing="0"/>
        <w:ind w:firstLine="567"/>
        <w:jc w:val="both"/>
        <w:rPr>
          <w:sz w:val="28"/>
          <w:szCs w:val="28"/>
        </w:rPr>
      </w:pPr>
      <w:hyperlink r:id="rId47" w:history="1">
        <w:r w:rsidR="000365AF" w:rsidRPr="009A4E2D">
          <w:rPr>
            <w:rStyle w:val="a3"/>
            <w:color w:val="auto"/>
            <w:sz w:val="28"/>
            <w:szCs w:val="28"/>
            <w:u w:val="none"/>
          </w:rPr>
          <w:t>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hyperlink>
    </w:p>
    <w:p w:rsidR="006F3E58" w:rsidRDefault="00055220" w:rsidP="009A4E2D">
      <w:pPr>
        <w:pStyle w:val="a4"/>
        <w:spacing w:before="0" w:beforeAutospacing="0" w:after="0" w:afterAutospacing="0"/>
        <w:ind w:firstLine="567"/>
        <w:jc w:val="both"/>
        <w:rPr>
          <w:sz w:val="28"/>
          <w:szCs w:val="28"/>
        </w:rPr>
      </w:pPr>
      <w:hyperlink r:id="rId48" w:history="1">
        <w:r w:rsidR="000365AF" w:rsidRPr="009A4E2D">
          <w:rPr>
            <w:rStyle w:val="a3"/>
            <w:color w:val="auto"/>
            <w:sz w:val="28"/>
            <w:szCs w:val="28"/>
            <w:u w:val="none"/>
          </w:rPr>
          <w:t>Про затвердження Порядку надання державної соціальної допомоги особам з інвалідністю з дитинства та дітям з інвалідністю</w:t>
        </w:r>
      </w:hyperlink>
    </w:p>
    <w:p w:rsidR="006F3E58" w:rsidRDefault="00055220" w:rsidP="009A4E2D">
      <w:pPr>
        <w:pStyle w:val="a4"/>
        <w:spacing w:before="0" w:beforeAutospacing="0" w:after="0" w:afterAutospacing="0"/>
        <w:ind w:firstLine="567"/>
        <w:jc w:val="both"/>
        <w:rPr>
          <w:sz w:val="28"/>
          <w:szCs w:val="28"/>
        </w:rPr>
      </w:pPr>
      <w:hyperlink r:id="rId49" w:history="1">
        <w:r w:rsidR="000365AF" w:rsidRPr="009A4E2D">
          <w:rPr>
            <w:rStyle w:val="a3"/>
            <w:color w:val="auto"/>
            <w:sz w:val="28"/>
            <w:szCs w:val="28"/>
            <w:u w:val="none"/>
          </w:rPr>
          <w:t>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hyperlink>
    </w:p>
    <w:p w:rsidR="000365AF" w:rsidRPr="009A4E2D" w:rsidRDefault="00055220" w:rsidP="009A4E2D">
      <w:pPr>
        <w:pStyle w:val="a4"/>
        <w:spacing w:before="0" w:beforeAutospacing="0" w:after="0" w:afterAutospacing="0"/>
        <w:ind w:firstLine="567"/>
        <w:jc w:val="both"/>
        <w:rPr>
          <w:sz w:val="28"/>
          <w:szCs w:val="28"/>
        </w:rPr>
      </w:pPr>
      <w:hyperlink r:id="rId50" w:history="1">
        <w:r w:rsidR="000365AF" w:rsidRPr="009A4E2D">
          <w:rPr>
            <w:rStyle w:val="a3"/>
            <w:color w:val="auto"/>
            <w:sz w:val="28"/>
            <w:szCs w:val="28"/>
            <w:u w:val="none"/>
          </w:rPr>
          <w:t>Про встановлення середньої вартості санаторно-курортної путівки для виплати грошової компенсації замість санаторно-курортної путівки та вартості самостійного санаторно-курортного лікування</w:t>
        </w:r>
      </w:hyperlink>
    </w:p>
    <w:p w:rsidR="000365AF" w:rsidRPr="009A4E2D" w:rsidRDefault="00055220" w:rsidP="009A4E2D">
      <w:pPr>
        <w:pStyle w:val="a4"/>
        <w:spacing w:before="0" w:beforeAutospacing="0" w:after="0" w:afterAutospacing="0"/>
        <w:ind w:firstLine="567"/>
        <w:jc w:val="both"/>
        <w:rPr>
          <w:sz w:val="28"/>
          <w:szCs w:val="28"/>
        </w:rPr>
      </w:pPr>
      <w:hyperlink r:id="rId51" w:history="1">
        <w:r w:rsidR="000365AF" w:rsidRPr="009A4E2D">
          <w:rPr>
            <w:rStyle w:val="a3"/>
            <w:color w:val="auto"/>
            <w:sz w:val="28"/>
            <w:szCs w:val="28"/>
            <w:u w:val="none"/>
          </w:rPr>
          <w:t>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hyperlink>
    </w:p>
    <w:p w:rsidR="00642A10" w:rsidRPr="00642A10" w:rsidRDefault="00642A10" w:rsidP="00642A10">
      <w:pPr>
        <w:spacing w:after="0"/>
        <w:ind w:firstLine="567"/>
        <w:jc w:val="both"/>
        <w:rPr>
          <w:rFonts w:ascii="TimesNewRoman" w:eastAsia="Times New Roman" w:hAnsi="TimesNewRoman" w:cs="Times New Roman"/>
          <w:b/>
          <w:bCs/>
          <w:color w:val="000000"/>
          <w:szCs w:val="32"/>
          <w:lang w:eastAsia="uk-UA"/>
        </w:rPr>
      </w:pPr>
      <w:r w:rsidRPr="00642A10">
        <w:rPr>
          <w:rFonts w:ascii="TimesNewRoman" w:eastAsia="Times New Roman" w:hAnsi="TimesNewRoman" w:cs="Times New Roman"/>
          <w:b/>
          <w:bCs/>
          <w:color w:val="000000"/>
          <w:szCs w:val="32"/>
          <w:lang w:eastAsia="uk-UA"/>
        </w:rPr>
        <w:t>Конвенції МОП з соціального забезпечення</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 xml:space="preserve">Загальні стандарти </w:t>
      </w:r>
    </w:p>
    <w:p w:rsid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 xml:space="preserve">Конвенція про мінімальні норми соціального забезпечення, 1952, (№ 102) </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Рекомендації із забезпечення доходу, 1944, (№ 67)</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Захист, що гарантується за різними напрямами соціального забезпечення</w:t>
      </w:r>
    </w:p>
    <w:p w:rsid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Конвенція про медичну допомогу та допомогу у випадку хвороби (№ 130)</w:t>
      </w:r>
      <w:r>
        <w:rPr>
          <w:rFonts w:ascii="TimesNewRoman" w:eastAsia="Times New Roman" w:hAnsi="TimesNewRoman" w:cs="Times New Roman"/>
          <w:color w:val="000000"/>
          <w:szCs w:val="32"/>
          <w:lang w:eastAsia="uk-UA"/>
        </w:rPr>
        <w:t xml:space="preserve"> </w:t>
      </w:r>
      <w:r w:rsidRPr="00642A10">
        <w:rPr>
          <w:rFonts w:ascii="TimesNewRoman" w:eastAsia="Times New Roman" w:hAnsi="TimesNewRoman" w:cs="Times New Roman"/>
          <w:color w:val="000000"/>
          <w:szCs w:val="32"/>
          <w:lang w:eastAsia="uk-UA"/>
        </w:rPr>
        <w:t xml:space="preserve">та </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bookmarkStart w:id="0" w:name="_GoBack"/>
      <w:bookmarkEnd w:id="0"/>
      <w:r w:rsidRPr="00642A10">
        <w:rPr>
          <w:rFonts w:ascii="TimesNewRoman" w:eastAsia="Times New Roman" w:hAnsi="TimesNewRoman" w:cs="Times New Roman"/>
          <w:color w:val="000000"/>
          <w:szCs w:val="32"/>
          <w:lang w:eastAsia="uk-UA"/>
        </w:rPr>
        <w:lastRenderedPageBreak/>
        <w:t>Рекомендація (№ 134), 1969</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Допомоги по інвалідності, по старості і у зв’язку з втратою годувальника</w:t>
      </w:r>
    </w:p>
    <w:p w:rsid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Конвенції про допомоги по інвалідності, по старості, і у зв’язку з втратою</w:t>
      </w:r>
      <w:r>
        <w:rPr>
          <w:rFonts w:ascii="TimesNewRoman" w:eastAsia="Times New Roman" w:hAnsi="TimesNewRoman" w:cs="Times New Roman"/>
          <w:color w:val="000000"/>
          <w:szCs w:val="32"/>
          <w:lang w:eastAsia="uk-UA"/>
        </w:rPr>
        <w:t xml:space="preserve"> </w:t>
      </w:r>
      <w:r w:rsidRPr="00642A10">
        <w:rPr>
          <w:rFonts w:ascii="TimesNewRoman" w:eastAsia="Times New Roman" w:hAnsi="TimesNewRoman" w:cs="Times New Roman"/>
          <w:color w:val="000000"/>
          <w:szCs w:val="32"/>
          <w:lang w:eastAsia="uk-UA"/>
        </w:rPr>
        <w:t xml:space="preserve">годувальника (№ 128) та </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Рекомендація (№ 131), 1967</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Допомога у випадку виробничої травми</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Конвенція про допомогу у випадку виробничої травми (№ 121 ) та</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Рекомендація (№ 121), 1964</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Допомога по безробіттю</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Конвенція про сприяння зайнятості та захист від безробіття (№ 168) та</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Рекомендація (№ 176), 1988</w:t>
      </w:r>
    </w:p>
    <w:p w:rsidR="00642A10" w:rsidRPr="00642A10" w:rsidRDefault="00642A10" w:rsidP="00642A10">
      <w:pPr>
        <w:spacing w:after="0"/>
        <w:ind w:firstLine="567"/>
        <w:jc w:val="both"/>
        <w:rPr>
          <w:rFonts w:ascii="TimesNewRoman" w:eastAsia="Times New Roman" w:hAnsi="TimesNewRoman" w:cs="Times New Roman"/>
          <w:i/>
          <w:iCs/>
          <w:color w:val="000000"/>
          <w:szCs w:val="32"/>
          <w:lang w:eastAsia="uk-UA"/>
        </w:rPr>
      </w:pPr>
      <w:r w:rsidRPr="00642A10">
        <w:rPr>
          <w:rFonts w:ascii="TimesNewRoman" w:eastAsia="Times New Roman" w:hAnsi="TimesNewRoman" w:cs="Times New Roman"/>
          <w:i/>
          <w:iCs/>
          <w:color w:val="000000"/>
          <w:szCs w:val="32"/>
          <w:lang w:eastAsia="uk-UA"/>
        </w:rPr>
        <w:t>Соціальне забезпечення працівників-мігрантів</w:t>
      </w:r>
    </w:p>
    <w:p w:rsidR="00642A10" w:rsidRP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Конвенція про рівноправність у галузі соціального забезпечення, 1962,</w:t>
      </w:r>
      <w:r>
        <w:rPr>
          <w:rFonts w:ascii="TimesNewRoman" w:eastAsia="Times New Roman" w:hAnsi="TimesNewRoman" w:cs="Times New Roman"/>
          <w:color w:val="000000"/>
          <w:szCs w:val="32"/>
          <w:lang w:eastAsia="uk-UA"/>
        </w:rPr>
        <w:t xml:space="preserve"> </w:t>
      </w:r>
      <w:r w:rsidRPr="00642A10">
        <w:rPr>
          <w:rFonts w:ascii="TimesNewRoman" w:eastAsia="Times New Roman" w:hAnsi="TimesNewRoman" w:cs="Times New Roman"/>
          <w:color w:val="000000"/>
          <w:szCs w:val="32"/>
          <w:lang w:eastAsia="uk-UA"/>
        </w:rPr>
        <w:t>(№</w:t>
      </w:r>
      <w:r>
        <w:rPr>
          <w:rFonts w:ascii="TimesNewRoman" w:eastAsia="Times New Roman" w:hAnsi="TimesNewRoman" w:cs="Times New Roman" w:hint="eastAsia"/>
          <w:color w:val="000000"/>
          <w:szCs w:val="32"/>
          <w:lang w:eastAsia="uk-UA"/>
        </w:rPr>
        <w:t> </w:t>
      </w:r>
      <w:r w:rsidRPr="00642A10">
        <w:rPr>
          <w:rFonts w:ascii="TimesNewRoman" w:eastAsia="Times New Roman" w:hAnsi="TimesNewRoman" w:cs="Times New Roman"/>
          <w:color w:val="000000"/>
          <w:szCs w:val="32"/>
          <w:lang w:eastAsia="uk-UA"/>
        </w:rPr>
        <w:t>118)</w:t>
      </w:r>
    </w:p>
    <w:p w:rsidR="00642A10" w:rsidRDefault="00642A10" w:rsidP="00642A10">
      <w:pPr>
        <w:spacing w:after="0"/>
        <w:ind w:firstLine="567"/>
        <w:jc w:val="both"/>
        <w:rPr>
          <w:rFonts w:ascii="TimesNewRoman" w:eastAsia="Times New Roman" w:hAnsi="TimesNewRoman" w:cs="Times New Roman"/>
          <w:color w:val="000000"/>
          <w:szCs w:val="32"/>
          <w:lang w:eastAsia="uk-UA"/>
        </w:rPr>
      </w:pPr>
      <w:r w:rsidRPr="00642A10">
        <w:rPr>
          <w:rFonts w:ascii="TimesNewRoman" w:eastAsia="Times New Roman" w:hAnsi="TimesNewRoman" w:cs="Times New Roman"/>
          <w:color w:val="000000"/>
          <w:szCs w:val="32"/>
          <w:lang w:eastAsia="uk-UA"/>
        </w:rPr>
        <w:t>Конвенція про збереження прав у галузі соціального забезпечення, 1982,</w:t>
      </w:r>
      <w:r>
        <w:rPr>
          <w:rFonts w:ascii="TimesNewRoman" w:eastAsia="Times New Roman" w:hAnsi="TimesNewRoman" w:cs="Times New Roman"/>
          <w:color w:val="000000"/>
          <w:szCs w:val="32"/>
          <w:lang w:eastAsia="uk-UA"/>
        </w:rPr>
        <w:t xml:space="preserve"> </w:t>
      </w:r>
      <w:r w:rsidRPr="00642A10">
        <w:rPr>
          <w:rFonts w:ascii="TimesNewRoman" w:eastAsia="Times New Roman" w:hAnsi="TimesNewRoman" w:cs="Times New Roman"/>
          <w:color w:val="000000"/>
          <w:szCs w:val="32"/>
          <w:lang w:eastAsia="uk-UA"/>
        </w:rPr>
        <w:t xml:space="preserve"> </w:t>
      </w:r>
      <w:r w:rsidRPr="00642A10">
        <w:rPr>
          <w:rFonts w:ascii="TimesNewRoman" w:eastAsia="Times New Roman" w:hAnsi="TimesNewRoman" w:cs="Times New Roman"/>
          <w:color w:val="000000"/>
          <w:szCs w:val="32"/>
          <w:lang w:eastAsia="uk-UA"/>
        </w:rPr>
        <w:t>(№</w:t>
      </w:r>
      <w:r>
        <w:rPr>
          <w:rFonts w:ascii="TimesNewRoman" w:eastAsia="Times New Roman" w:hAnsi="TimesNewRoman" w:cs="Times New Roman" w:hint="eastAsia"/>
          <w:color w:val="000000"/>
          <w:szCs w:val="32"/>
          <w:lang w:eastAsia="uk-UA"/>
        </w:rPr>
        <w:t> </w:t>
      </w:r>
      <w:r w:rsidRPr="00642A10">
        <w:rPr>
          <w:rFonts w:ascii="TimesNewRoman" w:eastAsia="Times New Roman" w:hAnsi="TimesNewRoman" w:cs="Times New Roman"/>
          <w:color w:val="000000"/>
          <w:szCs w:val="32"/>
          <w:lang w:eastAsia="uk-UA"/>
        </w:rPr>
        <w:t xml:space="preserve">157) </w:t>
      </w:r>
    </w:p>
    <w:p w:rsidR="000365AF" w:rsidRPr="00642A10" w:rsidRDefault="00642A10" w:rsidP="00642A10">
      <w:pPr>
        <w:spacing w:after="0"/>
        <w:ind w:firstLine="567"/>
        <w:jc w:val="both"/>
        <w:rPr>
          <w:rFonts w:cs="Times New Roman"/>
          <w:sz w:val="36"/>
          <w:szCs w:val="36"/>
        </w:rPr>
      </w:pPr>
      <w:r w:rsidRPr="00642A10">
        <w:rPr>
          <w:rFonts w:ascii="TimesNewRoman" w:eastAsia="Times New Roman" w:hAnsi="TimesNewRoman" w:cs="Times New Roman"/>
          <w:color w:val="000000"/>
          <w:szCs w:val="32"/>
          <w:lang w:eastAsia="uk-UA"/>
        </w:rPr>
        <w:t>Рекомендація щодо збереження прав у галузі соціального забезпечення, 1983, (№ 167)</w:t>
      </w:r>
    </w:p>
    <w:sectPr w:rsidR="000365AF" w:rsidRPr="00642A10" w:rsidSect="00ED5C44">
      <w:headerReference w:type="default" r:id="rId52"/>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220" w:rsidRDefault="00055220" w:rsidP="000A4106">
      <w:pPr>
        <w:spacing w:after="0"/>
      </w:pPr>
      <w:r>
        <w:separator/>
      </w:r>
    </w:p>
  </w:endnote>
  <w:endnote w:type="continuationSeparator" w:id="0">
    <w:p w:rsidR="00055220" w:rsidRDefault="00055220" w:rsidP="000A4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220" w:rsidRDefault="00055220" w:rsidP="000A4106">
      <w:pPr>
        <w:spacing w:after="0"/>
      </w:pPr>
      <w:r>
        <w:separator/>
      </w:r>
    </w:p>
  </w:footnote>
  <w:footnote w:type="continuationSeparator" w:id="0">
    <w:p w:rsidR="00055220" w:rsidRDefault="00055220" w:rsidP="000A41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szCs w:val="24"/>
      </w:rPr>
      <w:id w:val="-2045430976"/>
      <w:docPartObj>
        <w:docPartGallery w:val="Page Numbers (Top of Page)"/>
        <w:docPartUnique/>
      </w:docPartObj>
    </w:sdtPr>
    <w:sdtEndPr>
      <w:rPr>
        <w:sz w:val="22"/>
        <w:szCs w:val="18"/>
      </w:rPr>
    </w:sdtEndPr>
    <w:sdtContent>
      <w:p w:rsidR="000A4106" w:rsidRPr="000A4106" w:rsidRDefault="000A4106">
        <w:pPr>
          <w:pStyle w:val="a6"/>
          <w:jc w:val="right"/>
          <w:rPr>
            <w:sz w:val="22"/>
            <w:szCs w:val="18"/>
          </w:rPr>
        </w:pPr>
        <w:r w:rsidRPr="000A4106">
          <w:rPr>
            <w:sz w:val="22"/>
            <w:szCs w:val="18"/>
          </w:rPr>
          <w:fldChar w:fldCharType="begin"/>
        </w:r>
        <w:r w:rsidRPr="000A4106">
          <w:rPr>
            <w:sz w:val="22"/>
            <w:szCs w:val="18"/>
          </w:rPr>
          <w:instrText>PAGE   \* MERGEFORMAT</w:instrText>
        </w:r>
        <w:r w:rsidRPr="000A4106">
          <w:rPr>
            <w:sz w:val="22"/>
            <w:szCs w:val="18"/>
          </w:rPr>
          <w:fldChar w:fldCharType="separate"/>
        </w:r>
        <w:r w:rsidRPr="000A4106">
          <w:rPr>
            <w:sz w:val="22"/>
            <w:szCs w:val="18"/>
          </w:rPr>
          <w:t>2</w:t>
        </w:r>
        <w:r w:rsidRPr="000A4106">
          <w:rPr>
            <w:sz w:val="22"/>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1B79"/>
    <w:multiLevelType w:val="multilevel"/>
    <w:tmpl w:val="6FF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D7966"/>
    <w:multiLevelType w:val="hybridMultilevel"/>
    <w:tmpl w:val="3DE27F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70"/>
    <w:rsid w:val="000365AF"/>
    <w:rsid w:val="00055220"/>
    <w:rsid w:val="000A4106"/>
    <w:rsid w:val="00233370"/>
    <w:rsid w:val="003127F2"/>
    <w:rsid w:val="00407018"/>
    <w:rsid w:val="00457E2E"/>
    <w:rsid w:val="00642A10"/>
    <w:rsid w:val="006C0B77"/>
    <w:rsid w:val="006F3E58"/>
    <w:rsid w:val="008242FF"/>
    <w:rsid w:val="00870751"/>
    <w:rsid w:val="00922C48"/>
    <w:rsid w:val="009A3243"/>
    <w:rsid w:val="009A4E2D"/>
    <w:rsid w:val="00B915B7"/>
    <w:rsid w:val="00C35E5F"/>
    <w:rsid w:val="00DB6F79"/>
    <w:rsid w:val="00EA59DF"/>
    <w:rsid w:val="00ED5C4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2FDB"/>
  <w15:chartTrackingRefBased/>
  <w15:docId w15:val="{0A3957FF-BC12-4F59-916B-C805657D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1">
    <w:name w:val="heading 1"/>
    <w:basedOn w:val="a"/>
    <w:link w:val="10"/>
    <w:uiPriority w:val="9"/>
    <w:qFormat/>
    <w:rsid w:val="00C35E5F"/>
    <w:pPr>
      <w:spacing w:before="100" w:beforeAutospacing="1" w:after="100" w:afterAutospacing="1"/>
      <w:outlineLvl w:val="0"/>
    </w:pPr>
    <w:rPr>
      <w:rFonts w:eastAsia="Times New Roman" w:cs="Times New Roman"/>
      <w:b/>
      <w:bCs/>
      <w:kern w:val="36"/>
      <w:sz w:val="48"/>
      <w:szCs w:val="48"/>
      <w:lang w:eastAsia="uk-UA"/>
    </w:rPr>
  </w:style>
  <w:style w:type="paragraph" w:styleId="3">
    <w:name w:val="heading 3"/>
    <w:basedOn w:val="a"/>
    <w:next w:val="a"/>
    <w:link w:val="30"/>
    <w:uiPriority w:val="9"/>
    <w:semiHidden/>
    <w:unhideWhenUsed/>
    <w:qFormat/>
    <w:rsid w:val="000365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33370"/>
    <w:rPr>
      <w:rFonts w:ascii="Cambria-Bold" w:hAnsi="Cambria-Bold" w:hint="default"/>
      <w:b/>
      <w:bCs/>
      <w:i w:val="0"/>
      <w:iCs w:val="0"/>
      <w:color w:val="000000"/>
      <w:sz w:val="24"/>
      <w:szCs w:val="24"/>
    </w:rPr>
  </w:style>
  <w:style w:type="character" w:customStyle="1" w:styleId="fontstyle21">
    <w:name w:val="fontstyle21"/>
    <w:basedOn w:val="a0"/>
    <w:rsid w:val="00C35E5F"/>
    <w:rPr>
      <w:rFonts w:ascii="Cambria" w:hAnsi="Cambria" w:hint="default"/>
      <w:b w:val="0"/>
      <w:bCs w:val="0"/>
      <w:i w:val="0"/>
      <w:iCs w:val="0"/>
      <w:color w:val="000000"/>
      <w:sz w:val="22"/>
      <w:szCs w:val="22"/>
    </w:rPr>
  </w:style>
  <w:style w:type="character" w:customStyle="1" w:styleId="10">
    <w:name w:val="Заголовок 1 Знак"/>
    <w:basedOn w:val="a0"/>
    <w:link w:val="1"/>
    <w:uiPriority w:val="9"/>
    <w:rsid w:val="00C35E5F"/>
    <w:rPr>
      <w:rFonts w:ascii="Times New Roman" w:eastAsia="Times New Roman" w:hAnsi="Times New Roman" w:cs="Times New Roman"/>
      <w:b/>
      <w:bCs/>
      <w:kern w:val="36"/>
      <w:sz w:val="48"/>
      <w:szCs w:val="48"/>
      <w:lang w:val="uk-UA" w:eastAsia="uk-UA"/>
    </w:rPr>
  </w:style>
  <w:style w:type="character" w:customStyle="1" w:styleId="titlesubpage">
    <w:name w:val="title_subpage"/>
    <w:basedOn w:val="a0"/>
    <w:rsid w:val="00C35E5F"/>
  </w:style>
  <w:style w:type="character" w:styleId="a3">
    <w:name w:val="Hyperlink"/>
    <w:basedOn w:val="a0"/>
    <w:uiPriority w:val="99"/>
    <w:semiHidden/>
    <w:unhideWhenUsed/>
    <w:rsid w:val="00C35E5F"/>
    <w:rPr>
      <w:color w:val="0000FF"/>
      <w:u w:val="single"/>
    </w:rPr>
  </w:style>
  <w:style w:type="character" w:customStyle="1" w:styleId="30">
    <w:name w:val="Заголовок 3 Знак"/>
    <w:basedOn w:val="a0"/>
    <w:link w:val="3"/>
    <w:uiPriority w:val="9"/>
    <w:semiHidden/>
    <w:rsid w:val="000365AF"/>
    <w:rPr>
      <w:rFonts w:asciiTheme="majorHAnsi" w:eastAsiaTheme="majorEastAsia" w:hAnsiTheme="majorHAnsi" w:cstheme="majorBidi"/>
      <w:color w:val="1F4D78" w:themeColor="accent1" w:themeShade="7F"/>
      <w:sz w:val="24"/>
      <w:szCs w:val="24"/>
      <w:lang w:val="uk-UA"/>
    </w:rPr>
  </w:style>
  <w:style w:type="paragraph" w:styleId="a4">
    <w:name w:val="Normal (Web)"/>
    <w:basedOn w:val="a"/>
    <w:uiPriority w:val="99"/>
    <w:semiHidden/>
    <w:unhideWhenUsed/>
    <w:rsid w:val="000365AF"/>
    <w:pPr>
      <w:spacing w:before="100" w:beforeAutospacing="1" w:after="100" w:afterAutospacing="1"/>
    </w:pPr>
    <w:rPr>
      <w:rFonts w:eastAsia="Times New Roman" w:cs="Times New Roman"/>
      <w:sz w:val="24"/>
      <w:szCs w:val="24"/>
      <w:lang w:eastAsia="uk-UA"/>
    </w:rPr>
  </w:style>
  <w:style w:type="character" w:styleId="a5">
    <w:name w:val="FollowedHyperlink"/>
    <w:basedOn w:val="a0"/>
    <w:uiPriority w:val="99"/>
    <w:semiHidden/>
    <w:unhideWhenUsed/>
    <w:rsid w:val="006F3E58"/>
    <w:rPr>
      <w:color w:val="954F72" w:themeColor="followedHyperlink"/>
      <w:u w:val="single"/>
    </w:rPr>
  </w:style>
  <w:style w:type="paragraph" w:styleId="a6">
    <w:name w:val="header"/>
    <w:basedOn w:val="a"/>
    <w:link w:val="a7"/>
    <w:uiPriority w:val="99"/>
    <w:unhideWhenUsed/>
    <w:rsid w:val="000A4106"/>
    <w:pPr>
      <w:tabs>
        <w:tab w:val="center" w:pos="4677"/>
        <w:tab w:val="right" w:pos="9355"/>
      </w:tabs>
      <w:spacing w:after="0"/>
    </w:pPr>
  </w:style>
  <w:style w:type="character" w:customStyle="1" w:styleId="a7">
    <w:name w:val="Верхній колонтитул Знак"/>
    <w:basedOn w:val="a0"/>
    <w:link w:val="a6"/>
    <w:uiPriority w:val="99"/>
    <w:rsid w:val="000A4106"/>
    <w:rPr>
      <w:rFonts w:ascii="Times New Roman" w:hAnsi="Times New Roman"/>
      <w:sz w:val="28"/>
      <w:lang w:val="uk-UA"/>
    </w:rPr>
  </w:style>
  <w:style w:type="paragraph" w:styleId="a8">
    <w:name w:val="footer"/>
    <w:basedOn w:val="a"/>
    <w:link w:val="a9"/>
    <w:uiPriority w:val="99"/>
    <w:unhideWhenUsed/>
    <w:rsid w:val="000A4106"/>
    <w:pPr>
      <w:tabs>
        <w:tab w:val="center" w:pos="4677"/>
        <w:tab w:val="right" w:pos="9355"/>
      </w:tabs>
      <w:spacing w:after="0"/>
    </w:pPr>
  </w:style>
  <w:style w:type="character" w:customStyle="1" w:styleId="a9">
    <w:name w:val="Нижній колонтитул Знак"/>
    <w:basedOn w:val="a0"/>
    <w:link w:val="a8"/>
    <w:uiPriority w:val="99"/>
    <w:rsid w:val="000A4106"/>
    <w:rPr>
      <w:rFonts w:ascii="Times New Roman" w:hAnsi="Times New Roman"/>
      <w:sz w:val="28"/>
      <w:lang w:val="uk-UA"/>
    </w:rPr>
  </w:style>
  <w:style w:type="character" w:customStyle="1" w:styleId="fontstyle31">
    <w:name w:val="fontstyle31"/>
    <w:basedOn w:val="a0"/>
    <w:rsid w:val="00642A10"/>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0145">
      <w:bodyDiv w:val="1"/>
      <w:marLeft w:val="0"/>
      <w:marRight w:val="0"/>
      <w:marTop w:val="0"/>
      <w:marBottom w:val="0"/>
      <w:divBdr>
        <w:top w:val="none" w:sz="0" w:space="0" w:color="auto"/>
        <w:left w:val="none" w:sz="0" w:space="0" w:color="auto"/>
        <w:bottom w:val="none" w:sz="0" w:space="0" w:color="auto"/>
        <w:right w:val="none" w:sz="0" w:space="0" w:color="auto"/>
      </w:divBdr>
      <w:divsChild>
        <w:div w:id="620647841">
          <w:marLeft w:val="0"/>
          <w:marRight w:val="0"/>
          <w:marTop w:val="0"/>
          <w:marBottom w:val="0"/>
          <w:divBdr>
            <w:top w:val="none" w:sz="0" w:space="0" w:color="auto"/>
            <w:left w:val="none" w:sz="0" w:space="0" w:color="auto"/>
            <w:bottom w:val="none" w:sz="0" w:space="0" w:color="auto"/>
            <w:right w:val="none" w:sz="0" w:space="0" w:color="auto"/>
          </w:divBdr>
          <w:divsChild>
            <w:div w:id="1553808582">
              <w:marLeft w:val="0"/>
              <w:marRight w:val="0"/>
              <w:marTop w:val="0"/>
              <w:marBottom w:val="0"/>
              <w:divBdr>
                <w:top w:val="none" w:sz="0" w:space="0" w:color="auto"/>
                <w:left w:val="none" w:sz="0" w:space="0" w:color="auto"/>
                <w:bottom w:val="none" w:sz="0" w:space="0" w:color="auto"/>
                <w:right w:val="none" w:sz="0" w:space="0" w:color="auto"/>
              </w:divBdr>
            </w:div>
          </w:divsChild>
        </w:div>
        <w:div w:id="507717448">
          <w:marLeft w:val="0"/>
          <w:marRight w:val="0"/>
          <w:marTop w:val="0"/>
          <w:marBottom w:val="0"/>
          <w:divBdr>
            <w:top w:val="none" w:sz="0" w:space="0" w:color="auto"/>
            <w:left w:val="none" w:sz="0" w:space="0" w:color="auto"/>
            <w:bottom w:val="none" w:sz="0" w:space="0" w:color="auto"/>
            <w:right w:val="none" w:sz="0" w:space="0" w:color="auto"/>
          </w:divBdr>
        </w:div>
      </w:divsChild>
    </w:div>
    <w:div w:id="588274531">
      <w:bodyDiv w:val="1"/>
      <w:marLeft w:val="0"/>
      <w:marRight w:val="0"/>
      <w:marTop w:val="0"/>
      <w:marBottom w:val="0"/>
      <w:divBdr>
        <w:top w:val="none" w:sz="0" w:space="0" w:color="auto"/>
        <w:left w:val="none" w:sz="0" w:space="0" w:color="auto"/>
        <w:bottom w:val="none" w:sz="0" w:space="0" w:color="auto"/>
        <w:right w:val="none" w:sz="0" w:space="0" w:color="auto"/>
      </w:divBdr>
    </w:div>
    <w:div w:id="608587881">
      <w:bodyDiv w:val="1"/>
      <w:marLeft w:val="0"/>
      <w:marRight w:val="0"/>
      <w:marTop w:val="0"/>
      <w:marBottom w:val="0"/>
      <w:divBdr>
        <w:top w:val="none" w:sz="0" w:space="0" w:color="auto"/>
        <w:left w:val="none" w:sz="0" w:space="0" w:color="auto"/>
        <w:bottom w:val="none" w:sz="0" w:space="0" w:color="auto"/>
        <w:right w:val="none" w:sz="0" w:space="0" w:color="auto"/>
      </w:divBdr>
    </w:div>
    <w:div w:id="833111598">
      <w:bodyDiv w:val="1"/>
      <w:marLeft w:val="0"/>
      <w:marRight w:val="0"/>
      <w:marTop w:val="0"/>
      <w:marBottom w:val="0"/>
      <w:divBdr>
        <w:top w:val="none" w:sz="0" w:space="0" w:color="auto"/>
        <w:left w:val="none" w:sz="0" w:space="0" w:color="auto"/>
        <w:bottom w:val="none" w:sz="0" w:space="0" w:color="auto"/>
        <w:right w:val="none" w:sz="0" w:space="0" w:color="auto"/>
      </w:divBdr>
    </w:div>
    <w:div w:id="972639611">
      <w:bodyDiv w:val="1"/>
      <w:marLeft w:val="0"/>
      <w:marRight w:val="0"/>
      <w:marTop w:val="0"/>
      <w:marBottom w:val="0"/>
      <w:divBdr>
        <w:top w:val="none" w:sz="0" w:space="0" w:color="auto"/>
        <w:left w:val="none" w:sz="0" w:space="0" w:color="auto"/>
        <w:bottom w:val="none" w:sz="0" w:space="0" w:color="auto"/>
        <w:right w:val="none" w:sz="0" w:space="0" w:color="auto"/>
      </w:divBdr>
    </w:div>
    <w:div w:id="1256665864">
      <w:bodyDiv w:val="1"/>
      <w:marLeft w:val="0"/>
      <w:marRight w:val="0"/>
      <w:marTop w:val="0"/>
      <w:marBottom w:val="0"/>
      <w:divBdr>
        <w:top w:val="none" w:sz="0" w:space="0" w:color="auto"/>
        <w:left w:val="none" w:sz="0" w:space="0" w:color="auto"/>
        <w:bottom w:val="none" w:sz="0" w:space="0" w:color="auto"/>
        <w:right w:val="none" w:sz="0" w:space="0" w:color="auto"/>
      </w:divBdr>
    </w:div>
    <w:div w:id="1463885618">
      <w:bodyDiv w:val="1"/>
      <w:marLeft w:val="0"/>
      <w:marRight w:val="0"/>
      <w:marTop w:val="0"/>
      <w:marBottom w:val="0"/>
      <w:divBdr>
        <w:top w:val="none" w:sz="0" w:space="0" w:color="auto"/>
        <w:left w:val="none" w:sz="0" w:space="0" w:color="auto"/>
        <w:bottom w:val="none" w:sz="0" w:space="0" w:color="auto"/>
        <w:right w:val="none" w:sz="0" w:space="0" w:color="auto"/>
      </w:divBdr>
    </w:div>
    <w:div w:id="1499031769">
      <w:bodyDiv w:val="1"/>
      <w:marLeft w:val="0"/>
      <w:marRight w:val="0"/>
      <w:marTop w:val="0"/>
      <w:marBottom w:val="0"/>
      <w:divBdr>
        <w:top w:val="none" w:sz="0" w:space="0" w:color="auto"/>
        <w:left w:val="none" w:sz="0" w:space="0" w:color="auto"/>
        <w:bottom w:val="none" w:sz="0" w:space="0" w:color="auto"/>
        <w:right w:val="none" w:sz="0" w:space="0" w:color="auto"/>
      </w:divBdr>
    </w:div>
    <w:div w:id="1619217162">
      <w:bodyDiv w:val="1"/>
      <w:marLeft w:val="0"/>
      <w:marRight w:val="0"/>
      <w:marTop w:val="0"/>
      <w:marBottom w:val="0"/>
      <w:divBdr>
        <w:top w:val="none" w:sz="0" w:space="0" w:color="auto"/>
        <w:left w:val="none" w:sz="0" w:space="0" w:color="auto"/>
        <w:bottom w:val="none" w:sz="0" w:space="0" w:color="auto"/>
        <w:right w:val="none" w:sz="0" w:space="0" w:color="auto"/>
      </w:divBdr>
      <w:divsChild>
        <w:div w:id="1164934549">
          <w:marLeft w:val="0"/>
          <w:marRight w:val="0"/>
          <w:marTop w:val="750"/>
          <w:marBottom w:val="3000"/>
          <w:divBdr>
            <w:top w:val="none" w:sz="0" w:space="0" w:color="auto"/>
            <w:left w:val="none" w:sz="0" w:space="0" w:color="auto"/>
            <w:bottom w:val="none" w:sz="0" w:space="0" w:color="auto"/>
            <w:right w:val="none" w:sz="0" w:space="0" w:color="auto"/>
          </w:divBdr>
        </w:div>
      </w:divsChild>
    </w:div>
    <w:div w:id="1752697560">
      <w:bodyDiv w:val="1"/>
      <w:marLeft w:val="0"/>
      <w:marRight w:val="0"/>
      <w:marTop w:val="0"/>
      <w:marBottom w:val="0"/>
      <w:divBdr>
        <w:top w:val="none" w:sz="0" w:space="0" w:color="auto"/>
        <w:left w:val="none" w:sz="0" w:space="0" w:color="auto"/>
        <w:bottom w:val="none" w:sz="0" w:space="0" w:color="auto"/>
        <w:right w:val="none" w:sz="0" w:space="0" w:color="auto"/>
      </w:divBdr>
    </w:div>
    <w:div w:id="1894151876">
      <w:bodyDiv w:val="1"/>
      <w:marLeft w:val="0"/>
      <w:marRight w:val="0"/>
      <w:marTop w:val="0"/>
      <w:marBottom w:val="0"/>
      <w:divBdr>
        <w:top w:val="none" w:sz="0" w:space="0" w:color="auto"/>
        <w:left w:val="none" w:sz="0" w:space="0" w:color="auto"/>
        <w:bottom w:val="none" w:sz="0" w:space="0" w:color="auto"/>
        <w:right w:val="none" w:sz="0" w:space="0" w:color="auto"/>
      </w:divBdr>
    </w:div>
    <w:div w:id="21467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cgi-bin/laws/main.cgi?nreg=875-12" TargetMode="External"/><Relationship Id="rId18" Type="http://schemas.openxmlformats.org/officeDocument/2006/relationships/hyperlink" Target="https://zakon.rada.gov.ua/go/2011-12" TargetMode="External"/><Relationship Id="rId26" Type="http://schemas.openxmlformats.org/officeDocument/2006/relationships/hyperlink" Target="https://zakon.rada.gov.ua/go/1727-15/ed20130701" TargetMode="External"/><Relationship Id="rId39" Type="http://schemas.openxmlformats.org/officeDocument/2006/relationships/hyperlink" Target="https://zakon.rada.gov.ua/go/558-2004-%D0%BF" TargetMode="External"/><Relationship Id="rId21" Type="http://schemas.openxmlformats.org/officeDocument/2006/relationships/hyperlink" Target="http://zakon2.rada.gov.ua/laws/show/1381-2011-%D0%BF" TargetMode="External"/><Relationship Id="rId34" Type="http://schemas.openxmlformats.org/officeDocument/2006/relationships/hyperlink" Target="https://zakon.rada.gov.ua/go/440-2014-%D0%BF" TargetMode="External"/><Relationship Id="rId42" Type="http://schemas.openxmlformats.org/officeDocument/2006/relationships/hyperlink" Target="https://zakon.rada.gov.ua/go/936-2005-%D0%BF" TargetMode="External"/><Relationship Id="rId47" Type="http://schemas.openxmlformats.org/officeDocument/2006/relationships/hyperlink" Target="https://zakon.rada.gov.ua/go/268-2011-%D0%BF" TargetMode="External"/><Relationship Id="rId50" Type="http://schemas.openxmlformats.org/officeDocument/2006/relationships/hyperlink" Target="https://zakon.rada.gov.ua/go/z0390-16" TargetMode="External"/><Relationship Id="rId7" Type="http://schemas.openxmlformats.org/officeDocument/2006/relationships/hyperlink" Target="http://zakon1.rada.gov.ua/cgi-bin/laws/main.cgi?nreg=3668-17" TargetMode="External"/><Relationship Id="rId2" Type="http://schemas.openxmlformats.org/officeDocument/2006/relationships/styles" Target="styles.xml"/><Relationship Id="rId16" Type="http://schemas.openxmlformats.org/officeDocument/2006/relationships/hyperlink" Target="http://zakon1.rada.gov.ua/cgi-bin/laws/main.cgi?nreg=796-12" TargetMode="External"/><Relationship Id="rId29" Type="http://schemas.openxmlformats.org/officeDocument/2006/relationships/hyperlink" Target="https://zakon.rada.gov.ua/go/4901-17" TargetMode="External"/><Relationship Id="rId11" Type="http://schemas.openxmlformats.org/officeDocument/2006/relationships/hyperlink" Target="http://zakon1.rada.gov.ua/cgi-bin/laws/main.cgi?nreg=3551-12" TargetMode="External"/><Relationship Id="rId24" Type="http://schemas.openxmlformats.org/officeDocument/2006/relationships/hyperlink" Target="https://zakon.rada.gov.ua/go/875-12" TargetMode="External"/><Relationship Id="rId32" Type="http://schemas.openxmlformats.org/officeDocument/2006/relationships/hyperlink" Target="https://zakon.rada.gov.ua/go/1210-2011-%D0%BF" TargetMode="External"/><Relationship Id="rId37" Type="http://schemas.openxmlformats.org/officeDocument/2006/relationships/hyperlink" Target="https://zakon.rada.gov.ua/go/250-2003-%D0%BF" TargetMode="External"/><Relationship Id="rId40" Type="http://schemas.openxmlformats.org/officeDocument/2006/relationships/hyperlink" Target="https://zakon.rada.gov.ua/go/233-2019-%D0%BF" TargetMode="External"/><Relationship Id="rId45" Type="http://schemas.openxmlformats.org/officeDocument/2006/relationships/hyperlink" Target="https://zakon.rada.gov.ua/go/848-95-%D0%B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rada.gov.ua/cgi-bin/laws/main.cgi?nreg=1533-14" TargetMode="External"/><Relationship Id="rId19" Type="http://schemas.openxmlformats.org/officeDocument/2006/relationships/hyperlink" Target="https://zakon.rada.gov.ua/go/2195-15" TargetMode="External"/><Relationship Id="rId31" Type="http://schemas.openxmlformats.org/officeDocument/2006/relationships/hyperlink" Target="https://zakon.rada.gov.ua/go/261-2005-%D0%BF" TargetMode="External"/><Relationship Id="rId44" Type="http://schemas.openxmlformats.org/officeDocument/2006/relationships/hyperlink" Target="https://zakon.rada.gov.ua/go/1029-2016-%D0%B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rada.gov.ua/cgi-bin/laws/main.cgi?nreg=1058-15" TargetMode="External"/><Relationship Id="rId14" Type="http://schemas.openxmlformats.org/officeDocument/2006/relationships/hyperlink" Target="http://zakon1.rada.gov.ua/laws/show/5067-17" TargetMode="External"/><Relationship Id="rId22" Type="http://schemas.openxmlformats.org/officeDocument/2006/relationships/hyperlink" Target="http://zakon2.rada.gov.ua/laws/show/530-2008-%D0%BF" TargetMode="External"/><Relationship Id="rId27" Type="http://schemas.openxmlformats.org/officeDocument/2006/relationships/hyperlink" Target="https://zakon.rada.gov.ua/go/2671-19" TargetMode="External"/><Relationship Id="rId30" Type="http://schemas.openxmlformats.org/officeDocument/2006/relationships/hyperlink" Target="https://zakon.rada.gov.ua/go/1751-2001-%D0%BF" TargetMode="External"/><Relationship Id="rId35" Type="http://schemas.openxmlformats.org/officeDocument/2006/relationships/hyperlink" Target="https://zakon.rada.gov.ua/go/250-2003-%D0%BF" TargetMode="External"/><Relationship Id="rId43" Type="http://schemas.openxmlformats.org/officeDocument/2006/relationships/hyperlink" Target="https://zakon.rada.gov.ua/go/854-2016-%D0%BF" TargetMode="External"/><Relationship Id="rId48" Type="http://schemas.openxmlformats.org/officeDocument/2006/relationships/hyperlink" Target="https://zakon.rada.gov.ua/go/z0466-02" TargetMode="External"/><Relationship Id="rId8" Type="http://schemas.openxmlformats.org/officeDocument/2006/relationships/hyperlink" Target="http://zakon1.rada.gov.ua/cgi-bin/laws/main.cgi?nreg=2195-15" TargetMode="External"/><Relationship Id="rId51" Type="http://schemas.openxmlformats.org/officeDocument/2006/relationships/hyperlink" Target="https://zakon.rada.gov.ua/go/z0163-18" TargetMode="External"/><Relationship Id="rId3" Type="http://schemas.openxmlformats.org/officeDocument/2006/relationships/settings" Target="settings.xml"/><Relationship Id="rId12" Type="http://schemas.openxmlformats.org/officeDocument/2006/relationships/hyperlink" Target="http://zakon1.rada.gov.ua/cgi-bin/laws/main.cgi?nreg=2811-12" TargetMode="External"/><Relationship Id="rId17" Type="http://schemas.openxmlformats.org/officeDocument/2006/relationships/hyperlink" Target="https://zakon.rada.gov.ua/go/3721-12" TargetMode="External"/><Relationship Id="rId25" Type="http://schemas.openxmlformats.org/officeDocument/2006/relationships/hyperlink" Target="https://zakon.rada.gov.ua/go/2623-15" TargetMode="External"/><Relationship Id="rId33" Type="http://schemas.openxmlformats.org/officeDocument/2006/relationships/hyperlink" Target="https://zakon.rada.gov.ua/go/637-93-%D0%BF" TargetMode="External"/><Relationship Id="rId38" Type="http://schemas.openxmlformats.org/officeDocument/2006/relationships/hyperlink" Target="https://zakon.rada.gov.ua/go/999-2006-%D0%BF" TargetMode="External"/><Relationship Id="rId46" Type="http://schemas.openxmlformats.org/officeDocument/2006/relationships/hyperlink" Target="https://zakon.rada.gov.ua/go/256-2017-%D0%BF" TargetMode="External"/><Relationship Id="rId20" Type="http://schemas.openxmlformats.org/officeDocument/2006/relationships/hyperlink" Target="http://zakon4.rada.gov.ua/laws/show/384/2011" TargetMode="External"/><Relationship Id="rId41" Type="http://schemas.openxmlformats.org/officeDocument/2006/relationships/hyperlink" Target="https://zakon.rada.gov.ua/go/785-2004-%D0%B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go/2017-14" TargetMode="External"/><Relationship Id="rId23" Type="http://schemas.openxmlformats.org/officeDocument/2006/relationships/hyperlink" Target="https://zakon.rada.gov.ua/go/2109-14" TargetMode="External"/><Relationship Id="rId28" Type="http://schemas.openxmlformats.org/officeDocument/2006/relationships/hyperlink" Target="https://zakon.rada.gov.ua/go/1223-18" TargetMode="External"/><Relationship Id="rId36" Type="http://schemas.openxmlformats.org/officeDocument/2006/relationships/hyperlink" Target="https://zakon.rada.gov.ua/go/649-2018-%D0%BF" TargetMode="External"/><Relationship Id="rId49" Type="http://schemas.openxmlformats.org/officeDocument/2006/relationships/hyperlink" Target="https://zakon.rada.gov.ua/go/z156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11205</Words>
  <Characters>6388</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3</cp:revision>
  <dcterms:created xsi:type="dcterms:W3CDTF">2024-10-14T15:21:00Z</dcterms:created>
  <dcterms:modified xsi:type="dcterms:W3CDTF">2024-10-15T08:37:00Z</dcterms:modified>
</cp:coreProperties>
</file>