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F4" w:rsidRPr="00D26224" w:rsidRDefault="00CA0EF4" w:rsidP="00CA0EF4">
      <w:pPr>
        <w:widowControl/>
        <w:autoSpaceDE w:val="0"/>
        <w:autoSpaceDN w:val="0"/>
        <w:spacing w:line="360" w:lineRule="auto"/>
        <w:ind w:firstLine="720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D26224">
        <w:rPr>
          <w:b/>
          <w:color w:val="000000"/>
          <w:sz w:val="28"/>
          <w:szCs w:val="28"/>
          <w:lang w:val="uk-UA" w:eastAsia="uk-UA"/>
        </w:rPr>
        <w:t>Перелік питань до екзамену/заліку з навчальної дисциплін</w:t>
      </w:r>
      <w:r>
        <w:rPr>
          <w:b/>
          <w:color w:val="000000"/>
          <w:sz w:val="28"/>
          <w:szCs w:val="28"/>
          <w:lang w:val="uk-UA" w:eastAsia="uk-UA"/>
        </w:rPr>
        <w:t xml:space="preserve"> «</w:t>
      </w:r>
      <w:r w:rsidRPr="00CA0EF4">
        <w:rPr>
          <w:b/>
          <w:bCs/>
          <w:color w:val="000000"/>
          <w:sz w:val="28"/>
          <w:szCs w:val="28"/>
          <w:lang w:eastAsia="uk-UA"/>
        </w:rPr>
        <w:t xml:space="preserve">Роль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Конвенції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захист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прав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людини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основоположних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свобод та практики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Європейського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суду з прав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людини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здійсненні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правосуддя</w:t>
      </w:r>
      <w:proofErr w:type="spellEnd"/>
      <w:r w:rsidRPr="00CA0EF4">
        <w:rPr>
          <w:b/>
          <w:bCs/>
          <w:color w:val="000000"/>
          <w:sz w:val="28"/>
          <w:szCs w:val="28"/>
          <w:lang w:eastAsia="uk-UA"/>
        </w:rPr>
        <w:t xml:space="preserve"> в </w:t>
      </w:r>
      <w:proofErr w:type="spellStart"/>
      <w:r w:rsidRPr="00CA0EF4">
        <w:rPr>
          <w:b/>
          <w:bCs/>
          <w:color w:val="000000"/>
          <w:sz w:val="28"/>
          <w:szCs w:val="28"/>
          <w:lang w:eastAsia="uk-UA"/>
        </w:rPr>
        <w:t>Україні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>»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Історичні передумови прийняття Конвенція про захист прав людини і основоположних свобод.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Конвенція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захист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свобод як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міжнародний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договір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: структура,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набуття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чинності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денонсація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застереження</w:t>
      </w:r>
      <w:proofErr w:type="spellEnd"/>
      <w:r w:rsidRPr="00186E55">
        <w:rPr>
          <w:rFonts w:eastAsia="Calibri"/>
          <w:sz w:val="28"/>
          <w:szCs w:val="28"/>
          <w:lang w:val="uk-UA" w:eastAsia="en-US"/>
        </w:rPr>
        <w:t>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eastAsia="en-US"/>
        </w:rPr>
        <w:t xml:space="preserve">Каталог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що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захищаються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Конвенцією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захист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свобод</w:t>
      </w:r>
      <w:r w:rsidRPr="00186E55">
        <w:rPr>
          <w:rFonts w:eastAsia="Calibri"/>
          <w:sz w:val="28"/>
          <w:szCs w:val="28"/>
          <w:lang w:val="uk-UA" w:eastAsia="en-US"/>
        </w:rPr>
        <w:t xml:space="preserve"> і додатковими протоколами до неї.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b/>
          <w:sz w:val="28"/>
          <w:szCs w:val="28"/>
          <w:lang w:val="uk-UA"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Імплементація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Конвенції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захист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і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основоположних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свобод 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національний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правопорядок: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загальна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характеристика.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Місце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Конвенції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правовій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системі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>.</w:t>
      </w:r>
    </w:p>
    <w:p w:rsidR="00186E55" w:rsidRPr="00186E55" w:rsidRDefault="00186E55" w:rsidP="00186E55">
      <w:pPr>
        <w:pStyle w:val="a3"/>
        <w:numPr>
          <w:ilvl w:val="0"/>
          <w:numId w:val="11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Обмеження прав і свобод, закріпле</w:t>
      </w:r>
      <w:r>
        <w:rPr>
          <w:rFonts w:eastAsia="Calibri"/>
          <w:sz w:val="28"/>
          <w:szCs w:val="28"/>
          <w:lang w:val="uk-UA" w:eastAsia="en-US"/>
        </w:rPr>
        <w:t xml:space="preserve">них у Конвенції про захист прав </w:t>
      </w:r>
      <w:r w:rsidRPr="00186E55">
        <w:rPr>
          <w:rFonts w:eastAsia="Calibri"/>
          <w:sz w:val="28"/>
          <w:szCs w:val="28"/>
          <w:lang w:val="uk-UA" w:eastAsia="en-US"/>
        </w:rPr>
        <w:t>людини і основоположних свобод 1950 р.: поняття та правомірні підстави.</w:t>
      </w:r>
    </w:p>
    <w:p w:rsidR="00186E55" w:rsidRPr="00186E55" w:rsidRDefault="00186E55" w:rsidP="00186E55">
      <w:pPr>
        <w:pStyle w:val="a3"/>
        <w:numPr>
          <w:ilvl w:val="0"/>
          <w:numId w:val="11"/>
        </w:numPr>
        <w:spacing w:line="360" w:lineRule="auto"/>
        <w:ind w:left="0" w:firstLine="720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Відступ держав від своїх зобов’язань у сфері прав людини</w:t>
      </w:r>
      <w:r w:rsidRPr="00186E55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86E55">
        <w:rPr>
          <w:rFonts w:eastAsia="Calibri"/>
          <w:sz w:val="28"/>
          <w:szCs w:val="28"/>
          <w:lang w:val="uk-UA" w:eastAsia="en-US"/>
        </w:rPr>
        <w:t>у випадку війни або суспільної небезпеки: поняття та правомірні підстави.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Загальна характеристика контрольного механізму Конвенції про захист прав людини і основоположних свобод.</w:t>
      </w:r>
    </w:p>
    <w:p w:rsid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 xml:space="preserve">Європейський суд з прав людини: організаційна структура, компетенція і порядок роботи.  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F87BB1">
        <w:rPr>
          <w:rFonts w:eastAsia="Calibri"/>
          <w:sz w:val="28"/>
          <w:szCs w:val="28"/>
          <w:lang w:eastAsia="en-US"/>
        </w:rPr>
        <w:t xml:space="preserve">Порядок та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особливості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розгляду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заяв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r w:rsidRPr="00F87BB1">
        <w:rPr>
          <w:rFonts w:eastAsia="Calibri"/>
          <w:sz w:val="28"/>
          <w:szCs w:val="28"/>
          <w:lang w:val="uk-UA" w:eastAsia="en-US"/>
        </w:rPr>
        <w:t>с</w:t>
      </w:r>
      <w:r>
        <w:rPr>
          <w:rFonts w:eastAsia="Calibri"/>
          <w:sz w:val="28"/>
          <w:szCs w:val="28"/>
          <w:lang w:val="uk-UA" w:eastAsia="en-US"/>
        </w:rPr>
        <w:t xml:space="preserve">уддями, які засідають </w:t>
      </w:r>
      <w:proofErr w:type="spellStart"/>
      <w:r>
        <w:rPr>
          <w:rFonts w:eastAsia="Calibri"/>
          <w:sz w:val="28"/>
          <w:szCs w:val="28"/>
          <w:lang w:val="uk-UA" w:eastAsia="en-US"/>
        </w:rPr>
        <w:t>одноособо</w:t>
      </w:r>
      <w:r w:rsidRPr="00F87BB1">
        <w:rPr>
          <w:rFonts w:eastAsia="Calibri"/>
          <w:sz w:val="28"/>
          <w:szCs w:val="28"/>
          <w:lang w:val="uk-UA" w:eastAsia="en-US"/>
        </w:rPr>
        <w:t>о</w:t>
      </w:r>
      <w:proofErr w:type="spellEnd"/>
      <w:r w:rsidRPr="00F87BB1">
        <w:rPr>
          <w:rFonts w:eastAsia="Calibri"/>
          <w:sz w:val="28"/>
          <w:szCs w:val="28"/>
          <w:lang w:val="uk-UA" w:eastAsia="en-US"/>
        </w:rPr>
        <w:t xml:space="preserve">, </w:t>
      </w:r>
      <w:r w:rsidRPr="00F87BB1">
        <w:rPr>
          <w:rFonts w:eastAsia="Calibri"/>
          <w:sz w:val="28"/>
          <w:szCs w:val="28"/>
          <w:lang w:eastAsia="en-US"/>
        </w:rPr>
        <w:t xml:space="preserve">у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комітетах</w:t>
      </w:r>
      <w:proofErr w:type="spellEnd"/>
      <w:r w:rsidRPr="00F87BB1">
        <w:rPr>
          <w:rFonts w:eastAsia="Calibri"/>
          <w:sz w:val="28"/>
          <w:szCs w:val="28"/>
          <w:lang w:val="uk-UA" w:eastAsia="en-US"/>
        </w:rPr>
        <w:t xml:space="preserve"> із трьох суддів, п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алатах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</w:t>
      </w:r>
      <w:r w:rsidRPr="00F87BB1">
        <w:rPr>
          <w:rFonts w:eastAsia="Calibri"/>
          <w:sz w:val="28"/>
          <w:szCs w:val="28"/>
          <w:lang w:val="uk-UA" w:eastAsia="en-US"/>
        </w:rPr>
        <w:t xml:space="preserve">із семи суддів та у Великій палаті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Європейсь</w:t>
      </w:r>
      <w:bookmarkStart w:id="0" w:name="_GoBack"/>
      <w:bookmarkEnd w:id="0"/>
      <w:r w:rsidRPr="00F87BB1">
        <w:rPr>
          <w:rFonts w:eastAsia="Calibri"/>
          <w:sz w:val="28"/>
          <w:szCs w:val="28"/>
          <w:lang w:eastAsia="en-US"/>
        </w:rPr>
        <w:t>кого</w:t>
      </w:r>
      <w:proofErr w:type="spellEnd"/>
      <w:r w:rsidRPr="00F87BB1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F87BB1">
        <w:rPr>
          <w:rFonts w:eastAsia="Calibri"/>
          <w:sz w:val="28"/>
          <w:szCs w:val="28"/>
          <w:lang w:eastAsia="en-US"/>
        </w:rPr>
        <w:t>людини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Юрисдикція Європейського суду з прав людини: предметна, за колом осіб, територіальна.</w:t>
      </w:r>
    </w:p>
    <w:p w:rsid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val="uk-UA"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 xml:space="preserve">Інститут </w:t>
      </w:r>
      <w:proofErr w:type="spellStart"/>
      <w:r w:rsidRPr="00186E55">
        <w:rPr>
          <w:rFonts w:eastAsia="Calibri"/>
          <w:sz w:val="28"/>
          <w:szCs w:val="28"/>
          <w:lang w:val="uk-UA" w:eastAsia="en-US"/>
        </w:rPr>
        <w:t>преюдиційного</w:t>
      </w:r>
      <w:proofErr w:type="spellEnd"/>
      <w:r w:rsidRPr="00186E55">
        <w:rPr>
          <w:rFonts w:eastAsia="Calibri"/>
          <w:sz w:val="28"/>
          <w:szCs w:val="28"/>
          <w:lang w:val="uk-UA" w:eastAsia="en-US"/>
        </w:rPr>
        <w:t xml:space="preserve"> висновку (Протокол №16 Конвенції про захист прав людини і основоположних свобод).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lastRenderedPageBreak/>
        <w:t>Підстави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та порядок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звернення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. 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Умови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прийнятності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індивідуальної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заяви до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процесуальні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змістовні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(по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суті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),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юрисдикційні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критерії</w:t>
      </w:r>
      <w:proofErr w:type="spellEnd"/>
      <w:r w:rsidRPr="00186E55">
        <w:rPr>
          <w:rFonts w:eastAsia="Calibri"/>
          <w:sz w:val="28"/>
          <w:szCs w:val="28"/>
          <w:lang w:eastAsia="en-US"/>
        </w:rPr>
        <w:t>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Вимоги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індивідуальної</w:t>
      </w:r>
      <w:proofErr w:type="spellEnd"/>
      <w:r w:rsidRPr="00186E55">
        <w:rPr>
          <w:rFonts w:eastAsia="Calibri"/>
          <w:sz w:val="28"/>
          <w:szCs w:val="28"/>
          <w:lang w:val="uk-UA" w:eastAsia="en-US"/>
        </w:rPr>
        <w:t xml:space="preserve"> заяви (скарги) до Європейського Суду з прав людини. 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Нагляд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виконанням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рішень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з боку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Комітету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Міністрів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Ради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>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Пілотні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рішення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. 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Національна процедура виконання рішень Європейського суду з прав людини щодо України.</w:t>
      </w:r>
      <w:r w:rsidRPr="00186E55">
        <w:rPr>
          <w:rFonts w:eastAsia="Calibri"/>
          <w:sz w:val="28"/>
          <w:szCs w:val="28"/>
          <w:lang w:eastAsia="en-US"/>
        </w:rPr>
        <w:t xml:space="preserve"> 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Застосування судами Конвенції та практики Європейського суду з прав людини як джерела права.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Застосування Конвенції та практики Європейського суду з прав людини органами законодавчої гілки влади.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r w:rsidRPr="00186E55">
        <w:rPr>
          <w:rFonts w:eastAsia="Calibri"/>
          <w:sz w:val="28"/>
          <w:szCs w:val="28"/>
          <w:lang w:val="uk-UA" w:eastAsia="en-US"/>
        </w:rPr>
        <w:t>Застосування Конвенції та практики Європейського суду з прав людини органами виконавчої влади та іншими адміністративними органами.</w:t>
      </w:r>
    </w:p>
    <w:p w:rsidR="00186E55" w:rsidRPr="00186E55" w:rsidRDefault="00186E55" w:rsidP="00186E55">
      <w:pPr>
        <w:pStyle w:val="a3"/>
        <w:widowControl/>
        <w:numPr>
          <w:ilvl w:val="0"/>
          <w:numId w:val="11"/>
        </w:numPr>
        <w:adjustRightInd/>
        <w:spacing w:line="360" w:lineRule="auto"/>
        <w:ind w:left="0" w:firstLine="720"/>
        <w:textAlignment w:val="auto"/>
        <w:rPr>
          <w:rFonts w:eastAsia="Calibri"/>
          <w:sz w:val="28"/>
          <w:szCs w:val="28"/>
          <w:lang w:eastAsia="en-US"/>
        </w:rPr>
      </w:pPr>
      <w:proofErr w:type="spellStart"/>
      <w:r w:rsidRPr="00186E55">
        <w:rPr>
          <w:rFonts w:eastAsia="Calibri"/>
          <w:sz w:val="28"/>
          <w:szCs w:val="28"/>
          <w:lang w:eastAsia="en-US"/>
        </w:rPr>
        <w:t>Відповідальність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невиконання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чи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неналежне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рішень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Європейського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 суду з прав </w:t>
      </w:r>
      <w:proofErr w:type="spellStart"/>
      <w:r w:rsidRPr="00186E55">
        <w:rPr>
          <w:rFonts w:eastAsia="Calibri"/>
          <w:sz w:val="28"/>
          <w:szCs w:val="28"/>
          <w:lang w:eastAsia="en-US"/>
        </w:rPr>
        <w:t>людини</w:t>
      </w:r>
      <w:proofErr w:type="spellEnd"/>
      <w:r w:rsidRPr="00186E55">
        <w:rPr>
          <w:rFonts w:eastAsia="Calibri"/>
          <w:sz w:val="28"/>
          <w:szCs w:val="28"/>
          <w:lang w:eastAsia="en-US"/>
        </w:rPr>
        <w:t xml:space="preserve">. </w:t>
      </w:r>
    </w:p>
    <w:p w:rsidR="00186E55" w:rsidRPr="00925015" w:rsidRDefault="00186E55" w:rsidP="00186E55">
      <w:pPr>
        <w:widowControl/>
        <w:adjustRightInd/>
        <w:spacing w:line="360" w:lineRule="auto"/>
        <w:ind w:firstLine="720"/>
        <w:textAlignment w:val="auto"/>
        <w:rPr>
          <w:rFonts w:eastAsia="Calibri"/>
          <w:sz w:val="28"/>
          <w:szCs w:val="28"/>
          <w:lang w:eastAsia="en-US"/>
        </w:rPr>
      </w:pPr>
    </w:p>
    <w:p w:rsidR="007F2797" w:rsidRPr="00186E55" w:rsidRDefault="007F2797"/>
    <w:sectPr w:rsidR="007F2797" w:rsidRPr="00186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FFA"/>
    <w:multiLevelType w:val="hybridMultilevel"/>
    <w:tmpl w:val="53CE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D32"/>
    <w:multiLevelType w:val="hybridMultilevel"/>
    <w:tmpl w:val="833C21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94C9B"/>
    <w:multiLevelType w:val="hybridMultilevel"/>
    <w:tmpl w:val="2CA05AA0"/>
    <w:lvl w:ilvl="0" w:tplc="0BBA441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22F72"/>
    <w:multiLevelType w:val="hybridMultilevel"/>
    <w:tmpl w:val="62B08FDE"/>
    <w:lvl w:ilvl="0" w:tplc="8D80F6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8490F"/>
    <w:multiLevelType w:val="hybridMultilevel"/>
    <w:tmpl w:val="00FC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0E96"/>
    <w:multiLevelType w:val="hybridMultilevel"/>
    <w:tmpl w:val="63D2038A"/>
    <w:lvl w:ilvl="0" w:tplc="F380FF32">
      <w:start w:val="1"/>
      <w:numFmt w:val="decimal"/>
      <w:lvlText w:val="%1)"/>
      <w:lvlJc w:val="left"/>
      <w:pPr>
        <w:ind w:left="1125" w:hanging="360"/>
      </w:pPr>
      <w:rPr>
        <w:rFonts w:hint="default"/>
        <w:b w:val="0"/>
        <w:lang w:val="ru-RU"/>
      </w:rPr>
    </w:lvl>
    <w:lvl w:ilvl="1" w:tplc="04090011">
      <w:start w:val="1"/>
      <w:numFmt w:val="decimal"/>
      <w:lvlText w:val="%2)"/>
      <w:lvlJc w:val="left"/>
      <w:pPr>
        <w:ind w:left="184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74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D504D11"/>
    <w:multiLevelType w:val="hybridMultilevel"/>
    <w:tmpl w:val="808C1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A20308"/>
    <w:multiLevelType w:val="hybridMultilevel"/>
    <w:tmpl w:val="DB5C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5FDA"/>
    <w:multiLevelType w:val="hybridMultilevel"/>
    <w:tmpl w:val="1802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6C00"/>
    <w:multiLevelType w:val="hybridMultilevel"/>
    <w:tmpl w:val="10E68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E27BA"/>
    <w:multiLevelType w:val="hybridMultilevel"/>
    <w:tmpl w:val="558A1080"/>
    <w:lvl w:ilvl="0" w:tplc="7EBEDB3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66"/>
    <w:rsid w:val="00186E55"/>
    <w:rsid w:val="007F2797"/>
    <w:rsid w:val="00B47066"/>
    <w:rsid w:val="00C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6660"/>
  <w15:chartTrackingRefBased/>
  <w15:docId w15:val="{223EC101-1BA3-4986-AFF5-4DB30362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F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3</cp:revision>
  <dcterms:created xsi:type="dcterms:W3CDTF">2024-11-05T10:41:00Z</dcterms:created>
  <dcterms:modified xsi:type="dcterms:W3CDTF">2024-11-05T10:50:00Z</dcterms:modified>
</cp:coreProperties>
</file>