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80" w:rsidRPr="008446DC" w:rsidRDefault="008446DC" w:rsidP="00844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6DC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8446DC" w:rsidRPr="008446DC" w:rsidRDefault="000815CB" w:rsidP="00081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Підготовка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8446DC" w:rsidRPr="00EF5EC6" w:rsidRDefault="008446DC" w:rsidP="009021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5EC6">
        <w:rPr>
          <w:rFonts w:ascii="Times New Roman" w:hAnsi="Times New Roman" w:cs="Times New Roman"/>
          <w:sz w:val="28"/>
          <w:szCs w:val="28"/>
        </w:rPr>
        <w:t>Завдання 1</w:t>
      </w:r>
    </w:p>
    <w:p w:rsidR="008446DC" w:rsidRDefault="008446DC" w:rsidP="00902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DC">
        <w:rPr>
          <w:rFonts w:ascii="Times New Roman" w:hAnsi="Times New Roman" w:cs="Times New Roman"/>
          <w:sz w:val="28"/>
          <w:szCs w:val="28"/>
        </w:rPr>
        <w:t>Визначте ціну продажу. Вихідні дані для економічних розрахунків визначено в таблиці.</w:t>
      </w:r>
    </w:p>
    <w:p w:rsidR="008446DC" w:rsidRPr="008446DC" w:rsidRDefault="008446DC" w:rsidP="00902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1"/>
        <w:gridCol w:w="2338"/>
      </w:tblGrid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DC" w:rsidRPr="008446DC" w:rsidRDefault="008446DC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DC" w:rsidRPr="008446DC" w:rsidRDefault="008446DC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Витрати на од.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8446DC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1.Сировина т</w:t>
            </w:r>
            <w:bookmarkStart w:id="0" w:name="_GoBack"/>
            <w:bookmarkEnd w:id="0"/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а матеріали,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.Заробітна плата,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8446DC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1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.Відрахування на соціальні заходи (22%)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8446DC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.Витрати на утримання та експлуатацію обладнання,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.Адміністративні витрати,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.Витрати на збут, грн.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.Нормативний прибуток (до операційних витрат), %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446DC" w:rsidRPr="008446DC" w:rsidTr="008446DC">
        <w:trPr>
          <w:jc w:val="center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0815CB" w:rsidP="00902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46DC" w:rsidRPr="008446DC">
              <w:rPr>
                <w:rFonts w:ascii="Times New Roman" w:hAnsi="Times New Roman" w:cs="Times New Roman"/>
                <w:sz w:val="28"/>
                <w:szCs w:val="28"/>
              </w:rPr>
              <w:t>.ПДВ (20%)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8446DC" w:rsidRDefault="008446DC" w:rsidP="0090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8446DC" w:rsidRDefault="008446DC" w:rsidP="0090212E">
      <w:pPr>
        <w:spacing w:after="0" w:line="240" w:lineRule="auto"/>
      </w:pPr>
    </w:p>
    <w:p w:rsidR="008446DC" w:rsidRPr="0090212E" w:rsidRDefault="0090212E" w:rsidP="0090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 w:rsidR="008446DC" w:rsidRPr="0090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46DC" w:rsidRPr="0090212E" w:rsidRDefault="008446DC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 xml:space="preserve">Беручи базову ціну за 100%, розрахувати відсоток підвищення ціни на обладнання. Запропонована постачальником структура ціни така: Вартість матеріалів — </w:t>
      </w:r>
      <w:r w:rsidR="000815CB">
        <w:rPr>
          <w:rFonts w:ascii="Times New Roman" w:hAnsi="Times New Roman" w:cs="Times New Roman"/>
          <w:sz w:val="28"/>
          <w:szCs w:val="28"/>
        </w:rPr>
        <w:t>45</w:t>
      </w:r>
      <w:r w:rsidRPr="0090212E">
        <w:rPr>
          <w:rFonts w:ascii="Times New Roman" w:hAnsi="Times New Roman" w:cs="Times New Roman"/>
          <w:sz w:val="28"/>
          <w:szCs w:val="28"/>
        </w:rPr>
        <w:t xml:space="preserve">%. Вартість робочої сили — </w:t>
      </w:r>
      <w:r w:rsidR="000815CB">
        <w:rPr>
          <w:rFonts w:ascii="Times New Roman" w:hAnsi="Times New Roman" w:cs="Times New Roman"/>
          <w:sz w:val="28"/>
          <w:szCs w:val="28"/>
        </w:rPr>
        <w:t>30</w:t>
      </w:r>
      <w:r w:rsidRPr="0090212E">
        <w:rPr>
          <w:rFonts w:ascii="Times New Roman" w:hAnsi="Times New Roman" w:cs="Times New Roman"/>
          <w:sz w:val="28"/>
          <w:szCs w:val="28"/>
        </w:rPr>
        <w:t xml:space="preserve">%. Постійні витрати — 25%. Передбачається, що за період постачання ціни на матеріали зростуть на </w:t>
      </w:r>
      <w:r w:rsidR="000815CB">
        <w:rPr>
          <w:rFonts w:ascii="Times New Roman" w:hAnsi="Times New Roman" w:cs="Times New Roman"/>
          <w:sz w:val="28"/>
          <w:szCs w:val="28"/>
        </w:rPr>
        <w:t>15</w:t>
      </w:r>
      <w:r w:rsidRPr="0090212E">
        <w:rPr>
          <w:rFonts w:ascii="Times New Roman" w:hAnsi="Times New Roman" w:cs="Times New Roman"/>
          <w:sz w:val="28"/>
          <w:szCs w:val="28"/>
        </w:rPr>
        <w:t>%, ставка номінальної заробітної плати підвищиться на 25%.</w:t>
      </w:r>
    </w:p>
    <w:p w:rsidR="00EF5EC6" w:rsidRDefault="00EF5EC6" w:rsidP="0090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6DC" w:rsidRPr="0090212E" w:rsidRDefault="0090212E" w:rsidP="0090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3 </w:t>
      </w:r>
    </w:p>
    <w:p w:rsidR="008446DC" w:rsidRPr="0090212E" w:rsidRDefault="008446DC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 xml:space="preserve">Розрахувати відпускну ціну </w:t>
      </w:r>
      <w:r w:rsidR="000815CB">
        <w:rPr>
          <w:rFonts w:ascii="Times New Roman" w:hAnsi="Times New Roman" w:cs="Times New Roman"/>
          <w:sz w:val="28"/>
          <w:szCs w:val="28"/>
        </w:rPr>
        <w:t>товару</w:t>
      </w:r>
      <w:r w:rsidRPr="0090212E">
        <w:rPr>
          <w:rFonts w:ascii="Times New Roman" w:hAnsi="Times New Roman" w:cs="Times New Roman"/>
          <w:sz w:val="28"/>
          <w:szCs w:val="28"/>
        </w:rPr>
        <w:t xml:space="preserve">. Базова ціна </w:t>
      </w:r>
      <w:r w:rsidR="000815CB">
        <w:rPr>
          <w:rFonts w:ascii="Times New Roman" w:hAnsi="Times New Roman" w:cs="Times New Roman"/>
          <w:sz w:val="28"/>
          <w:szCs w:val="28"/>
        </w:rPr>
        <w:t>товару</w:t>
      </w:r>
      <w:r w:rsidRPr="0090212E">
        <w:rPr>
          <w:rFonts w:ascii="Times New Roman" w:hAnsi="Times New Roman" w:cs="Times New Roman"/>
          <w:sz w:val="28"/>
          <w:szCs w:val="28"/>
        </w:rPr>
        <w:t xml:space="preserve"> — </w:t>
      </w:r>
      <w:r w:rsidR="000815CB">
        <w:rPr>
          <w:rFonts w:ascii="Times New Roman" w:hAnsi="Times New Roman" w:cs="Times New Roman"/>
          <w:sz w:val="28"/>
          <w:szCs w:val="28"/>
        </w:rPr>
        <w:t>325</w:t>
      </w:r>
      <w:r w:rsidRPr="0090212E">
        <w:rPr>
          <w:rFonts w:ascii="Times New Roman" w:hAnsi="Times New Roman" w:cs="Times New Roman"/>
          <w:sz w:val="28"/>
          <w:szCs w:val="28"/>
        </w:rPr>
        <w:t xml:space="preserve"> ум. од. Головний технічний параметр, що визначає ціну — продуктивність</w:t>
      </w:r>
      <w:r w:rsidR="000815CB">
        <w:rPr>
          <w:rFonts w:ascii="Times New Roman" w:hAnsi="Times New Roman" w:cs="Times New Roman"/>
          <w:sz w:val="28"/>
          <w:szCs w:val="28"/>
        </w:rPr>
        <w:t xml:space="preserve"> роботи</w:t>
      </w:r>
      <w:r w:rsidRPr="0090212E">
        <w:rPr>
          <w:rFonts w:ascii="Times New Roman" w:hAnsi="Times New Roman" w:cs="Times New Roman"/>
          <w:sz w:val="28"/>
          <w:szCs w:val="28"/>
        </w:rPr>
        <w:t xml:space="preserve">, — при роботі становить </w:t>
      </w:r>
      <w:r w:rsidR="000815CB">
        <w:rPr>
          <w:rFonts w:ascii="Times New Roman" w:hAnsi="Times New Roman" w:cs="Times New Roman"/>
          <w:sz w:val="28"/>
          <w:szCs w:val="28"/>
        </w:rPr>
        <w:t>3650 год</w:t>
      </w:r>
      <w:r w:rsidRPr="0090212E">
        <w:rPr>
          <w:rFonts w:ascii="Times New Roman" w:hAnsi="Times New Roman" w:cs="Times New Roman"/>
          <w:sz w:val="28"/>
          <w:szCs w:val="28"/>
        </w:rPr>
        <w:t xml:space="preserve">. Нова модель має продуктивність — </w:t>
      </w:r>
      <w:r w:rsidR="000815CB">
        <w:rPr>
          <w:rFonts w:ascii="Times New Roman" w:hAnsi="Times New Roman" w:cs="Times New Roman"/>
          <w:sz w:val="28"/>
          <w:szCs w:val="28"/>
        </w:rPr>
        <w:t>4500 год</w:t>
      </w:r>
      <w:r w:rsidRPr="0090212E">
        <w:rPr>
          <w:rFonts w:ascii="Times New Roman" w:hAnsi="Times New Roman" w:cs="Times New Roman"/>
          <w:sz w:val="28"/>
          <w:szCs w:val="28"/>
        </w:rPr>
        <w:t>.</w:t>
      </w:r>
    </w:p>
    <w:p w:rsidR="008446DC" w:rsidRPr="008446DC" w:rsidRDefault="008446DC" w:rsidP="0090212E">
      <w:pPr>
        <w:spacing w:after="0" w:line="240" w:lineRule="auto"/>
        <w:rPr>
          <w:sz w:val="28"/>
          <w:szCs w:val="28"/>
        </w:rPr>
      </w:pPr>
    </w:p>
    <w:p w:rsidR="008446DC" w:rsidRPr="0090212E" w:rsidRDefault="0090212E" w:rsidP="00902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>Завдання 4</w:t>
      </w:r>
    </w:p>
    <w:p w:rsidR="000815CB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 xml:space="preserve">У 2024 році повні витрати на одиницю виробу складали </w:t>
      </w:r>
      <w:r w:rsidR="000815CB">
        <w:rPr>
          <w:rFonts w:ascii="Times New Roman" w:hAnsi="Times New Roman" w:cs="Times New Roman"/>
          <w:sz w:val="28"/>
          <w:szCs w:val="28"/>
        </w:rPr>
        <w:t>5200</w:t>
      </w:r>
      <w:r w:rsidRPr="0090212E">
        <w:rPr>
          <w:rFonts w:ascii="Times New Roman" w:hAnsi="Times New Roman" w:cs="Times New Roman"/>
          <w:sz w:val="28"/>
          <w:szCs w:val="28"/>
        </w:rPr>
        <w:t xml:space="preserve"> грн. Для розрахунку ціни у загальному вигляді використовується коефіцієнт прибутковості (прибуток/ціна) – </w:t>
      </w:r>
      <w:r w:rsidR="000815CB">
        <w:rPr>
          <w:rFonts w:ascii="Times New Roman" w:hAnsi="Times New Roman" w:cs="Times New Roman"/>
          <w:sz w:val="28"/>
          <w:szCs w:val="28"/>
        </w:rPr>
        <w:t>20</w:t>
      </w:r>
      <w:r w:rsidRPr="0090212E">
        <w:rPr>
          <w:rFonts w:ascii="Times New Roman" w:hAnsi="Times New Roman" w:cs="Times New Roman"/>
          <w:sz w:val="28"/>
          <w:szCs w:val="28"/>
        </w:rPr>
        <w:t xml:space="preserve">%. Прогнозується у 2025 році інфляційне збільшення витрат на </w:t>
      </w:r>
      <w:r w:rsidR="000815CB">
        <w:rPr>
          <w:rFonts w:ascii="Times New Roman" w:hAnsi="Times New Roman" w:cs="Times New Roman"/>
          <w:sz w:val="28"/>
          <w:szCs w:val="28"/>
        </w:rPr>
        <w:t>35</w:t>
      </w:r>
      <w:r w:rsidRPr="0090212E">
        <w:rPr>
          <w:rFonts w:ascii="Times New Roman" w:hAnsi="Times New Roman" w:cs="Times New Roman"/>
          <w:sz w:val="28"/>
          <w:szCs w:val="28"/>
        </w:rPr>
        <w:t xml:space="preserve">0 грн. Розрахувати: </w:t>
      </w:r>
    </w:p>
    <w:p w:rsidR="000815CB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 xml:space="preserve">- ціну в 2024 році; </w:t>
      </w:r>
    </w:p>
    <w:p w:rsidR="000815CB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 xml:space="preserve">- прогнозовану ціну з урахуванням відшкодування витрат і збереження існуючого прибутку; </w:t>
      </w:r>
    </w:p>
    <w:p w:rsidR="0090212E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>- прогнозовану ціну з урахуванням відновлення коефіцієнта прибутковості.</w:t>
      </w:r>
    </w:p>
    <w:p w:rsidR="0090212E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12E" w:rsidRPr="0090212E" w:rsidRDefault="0090212E" w:rsidP="00902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>Завдання 5</w:t>
      </w:r>
    </w:p>
    <w:p w:rsidR="0090212E" w:rsidRPr="0090212E" w:rsidRDefault="0090212E" w:rsidP="0090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t>Визначте відпускну ціну товару А і товару В, якщо прямі виробничі витрати товару В 540 грн., товару В 670 грн., загальновиробничі витрати 2300 тис. грн., база розподілу – пряма заробітна плата. Відрядна розцінка товару А 75 грн., товару В 103 грн., обсяг виробництва по 10 000 одиницю. Норма рентабельності 25 %., ПДВ 20 %.</w:t>
      </w:r>
    </w:p>
    <w:p w:rsidR="0090212E" w:rsidRDefault="0090212E" w:rsidP="00902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212E" w:rsidRDefault="0090212E" w:rsidP="00902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212E">
        <w:rPr>
          <w:rFonts w:ascii="Times New Roman" w:hAnsi="Times New Roman" w:cs="Times New Roman"/>
          <w:sz w:val="28"/>
          <w:szCs w:val="28"/>
        </w:rPr>
        <w:lastRenderedPageBreak/>
        <w:t>Завдання 6.</w:t>
      </w:r>
    </w:p>
    <w:p w:rsidR="0090212E" w:rsidRDefault="0090212E" w:rsidP="0008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Визначте цінову еластичність продукції, якщо обсяг продажу на початку періоду 6700 тис. одиниць, на кінець періоду становив 7100 тис. одиниць. Ціна одиниці на початок періоду 680 грн., на кінець періоду </w:t>
      </w:r>
      <w:r w:rsidR="00D27D22">
        <w:rPr>
          <w:rFonts w:ascii="Times New Roman" w:hAnsi="Times New Roman" w:cs="Times New Roman"/>
          <w:sz w:val="28"/>
          <w:szCs w:val="28"/>
        </w:rPr>
        <w:t>690 грн.</w:t>
      </w:r>
    </w:p>
    <w:p w:rsidR="0090212E" w:rsidRDefault="0090212E" w:rsidP="00902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0A52" w:rsidRDefault="00A20A52" w:rsidP="00A20A52">
      <w:pPr>
        <w:spacing w:line="240" w:lineRule="auto"/>
        <w:jc w:val="center"/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</w:pP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%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changeinquantity</w:t>
      </w:r>
      <w:proofErr w:type="spellEnd"/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=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Q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2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−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Q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1</w:t>
      </w:r>
      <w:r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/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(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Q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2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+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Q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1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)/2×100</w:t>
      </w:r>
    </w:p>
    <w:p w:rsidR="00A20A52" w:rsidRPr="00A20A52" w:rsidRDefault="00A20A52" w:rsidP="00A20A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%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changeinprice</w:t>
      </w:r>
      <w:proofErr w:type="spellEnd"/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=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P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2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−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P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1</w:t>
      </w:r>
      <w:r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/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(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P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2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+</w:t>
      </w:r>
      <w:r w:rsidRPr="00A20A52">
        <w:rPr>
          <w:rFonts w:ascii="MathJax_Math-italic" w:eastAsia="Times New Roman" w:hAnsi="MathJax_Math-italic" w:cs="Times New Roman"/>
          <w:sz w:val="28"/>
          <w:szCs w:val="28"/>
          <w:bdr w:val="none" w:sz="0" w:space="0" w:color="auto" w:frame="1"/>
          <w:lang w:eastAsia="uk-UA"/>
        </w:rPr>
        <w:t>P</w:t>
      </w:r>
      <w:r w:rsidRPr="00A20A52">
        <w:rPr>
          <w:rFonts w:ascii="MathJax_Main" w:eastAsia="Times New Roman" w:hAnsi="MathJax_Main" w:cs="Times New Roman"/>
          <w:sz w:val="20"/>
          <w:szCs w:val="20"/>
          <w:bdr w:val="none" w:sz="0" w:space="0" w:color="auto" w:frame="1"/>
          <w:lang w:eastAsia="uk-UA"/>
        </w:rPr>
        <w:t>1</w:t>
      </w:r>
      <w:r w:rsidRPr="00A20A52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eastAsia="uk-UA"/>
        </w:rPr>
        <w:t>)/2×100</w:t>
      </w:r>
    </w:p>
    <w:p w:rsidR="00A20A52" w:rsidRDefault="00A20A52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72C444EC" wp14:editId="6E9519BA">
            <wp:extent cx="6120765" cy="260559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72" t="38510" r="7501" b="27628"/>
                    <a:stretch/>
                  </pic:blipFill>
                  <pic:spPr bwMode="auto">
                    <a:xfrm>
                      <a:off x="0" y="0"/>
                      <a:ext cx="6120765" cy="2605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6DC" w:rsidRPr="008446DC" w:rsidRDefault="008446DC">
      <w:pPr>
        <w:rPr>
          <w:sz w:val="28"/>
          <w:szCs w:val="28"/>
        </w:rPr>
      </w:pPr>
    </w:p>
    <w:sectPr w:rsidR="008446DC" w:rsidRPr="00844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C"/>
    <w:rsid w:val="000815CB"/>
    <w:rsid w:val="001D0980"/>
    <w:rsid w:val="007D190C"/>
    <w:rsid w:val="008446DC"/>
    <w:rsid w:val="0090212E"/>
    <w:rsid w:val="00A20A52"/>
    <w:rsid w:val="00D27D22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75AF"/>
  <w15:chartTrackingRefBased/>
  <w15:docId w15:val="{E0754C16-390C-4BFF-B72A-55752496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2024-10-28T14:14:00Z</dcterms:created>
  <dcterms:modified xsi:type="dcterms:W3CDTF">2024-10-29T04:49:00Z</dcterms:modified>
</cp:coreProperties>
</file>