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76C26" w14:textId="77777777" w:rsidR="00061D1B" w:rsidRDefault="006831F7" w:rsidP="00061D1B">
      <w:pPr>
        <w:pStyle w:val="1"/>
        <w:tabs>
          <w:tab w:val="left" w:pos="1595"/>
        </w:tabs>
        <w:spacing w:after="0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_250036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Лекція №9 </w:t>
      </w:r>
    </w:p>
    <w:p w14:paraId="0E590560" w14:textId="2D302926" w:rsidR="003E0C55" w:rsidRDefault="003E0C55" w:rsidP="00061D1B">
      <w:pPr>
        <w:pStyle w:val="1"/>
        <w:tabs>
          <w:tab w:val="left" w:pos="1595"/>
        </w:tabs>
        <w:spacing w:after="0"/>
        <w:contextualSpacing/>
        <w:jc w:val="center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</w:pPr>
      <w:r w:rsidRPr="006831F7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Перспективи</w:t>
      </w:r>
      <w:r w:rsidRPr="006831F7">
        <w:rPr>
          <w:rFonts w:ascii="Times New Roman" w:hAnsi="Times New Roman" w:cs="Times New Roman"/>
          <w:b/>
          <w:bCs/>
          <w:color w:val="auto"/>
          <w:spacing w:val="-11"/>
          <w:sz w:val="28"/>
          <w:szCs w:val="28"/>
        </w:rPr>
        <w:t xml:space="preserve"> </w:t>
      </w:r>
      <w:bookmarkEnd w:id="0"/>
      <w:r w:rsidRPr="006831F7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розвитку</w:t>
      </w:r>
      <w:r w:rsidR="002F2E3C" w:rsidRPr="006831F7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="006831F7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Столичного та Північно-Західного туристичного регіонів.</w:t>
      </w:r>
    </w:p>
    <w:p w14:paraId="3140F0C1" w14:textId="6BF51AF8" w:rsidR="006831F7" w:rsidRDefault="006831F7" w:rsidP="006831F7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План </w:t>
      </w:r>
    </w:p>
    <w:p w14:paraId="0914A542" w14:textId="5AD220DB" w:rsidR="006831F7" w:rsidRDefault="00061D1B" w:rsidP="00061D1B">
      <w:pPr>
        <w:pStyle w:val="a9"/>
        <w:numPr>
          <w:ilvl w:val="0"/>
          <w:numId w:val="4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Проблеми та перспективи розвитку Столичного туристичного регіону.</w:t>
      </w:r>
    </w:p>
    <w:p w14:paraId="0FEDAC2A" w14:textId="4A43518B" w:rsidR="00061D1B" w:rsidRPr="00061D1B" w:rsidRDefault="00061D1B" w:rsidP="00061D1B">
      <w:pPr>
        <w:pStyle w:val="a9"/>
        <w:numPr>
          <w:ilvl w:val="0"/>
          <w:numId w:val="4"/>
        </w:numPr>
        <w:ind w:left="-142" w:firstLine="502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Проблеми та перспективи розвитку Північно-Західного туристичного регіону.</w:t>
      </w:r>
    </w:p>
    <w:p w14:paraId="082FF6CA" w14:textId="77777777" w:rsidR="003E0C55" w:rsidRDefault="003E0C55" w:rsidP="003E0C55">
      <w:pPr>
        <w:pStyle w:val="ae"/>
        <w:spacing w:before="43"/>
        <w:ind w:left="963" w:firstLine="0"/>
        <w:rPr>
          <w:spacing w:val="-5"/>
        </w:rPr>
      </w:pPr>
      <w:r>
        <w:t>Найважливішими</w:t>
      </w:r>
      <w:r>
        <w:rPr>
          <w:spacing w:val="-13"/>
        </w:rPr>
        <w:t xml:space="preserve"> </w:t>
      </w:r>
      <w:r>
        <w:t>проблемами</w:t>
      </w:r>
      <w:r>
        <w:rPr>
          <w:spacing w:val="-13"/>
        </w:rPr>
        <w:t xml:space="preserve"> </w:t>
      </w:r>
      <w:r>
        <w:t>розвитку</w:t>
      </w:r>
      <w:r>
        <w:rPr>
          <w:spacing w:val="-13"/>
        </w:rPr>
        <w:t xml:space="preserve"> </w:t>
      </w:r>
      <w:r>
        <w:t>Столичного</w:t>
      </w:r>
      <w:r>
        <w:rPr>
          <w:spacing w:val="-5"/>
        </w:rPr>
        <w:t xml:space="preserve"> </w:t>
      </w:r>
      <w:r>
        <w:t>регіону</w:t>
      </w:r>
      <w:r>
        <w:rPr>
          <w:spacing w:val="-15"/>
        </w:rPr>
        <w:t xml:space="preserve"> </w:t>
      </w:r>
      <w:r>
        <w:rPr>
          <w:spacing w:val="-5"/>
        </w:rPr>
        <w:t>є:</w:t>
      </w:r>
    </w:p>
    <w:p w14:paraId="7B111220" w14:textId="3639E093" w:rsidR="003E0C55" w:rsidRPr="006831F7" w:rsidRDefault="003E0C55" w:rsidP="002F2E3C">
      <w:pPr>
        <w:pStyle w:val="a9"/>
        <w:numPr>
          <w:ilvl w:val="0"/>
          <w:numId w:val="1"/>
        </w:numPr>
        <w:tabs>
          <w:tab w:val="left" w:pos="1249"/>
        </w:tabs>
        <w:spacing w:line="276" w:lineRule="auto"/>
        <w:ind w:right="233" w:firstLine="710"/>
        <w:contextualSpacing w:val="0"/>
        <w:jc w:val="both"/>
        <w:rPr>
          <w:sz w:val="28"/>
          <w:szCs w:val="28"/>
        </w:rPr>
      </w:pPr>
      <w:r w:rsidRPr="002F2E3C">
        <w:rPr>
          <w:sz w:val="28"/>
          <w:szCs w:val="28"/>
        </w:rPr>
        <w:t>Київ, як</w:t>
      </w:r>
      <w:r w:rsidRPr="002F2E3C">
        <w:rPr>
          <w:spacing w:val="-1"/>
          <w:sz w:val="28"/>
          <w:szCs w:val="28"/>
        </w:rPr>
        <w:t xml:space="preserve"> </w:t>
      </w:r>
      <w:r w:rsidRPr="002F2E3C">
        <w:rPr>
          <w:sz w:val="28"/>
          <w:szCs w:val="28"/>
        </w:rPr>
        <w:t>столиця держави, має велику притягальну</w:t>
      </w:r>
      <w:r w:rsidRPr="002F2E3C">
        <w:rPr>
          <w:spacing w:val="-4"/>
          <w:sz w:val="28"/>
          <w:szCs w:val="28"/>
        </w:rPr>
        <w:t xml:space="preserve"> </w:t>
      </w:r>
      <w:r w:rsidRPr="002F2E3C">
        <w:rPr>
          <w:sz w:val="28"/>
          <w:szCs w:val="28"/>
        </w:rPr>
        <w:t>силу, внаслідок</w:t>
      </w:r>
      <w:r w:rsidRPr="002F2E3C">
        <w:rPr>
          <w:spacing w:val="-1"/>
          <w:sz w:val="28"/>
          <w:szCs w:val="28"/>
        </w:rPr>
        <w:t xml:space="preserve"> </w:t>
      </w:r>
      <w:r w:rsidRPr="002F2E3C">
        <w:rPr>
          <w:sz w:val="28"/>
          <w:szCs w:val="28"/>
        </w:rPr>
        <w:t>чого місто перенасичене промисловими підприємствами до того ж невдало розміщеними (неврахування рози вітрів привело до того, що ДШК забруднює Печерський район, а завод медпрепаратів ‒ площу Перемоги); місто має значні транспортні проблеми (транспортний зв’язок здійснюється через центр міста, існують диспропорції між розміщенням житлових масивів і місць прикладання праці, а пасажиропотік з лівого на правий берег здійснюється по трьох артеріях</w:t>
      </w:r>
      <w:r w:rsidR="002F2E3C" w:rsidRPr="002F2E3C">
        <w:rPr>
          <w:sz w:val="28"/>
          <w:szCs w:val="28"/>
        </w:rPr>
        <w:t xml:space="preserve"> </w:t>
      </w:r>
      <w:r w:rsidRPr="002F2E3C">
        <w:rPr>
          <w:sz w:val="28"/>
          <w:szCs w:val="28"/>
        </w:rPr>
        <w:t xml:space="preserve">‒ мостах Патона, Метро і </w:t>
      </w:r>
      <w:r w:rsidR="006831F7">
        <w:rPr>
          <w:sz w:val="28"/>
          <w:szCs w:val="28"/>
        </w:rPr>
        <w:t>Північному</w:t>
      </w:r>
      <w:r w:rsidRPr="002F2E3C">
        <w:rPr>
          <w:sz w:val="28"/>
          <w:szCs w:val="28"/>
        </w:rPr>
        <w:t xml:space="preserve">); існує проблема самого статусу міста як столиці, територіального планування міста, створення другого центра Києва </w:t>
      </w:r>
      <w:r w:rsidRPr="006831F7">
        <w:rPr>
          <w:sz w:val="28"/>
          <w:szCs w:val="28"/>
        </w:rPr>
        <w:t xml:space="preserve">(Русанівка) тощо; потребують вирішення екологічні проблеми міста, адже Київ знаходиться в 130 км від Чорнобиля, викиди в атмосферу шкідливих речовин складають 300 тис. т на рік, з яких понад 70 % ‒ це продукти внутрішнього згоряння автомобільних двигунів, а викиди 42 підприємств у кілька разів перевищують ГДК, захворюваність киян на 24 % є </w:t>
      </w:r>
      <w:proofErr w:type="spellStart"/>
      <w:r w:rsidRPr="006831F7">
        <w:rPr>
          <w:sz w:val="28"/>
          <w:szCs w:val="28"/>
        </w:rPr>
        <w:t>вищею</w:t>
      </w:r>
      <w:proofErr w:type="spellEnd"/>
      <w:r w:rsidRPr="006831F7">
        <w:rPr>
          <w:sz w:val="28"/>
          <w:szCs w:val="28"/>
        </w:rPr>
        <w:t>, ніж у</w:t>
      </w:r>
      <w:r w:rsidRPr="006831F7">
        <w:rPr>
          <w:spacing w:val="-2"/>
          <w:sz w:val="28"/>
          <w:szCs w:val="28"/>
        </w:rPr>
        <w:t xml:space="preserve"> </w:t>
      </w:r>
      <w:r w:rsidRPr="006831F7">
        <w:rPr>
          <w:sz w:val="28"/>
          <w:szCs w:val="28"/>
        </w:rPr>
        <w:t>середньому по Україні, а жінок – на 38 % тощо.</w:t>
      </w:r>
    </w:p>
    <w:p w14:paraId="58F13FCC" w14:textId="77777777" w:rsidR="003E0C55" w:rsidRDefault="003E0C55" w:rsidP="003E0C55">
      <w:pPr>
        <w:pStyle w:val="a9"/>
        <w:numPr>
          <w:ilvl w:val="0"/>
          <w:numId w:val="1"/>
        </w:numPr>
        <w:tabs>
          <w:tab w:val="left" w:pos="1355"/>
        </w:tabs>
        <w:spacing w:line="276" w:lineRule="auto"/>
        <w:ind w:right="224" w:firstLine="710"/>
        <w:contextualSpacing w:val="0"/>
        <w:jc w:val="both"/>
        <w:rPr>
          <w:sz w:val="28"/>
          <w:szCs w:val="28"/>
        </w:rPr>
      </w:pPr>
      <w:r w:rsidRPr="006831F7">
        <w:rPr>
          <w:sz w:val="28"/>
          <w:szCs w:val="28"/>
        </w:rPr>
        <w:t>Екологічні проблеми є гострими для всього Столичного регіону. Передусім це пов’язано з Чорнобильською трагедією, у результаті чого частина території району вибула з господарського обігу і відійшла до 30-км зони, а Чорнобиль припинив функціонування як районний центр і промислове ядро господарського вузла. Радіаційно забрудненими є усі області, особливо Київська і Житомирська. Із господарського обігу вилучено багато тисяч</w:t>
      </w:r>
      <w:r w:rsidRPr="006831F7">
        <w:rPr>
          <w:spacing w:val="40"/>
          <w:sz w:val="28"/>
          <w:szCs w:val="28"/>
        </w:rPr>
        <w:t xml:space="preserve"> </w:t>
      </w:r>
      <w:r w:rsidRPr="006831F7">
        <w:rPr>
          <w:sz w:val="28"/>
          <w:szCs w:val="28"/>
        </w:rPr>
        <w:t>гектарів сільськогосподарських угідь, значні площі лісових масивів, створилася ненормальна психологічна обстановка. Через розміщення в зоні значного радіоактивного забруднення майже вилучено з використання Овруцьке родовище кварцитів, Іршанське родовище ільменітів тощо. Анулювались</w:t>
      </w:r>
      <w:r w:rsidRPr="006831F7">
        <w:rPr>
          <w:spacing w:val="40"/>
          <w:sz w:val="28"/>
          <w:szCs w:val="28"/>
        </w:rPr>
        <w:t xml:space="preserve"> </w:t>
      </w:r>
      <w:r w:rsidRPr="006831F7">
        <w:rPr>
          <w:sz w:val="28"/>
          <w:szCs w:val="28"/>
        </w:rPr>
        <w:t>досить перспективні плани створення потужного наукового центру у Вишгороді, будівництво туристичного комплексу у Димері, організація мережі мисливських баз та угідь на правому березі Київського водосховища.</w:t>
      </w:r>
    </w:p>
    <w:p w14:paraId="64FCF8FE" w14:textId="77777777" w:rsidR="00061D1B" w:rsidRPr="006831F7" w:rsidRDefault="00061D1B" w:rsidP="00061D1B">
      <w:pPr>
        <w:pStyle w:val="a9"/>
        <w:tabs>
          <w:tab w:val="left" w:pos="1355"/>
        </w:tabs>
        <w:spacing w:line="276" w:lineRule="auto"/>
        <w:ind w:left="963" w:right="224"/>
        <w:contextualSpacing w:val="0"/>
        <w:rPr>
          <w:sz w:val="28"/>
          <w:szCs w:val="28"/>
        </w:rPr>
      </w:pPr>
    </w:p>
    <w:p w14:paraId="3A295DC9" w14:textId="77777777" w:rsidR="003E0C55" w:rsidRPr="006831F7" w:rsidRDefault="003E0C55" w:rsidP="003E0C55">
      <w:pPr>
        <w:pStyle w:val="a9"/>
        <w:numPr>
          <w:ilvl w:val="0"/>
          <w:numId w:val="1"/>
        </w:numPr>
        <w:tabs>
          <w:tab w:val="left" w:pos="1245"/>
        </w:tabs>
        <w:ind w:left="1245" w:hanging="282"/>
        <w:contextualSpacing w:val="0"/>
        <w:jc w:val="both"/>
        <w:rPr>
          <w:sz w:val="28"/>
          <w:szCs w:val="28"/>
        </w:rPr>
      </w:pPr>
      <w:r w:rsidRPr="006831F7">
        <w:rPr>
          <w:sz w:val="28"/>
          <w:szCs w:val="28"/>
        </w:rPr>
        <w:lastRenderedPageBreak/>
        <w:t>Проблема</w:t>
      </w:r>
      <w:r w:rsidRPr="006831F7">
        <w:rPr>
          <w:spacing w:val="-11"/>
          <w:sz w:val="28"/>
          <w:szCs w:val="28"/>
        </w:rPr>
        <w:t xml:space="preserve"> </w:t>
      </w:r>
      <w:r w:rsidRPr="006831F7">
        <w:rPr>
          <w:sz w:val="28"/>
          <w:szCs w:val="28"/>
        </w:rPr>
        <w:t>непродуманої</w:t>
      </w:r>
      <w:r w:rsidRPr="006831F7">
        <w:rPr>
          <w:spacing w:val="-15"/>
          <w:sz w:val="28"/>
          <w:szCs w:val="28"/>
        </w:rPr>
        <w:t xml:space="preserve"> </w:t>
      </w:r>
      <w:r w:rsidRPr="006831F7">
        <w:rPr>
          <w:sz w:val="28"/>
          <w:szCs w:val="28"/>
        </w:rPr>
        <w:t>меліорації</w:t>
      </w:r>
      <w:r w:rsidRPr="006831F7">
        <w:rPr>
          <w:spacing w:val="-11"/>
          <w:sz w:val="28"/>
          <w:szCs w:val="28"/>
        </w:rPr>
        <w:t xml:space="preserve"> </w:t>
      </w:r>
      <w:r w:rsidRPr="006831F7">
        <w:rPr>
          <w:spacing w:val="-2"/>
          <w:sz w:val="28"/>
          <w:szCs w:val="28"/>
        </w:rPr>
        <w:t>Полісся.</w:t>
      </w:r>
    </w:p>
    <w:p w14:paraId="41F8A67F" w14:textId="10286CB7" w:rsidR="003E0C55" w:rsidRPr="006831F7" w:rsidRDefault="003E0C55" w:rsidP="006831F7">
      <w:pPr>
        <w:pStyle w:val="a9"/>
        <w:numPr>
          <w:ilvl w:val="0"/>
          <w:numId w:val="1"/>
        </w:numPr>
        <w:tabs>
          <w:tab w:val="left" w:pos="1388"/>
        </w:tabs>
        <w:spacing w:before="44" w:line="276" w:lineRule="auto"/>
        <w:ind w:right="235" w:firstLine="710"/>
        <w:contextualSpacing w:val="0"/>
        <w:jc w:val="both"/>
        <w:rPr>
          <w:sz w:val="28"/>
          <w:szCs w:val="28"/>
        </w:rPr>
      </w:pPr>
      <w:r w:rsidRPr="006831F7">
        <w:rPr>
          <w:sz w:val="28"/>
          <w:szCs w:val="28"/>
        </w:rPr>
        <w:t>Проблема переробки, складування і захоронення промислових і побутових відходів, незадовільного стану санітарної очистки міст і сіл. Для Столичного</w:t>
      </w:r>
      <w:r w:rsidRPr="006831F7">
        <w:rPr>
          <w:spacing w:val="37"/>
          <w:sz w:val="28"/>
          <w:szCs w:val="28"/>
        </w:rPr>
        <w:t xml:space="preserve"> </w:t>
      </w:r>
      <w:r w:rsidRPr="006831F7">
        <w:rPr>
          <w:sz w:val="28"/>
          <w:szCs w:val="28"/>
        </w:rPr>
        <w:t>регіону</w:t>
      </w:r>
      <w:r w:rsidRPr="006831F7">
        <w:rPr>
          <w:spacing w:val="36"/>
          <w:sz w:val="28"/>
          <w:szCs w:val="28"/>
        </w:rPr>
        <w:t xml:space="preserve"> </w:t>
      </w:r>
      <w:r w:rsidRPr="006831F7">
        <w:rPr>
          <w:sz w:val="28"/>
          <w:szCs w:val="28"/>
        </w:rPr>
        <w:t>є</w:t>
      </w:r>
      <w:r w:rsidRPr="006831F7">
        <w:rPr>
          <w:spacing w:val="40"/>
          <w:sz w:val="28"/>
          <w:szCs w:val="28"/>
        </w:rPr>
        <w:t xml:space="preserve"> </w:t>
      </w:r>
      <w:r w:rsidRPr="006831F7">
        <w:rPr>
          <w:sz w:val="28"/>
          <w:szCs w:val="28"/>
        </w:rPr>
        <w:t>характерним</w:t>
      </w:r>
      <w:r w:rsidRPr="006831F7">
        <w:rPr>
          <w:spacing w:val="41"/>
          <w:sz w:val="28"/>
          <w:szCs w:val="28"/>
        </w:rPr>
        <w:t xml:space="preserve"> </w:t>
      </w:r>
      <w:r w:rsidRPr="006831F7">
        <w:rPr>
          <w:sz w:val="28"/>
          <w:szCs w:val="28"/>
        </w:rPr>
        <w:t>цілий</w:t>
      </w:r>
      <w:r w:rsidRPr="006831F7">
        <w:rPr>
          <w:spacing w:val="37"/>
          <w:sz w:val="28"/>
          <w:szCs w:val="28"/>
        </w:rPr>
        <w:t xml:space="preserve"> </w:t>
      </w:r>
      <w:r w:rsidRPr="006831F7">
        <w:rPr>
          <w:sz w:val="28"/>
          <w:szCs w:val="28"/>
        </w:rPr>
        <w:t>ряд</w:t>
      </w:r>
      <w:r w:rsidRPr="006831F7">
        <w:rPr>
          <w:spacing w:val="39"/>
          <w:sz w:val="28"/>
          <w:szCs w:val="28"/>
        </w:rPr>
        <w:t xml:space="preserve"> </w:t>
      </w:r>
      <w:r w:rsidRPr="006831F7">
        <w:rPr>
          <w:sz w:val="28"/>
          <w:szCs w:val="28"/>
        </w:rPr>
        <w:t>економічних,</w:t>
      </w:r>
      <w:r w:rsidRPr="006831F7">
        <w:rPr>
          <w:spacing w:val="39"/>
          <w:sz w:val="28"/>
          <w:szCs w:val="28"/>
        </w:rPr>
        <w:t xml:space="preserve"> </w:t>
      </w:r>
      <w:r w:rsidRPr="006831F7">
        <w:rPr>
          <w:spacing w:val="-2"/>
          <w:sz w:val="28"/>
          <w:szCs w:val="28"/>
        </w:rPr>
        <w:t>політичних,</w:t>
      </w:r>
      <w:r w:rsidR="006831F7" w:rsidRPr="006831F7">
        <w:rPr>
          <w:spacing w:val="-2"/>
          <w:sz w:val="28"/>
          <w:szCs w:val="28"/>
        </w:rPr>
        <w:t xml:space="preserve"> </w:t>
      </w:r>
      <w:r w:rsidRPr="006831F7">
        <w:rPr>
          <w:sz w:val="28"/>
          <w:szCs w:val="28"/>
        </w:rPr>
        <w:t xml:space="preserve">соціальних, демографічних та інших проблем. На перспективу у Столичному регіоні прискореними темпами будуть розвиватись соціальний комплекс, насамперед сфера обслуговування, галузі наукоємних та </w:t>
      </w:r>
      <w:proofErr w:type="spellStart"/>
      <w:r w:rsidRPr="006831F7">
        <w:rPr>
          <w:sz w:val="28"/>
          <w:szCs w:val="28"/>
        </w:rPr>
        <w:t>працеємних</w:t>
      </w:r>
      <w:proofErr w:type="spellEnd"/>
      <w:r w:rsidRPr="006831F7">
        <w:rPr>
          <w:sz w:val="28"/>
          <w:szCs w:val="28"/>
        </w:rPr>
        <w:t xml:space="preserve"> виробництв. Розв’язання соціальних проблем, пов’язаних із Чорнобильською АЕС, працевлаштуванням її працівників та їх сімей, передбачає реалізація проекту СЕЗ «Славутич» на базі створення сучасного бізнес-центру.</w:t>
      </w:r>
    </w:p>
    <w:p w14:paraId="20D9A07E" w14:textId="79CF2643" w:rsidR="003E0C55" w:rsidRPr="006831F7" w:rsidRDefault="003E0C55" w:rsidP="006831F7">
      <w:pPr>
        <w:pStyle w:val="ae"/>
        <w:spacing w:before="2" w:line="276" w:lineRule="auto"/>
        <w:ind w:right="243"/>
      </w:pPr>
      <w:r w:rsidRPr="006831F7">
        <w:t>Використання наукового потенціалу столиці та регіону як одного з найперспективніших напрямів господарської діяльності реалізуватиметься передусім</w:t>
      </w:r>
      <w:r w:rsidRPr="006831F7">
        <w:rPr>
          <w:spacing w:val="79"/>
          <w:w w:val="150"/>
        </w:rPr>
        <w:t xml:space="preserve"> </w:t>
      </w:r>
      <w:r w:rsidRPr="006831F7">
        <w:t>через</w:t>
      </w:r>
      <w:r w:rsidRPr="006831F7">
        <w:rPr>
          <w:spacing w:val="78"/>
          <w:w w:val="150"/>
        </w:rPr>
        <w:t xml:space="preserve"> </w:t>
      </w:r>
      <w:r w:rsidRPr="006831F7">
        <w:t>вже</w:t>
      </w:r>
      <w:r w:rsidRPr="006831F7">
        <w:rPr>
          <w:spacing w:val="79"/>
          <w:w w:val="150"/>
        </w:rPr>
        <w:t xml:space="preserve"> </w:t>
      </w:r>
      <w:r w:rsidRPr="006831F7">
        <w:t>створені</w:t>
      </w:r>
      <w:r w:rsidRPr="006831F7">
        <w:rPr>
          <w:spacing w:val="74"/>
          <w:w w:val="150"/>
        </w:rPr>
        <w:t xml:space="preserve"> </w:t>
      </w:r>
      <w:r w:rsidRPr="006831F7">
        <w:t>технопарки</w:t>
      </w:r>
      <w:r w:rsidRPr="006831F7">
        <w:rPr>
          <w:spacing w:val="78"/>
          <w:w w:val="150"/>
        </w:rPr>
        <w:t xml:space="preserve"> </w:t>
      </w:r>
      <w:r w:rsidRPr="006831F7">
        <w:t>«Інститут</w:t>
      </w:r>
      <w:r w:rsidRPr="006831F7">
        <w:rPr>
          <w:spacing w:val="76"/>
          <w:w w:val="150"/>
        </w:rPr>
        <w:t xml:space="preserve"> </w:t>
      </w:r>
      <w:r w:rsidRPr="006831F7">
        <w:t>напівпровідників»</w:t>
      </w:r>
      <w:r w:rsidRPr="006831F7">
        <w:rPr>
          <w:spacing w:val="74"/>
          <w:w w:val="150"/>
        </w:rPr>
        <w:t xml:space="preserve"> </w:t>
      </w:r>
      <w:r w:rsidRPr="006831F7">
        <w:rPr>
          <w:spacing w:val="-5"/>
        </w:rPr>
        <w:t>та</w:t>
      </w:r>
      <w:r w:rsidR="006831F7" w:rsidRPr="006831F7">
        <w:t xml:space="preserve"> </w:t>
      </w:r>
      <w:r w:rsidRPr="006831F7">
        <w:t>«Інститут</w:t>
      </w:r>
      <w:r w:rsidRPr="006831F7">
        <w:rPr>
          <w:spacing w:val="47"/>
        </w:rPr>
        <w:t xml:space="preserve"> </w:t>
      </w:r>
      <w:r w:rsidRPr="006831F7">
        <w:t>електрозварювання</w:t>
      </w:r>
      <w:r w:rsidRPr="006831F7">
        <w:rPr>
          <w:spacing w:val="51"/>
        </w:rPr>
        <w:t xml:space="preserve"> </w:t>
      </w:r>
      <w:r w:rsidRPr="006831F7">
        <w:t>ім.</w:t>
      </w:r>
      <w:r w:rsidRPr="006831F7">
        <w:rPr>
          <w:spacing w:val="49"/>
        </w:rPr>
        <w:t xml:space="preserve"> </w:t>
      </w:r>
      <w:r w:rsidRPr="006831F7">
        <w:t>Є.</w:t>
      </w:r>
      <w:r w:rsidRPr="006831F7">
        <w:rPr>
          <w:spacing w:val="49"/>
        </w:rPr>
        <w:t xml:space="preserve"> </w:t>
      </w:r>
      <w:r w:rsidRPr="006831F7">
        <w:t>О.</w:t>
      </w:r>
      <w:r w:rsidRPr="006831F7">
        <w:rPr>
          <w:spacing w:val="50"/>
        </w:rPr>
        <w:t xml:space="preserve"> </w:t>
      </w:r>
      <w:r w:rsidRPr="006831F7">
        <w:t>Патона»</w:t>
      </w:r>
      <w:r w:rsidRPr="006831F7">
        <w:rPr>
          <w:spacing w:val="48"/>
        </w:rPr>
        <w:t xml:space="preserve">  </w:t>
      </w:r>
      <w:r w:rsidRPr="006831F7">
        <w:t>у</w:t>
      </w:r>
      <w:r w:rsidRPr="006831F7">
        <w:rPr>
          <w:spacing w:val="48"/>
        </w:rPr>
        <w:t xml:space="preserve"> </w:t>
      </w:r>
      <w:r w:rsidRPr="006831F7">
        <w:t>Києві</w:t>
      </w:r>
      <w:r w:rsidRPr="006831F7">
        <w:rPr>
          <w:spacing w:val="48"/>
        </w:rPr>
        <w:t xml:space="preserve"> </w:t>
      </w:r>
      <w:r w:rsidRPr="006831F7">
        <w:t>та</w:t>
      </w:r>
      <w:r w:rsidRPr="006831F7">
        <w:rPr>
          <w:spacing w:val="49"/>
        </w:rPr>
        <w:t xml:space="preserve"> </w:t>
      </w:r>
      <w:proofErr w:type="spellStart"/>
      <w:r w:rsidRPr="006831F7">
        <w:rPr>
          <w:spacing w:val="-2"/>
        </w:rPr>
        <w:t>проєктні</w:t>
      </w:r>
      <w:proofErr w:type="spellEnd"/>
      <w:r w:rsidR="006831F7" w:rsidRPr="006831F7">
        <w:t xml:space="preserve"> </w:t>
      </w:r>
      <w:r w:rsidRPr="006831F7">
        <w:t>«</w:t>
      </w:r>
      <w:proofErr w:type="spellStart"/>
      <w:r w:rsidRPr="006831F7">
        <w:t>Агротехполіс</w:t>
      </w:r>
      <w:proofErr w:type="spellEnd"/>
      <w:r w:rsidRPr="006831F7">
        <w:t xml:space="preserve"> </w:t>
      </w:r>
      <w:proofErr w:type="spellStart"/>
      <w:r w:rsidRPr="006831F7">
        <w:t>Святополь</w:t>
      </w:r>
      <w:proofErr w:type="spellEnd"/>
      <w:r w:rsidRPr="006831F7">
        <w:t>» (Київська область), технополіс під базові галузі мікроелектроніки та обчислювальної техніки у Києві.</w:t>
      </w:r>
    </w:p>
    <w:p w14:paraId="57EEC342" w14:textId="77777777" w:rsidR="003E0C55" w:rsidRDefault="003E0C55" w:rsidP="003E0C55">
      <w:pPr>
        <w:spacing w:before="42"/>
        <w:ind w:left="963"/>
        <w:jc w:val="both"/>
        <w:rPr>
          <w:sz w:val="28"/>
        </w:rPr>
      </w:pPr>
      <w:r>
        <w:rPr>
          <w:i/>
          <w:sz w:val="28"/>
        </w:rPr>
        <w:t>Проблемами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2"/>
          <w:sz w:val="28"/>
        </w:rPr>
        <w:t xml:space="preserve"> </w:t>
      </w:r>
      <w:r>
        <w:rPr>
          <w:sz w:val="28"/>
        </w:rPr>
        <w:t>Північно-Західного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регіону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є:</w:t>
      </w:r>
    </w:p>
    <w:p w14:paraId="7DC5B1BC" w14:textId="77777777" w:rsidR="003E0C55" w:rsidRDefault="003E0C55" w:rsidP="003E0C55">
      <w:pPr>
        <w:pStyle w:val="a9"/>
        <w:numPr>
          <w:ilvl w:val="0"/>
          <w:numId w:val="3"/>
        </w:numPr>
        <w:tabs>
          <w:tab w:val="left" w:pos="1245"/>
        </w:tabs>
        <w:spacing w:before="48"/>
        <w:ind w:left="1245" w:hanging="282"/>
        <w:contextualSpacing w:val="0"/>
        <w:jc w:val="both"/>
        <w:rPr>
          <w:sz w:val="28"/>
        </w:rPr>
      </w:pPr>
      <w:r>
        <w:rPr>
          <w:sz w:val="28"/>
        </w:rPr>
        <w:t>Низький</w:t>
      </w:r>
      <w:r>
        <w:rPr>
          <w:spacing w:val="-12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14"/>
          <w:sz w:val="28"/>
        </w:rPr>
        <w:t xml:space="preserve"> </w:t>
      </w:r>
      <w:r>
        <w:rPr>
          <w:sz w:val="28"/>
        </w:rPr>
        <w:t>економічного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розвитку.</w:t>
      </w:r>
    </w:p>
    <w:p w14:paraId="244075AE" w14:textId="77777777" w:rsidR="003E0C55" w:rsidRDefault="003E0C55" w:rsidP="003E0C55">
      <w:pPr>
        <w:pStyle w:val="a9"/>
        <w:numPr>
          <w:ilvl w:val="0"/>
          <w:numId w:val="3"/>
        </w:numPr>
        <w:tabs>
          <w:tab w:val="left" w:pos="1340"/>
        </w:tabs>
        <w:spacing w:before="48" w:line="276" w:lineRule="auto"/>
        <w:ind w:left="253" w:right="234" w:firstLine="710"/>
        <w:contextualSpacing w:val="0"/>
        <w:jc w:val="both"/>
        <w:rPr>
          <w:sz w:val="28"/>
        </w:rPr>
      </w:pPr>
      <w:r>
        <w:rPr>
          <w:sz w:val="28"/>
        </w:rPr>
        <w:t xml:space="preserve">Вичерпання запасів вугілля Нововолинського родовища </w:t>
      </w:r>
      <w:proofErr w:type="spellStart"/>
      <w:r>
        <w:rPr>
          <w:sz w:val="28"/>
        </w:rPr>
        <w:t>Львівсько</w:t>
      </w:r>
      <w:proofErr w:type="spellEnd"/>
      <w:r>
        <w:rPr>
          <w:sz w:val="28"/>
        </w:rPr>
        <w:t xml:space="preserve">- Волинського басейну, що ставить питання </w:t>
      </w:r>
      <w:proofErr w:type="spellStart"/>
      <w:r>
        <w:rPr>
          <w:sz w:val="28"/>
        </w:rPr>
        <w:t>переспеціалізації</w:t>
      </w:r>
      <w:proofErr w:type="spellEnd"/>
      <w:r>
        <w:rPr>
          <w:sz w:val="28"/>
        </w:rPr>
        <w:t xml:space="preserve"> даного регіону.</w:t>
      </w:r>
    </w:p>
    <w:p w14:paraId="57EF5BC4" w14:textId="77777777" w:rsidR="003E0C55" w:rsidRDefault="003E0C55" w:rsidP="003E0C55">
      <w:pPr>
        <w:pStyle w:val="a9"/>
        <w:numPr>
          <w:ilvl w:val="0"/>
          <w:numId w:val="3"/>
        </w:numPr>
        <w:tabs>
          <w:tab w:val="left" w:pos="1245"/>
        </w:tabs>
        <w:spacing w:before="4"/>
        <w:ind w:left="1245" w:hanging="282"/>
        <w:contextualSpacing w:val="0"/>
        <w:jc w:val="both"/>
        <w:rPr>
          <w:sz w:val="28"/>
        </w:rPr>
      </w:pPr>
      <w:r>
        <w:rPr>
          <w:sz w:val="28"/>
        </w:rPr>
        <w:t>Занепад</w:t>
      </w:r>
      <w:r>
        <w:rPr>
          <w:spacing w:val="-5"/>
          <w:sz w:val="28"/>
        </w:rPr>
        <w:t xml:space="preserve"> </w:t>
      </w:r>
      <w:r>
        <w:rPr>
          <w:sz w:val="28"/>
        </w:rPr>
        <w:t>малих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середніх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міст.</w:t>
      </w:r>
    </w:p>
    <w:p w14:paraId="14A059F4" w14:textId="77777777" w:rsidR="003E0C55" w:rsidRDefault="003E0C55" w:rsidP="003E0C55">
      <w:pPr>
        <w:pStyle w:val="a9"/>
        <w:numPr>
          <w:ilvl w:val="0"/>
          <w:numId w:val="3"/>
        </w:numPr>
        <w:tabs>
          <w:tab w:val="left" w:pos="1321"/>
        </w:tabs>
        <w:spacing w:before="47" w:line="276" w:lineRule="auto"/>
        <w:ind w:left="253" w:right="244" w:firstLine="710"/>
        <w:contextualSpacing w:val="0"/>
        <w:jc w:val="both"/>
        <w:rPr>
          <w:sz w:val="28"/>
        </w:rPr>
      </w:pPr>
      <w:r>
        <w:rPr>
          <w:sz w:val="28"/>
        </w:rPr>
        <w:t>Радіоактивне забруднення території району, пов’язане з аварією на Чорнобильській АЕС та функціонуванням Рівненської АЕС.</w:t>
      </w:r>
    </w:p>
    <w:p w14:paraId="66A7A0C2" w14:textId="77777777" w:rsidR="003E0C55" w:rsidRDefault="003E0C55" w:rsidP="003E0C55">
      <w:pPr>
        <w:pStyle w:val="a9"/>
        <w:numPr>
          <w:ilvl w:val="0"/>
          <w:numId w:val="3"/>
        </w:numPr>
        <w:tabs>
          <w:tab w:val="left" w:pos="1307"/>
        </w:tabs>
        <w:spacing w:line="276" w:lineRule="auto"/>
        <w:ind w:left="253" w:right="240" w:firstLine="710"/>
        <w:contextualSpacing w:val="0"/>
        <w:jc w:val="both"/>
        <w:rPr>
          <w:sz w:val="28"/>
        </w:rPr>
      </w:pPr>
      <w:r>
        <w:rPr>
          <w:sz w:val="28"/>
        </w:rPr>
        <w:t xml:space="preserve">Неправильна меліорація земель поліської частини району, внаслідок якої відбулось </w:t>
      </w:r>
      <w:proofErr w:type="spellStart"/>
      <w:r>
        <w:rPr>
          <w:sz w:val="28"/>
        </w:rPr>
        <w:t>переосушення</w:t>
      </w:r>
      <w:proofErr w:type="spellEnd"/>
      <w:r>
        <w:rPr>
          <w:sz w:val="28"/>
        </w:rPr>
        <w:t xml:space="preserve"> ґрунтів, знищення їх родючого шару і зменшення урожайності сільськогосподарських культур тощо.</w:t>
      </w:r>
    </w:p>
    <w:p w14:paraId="47CF1861" w14:textId="77777777" w:rsidR="003E0C55" w:rsidRDefault="003E0C55" w:rsidP="003E0C55">
      <w:pPr>
        <w:pStyle w:val="ae"/>
        <w:spacing w:line="278" w:lineRule="auto"/>
        <w:ind w:right="241"/>
      </w:pPr>
      <w:r>
        <w:t>Для району є характерними також проблеми загальнодержавного значення: демографічні, економічні, соціальні, екологічні.</w:t>
      </w:r>
    </w:p>
    <w:p w14:paraId="049931FB" w14:textId="4FC3F781" w:rsidR="003E0C55" w:rsidRDefault="003E0C55" w:rsidP="006831F7">
      <w:pPr>
        <w:pStyle w:val="ae"/>
        <w:spacing w:line="276" w:lineRule="auto"/>
        <w:ind w:right="233"/>
      </w:pPr>
      <w:r>
        <w:rPr>
          <w:i/>
        </w:rPr>
        <w:t xml:space="preserve">Перспективи </w:t>
      </w:r>
      <w:r>
        <w:t>розвитку Північно-Західного регіону пов’язані передусім із використанням вигідності його прикордонного суспільно-географічного положення. Серед основних напрямів цього є розвиток різноманітних виробництв на основі спеціалізації і кооперування із сусідніми державами; створення</w:t>
      </w:r>
      <w:r>
        <w:rPr>
          <w:spacing w:val="35"/>
        </w:rPr>
        <w:t xml:space="preserve"> </w:t>
      </w:r>
      <w:r>
        <w:t>міжнародних господарських</w:t>
      </w:r>
      <w:r>
        <w:rPr>
          <w:spacing w:val="34"/>
        </w:rPr>
        <w:t xml:space="preserve"> </w:t>
      </w:r>
      <w:r>
        <w:t>об’єктів (спільних підприємств,</w:t>
      </w:r>
      <w:r>
        <w:rPr>
          <w:spacing w:val="36"/>
        </w:rPr>
        <w:t xml:space="preserve"> </w:t>
      </w:r>
      <w:r>
        <w:t>банків</w:t>
      </w:r>
      <w:r w:rsidR="006831F7">
        <w:t xml:space="preserve">, </w:t>
      </w:r>
      <w:r>
        <w:t xml:space="preserve">тощо); розширення прикордонної торгівлі, інфраструктури; створення СЕЗ. Важливе значення має проведення науково обґрунтованої </w:t>
      </w:r>
      <w:proofErr w:type="spellStart"/>
      <w:r>
        <w:t>агролісохімічної</w:t>
      </w:r>
      <w:proofErr w:type="spellEnd"/>
      <w:r>
        <w:t xml:space="preserve"> </w:t>
      </w:r>
      <w:r>
        <w:rPr>
          <w:spacing w:val="-2"/>
        </w:rPr>
        <w:t>меліорації.</w:t>
      </w:r>
    </w:p>
    <w:p w14:paraId="27BAFE15" w14:textId="04D9F7A3" w:rsidR="006831F7" w:rsidRDefault="003E0C55" w:rsidP="009629B3">
      <w:pPr>
        <w:pStyle w:val="ae"/>
        <w:spacing w:line="276" w:lineRule="auto"/>
        <w:ind w:right="230"/>
      </w:pPr>
      <w:r>
        <w:t xml:space="preserve">Територія Волинської області входить до складу </w:t>
      </w:r>
      <w:proofErr w:type="spellStart"/>
      <w:r>
        <w:t>єврорегіону</w:t>
      </w:r>
      <w:proofErr w:type="spellEnd"/>
      <w:r>
        <w:t xml:space="preserve"> «Буг», пріоритетними напрямами функціонування якого є </w:t>
      </w:r>
      <w:proofErr w:type="spellStart"/>
      <w:r>
        <w:t>туристсько</w:t>
      </w:r>
      <w:proofErr w:type="spellEnd"/>
      <w:r>
        <w:t xml:space="preserve">-рекреаційна діяльність (на базі використання цінних рекреаційних ресурсів Шацьких озер) та охорона навколишнього середовища. Проте головна особливість </w:t>
      </w:r>
      <w:proofErr w:type="spellStart"/>
      <w:r w:rsidR="003463FC">
        <w:t>є</w:t>
      </w:r>
      <w:r>
        <w:t>врорегіону</w:t>
      </w:r>
      <w:proofErr w:type="spellEnd"/>
      <w:r>
        <w:t xml:space="preserve"> як транзитної території пов’язана із вигідністю транспортно-географічного положення. Важливе значення має розташування міста Ковеля на перехресті важливих транспортних шляхів, що було передумовою створення спеціальної економічної зони «</w:t>
      </w:r>
      <w:proofErr w:type="spellStart"/>
      <w:r>
        <w:t>Інтерпорт</w:t>
      </w:r>
      <w:proofErr w:type="spellEnd"/>
      <w:r>
        <w:t xml:space="preserve"> Ковель» (Волинська область), яка має значний господарський потенціал.</w:t>
      </w:r>
    </w:p>
    <w:p w14:paraId="7B020814" w14:textId="77777777" w:rsidR="009629B3" w:rsidRPr="009629B3" w:rsidRDefault="009629B3" w:rsidP="009629B3">
      <w:pPr>
        <w:pStyle w:val="ae"/>
        <w:spacing w:line="276" w:lineRule="auto"/>
        <w:ind w:right="230"/>
      </w:pPr>
    </w:p>
    <w:sectPr w:rsidR="009629B3" w:rsidRPr="00962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94D61"/>
    <w:multiLevelType w:val="hybridMultilevel"/>
    <w:tmpl w:val="AE7C7988"/>
    <w:lvl w:ilvl="0" w:tplc="D2906E8E">
      <w:start w:val="1"/>
      <w:numFmt w:val="decimal"/>
      <w:lvlText w:val="%1."/>
      <w:lvlJc w:val="left"/>
      <w:pPr>
        <w:ind w:left="253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082C6DE">
      <w:numFmt w:val="bullet"/>
      <w:lvlText w:val="•"/>
      <w:lvlJc w:val="left"/>
      <w:pPr>
        <w:ind w:left="1246" w:hanging="418"/>
      </w:pPr>
      <w:rPr>
        <w:rFonts w:hint="default"/>
        <w:lang w:val="uk-UA" w:eastAsia="en-US" w:bidi="ar-SA"/>
      </w:rPr>
    </w:lvl>
    <w:lvl w:ilvl="2" w:tplc="D6B6965E">
      <w:numFmt w:val="bullet"/>
      <w:lvlText w:val="•"/>
      <w:lvlJc w:val="left"/>
      <w:pPr>
        <w:ind w:left="2232" w:hanging="418"/>
      </w:pPr>
      <w:rPr>
        <w:rFonts w:hint="default"/>
        <w:lang w:val="uk-UA" w:eastAsia="en-US" w:bidi="ar-SA"/>
      </w:rPr>
    </w:lvl>
    <w:lvl w:ilvl="3" w:tplc="2C82D698">
      <w:numFmt w:val="bullet"/>
      <w:lvlText w:val="•"/>
      <w:lvlJc w:val="left"/>
      <w:pPr>
        <w:ind w:left="3219" w:hanging="418"/>
      </w:pPr>
      <w:rPr>
        <w:rFonts w:hint="default"/>
        <w:lang w:val="uk-UA" w:eastAsia="en-US" w:bidi="ar-SA"/>
      </w:rPr>
    </w:lvl>
    <w:lvl w:ilvl="4" w:tplc="356835DC">
      <w:numFmt w:val="bullet"/>
      <w:lvlText w:val="•"/>
      <w:lvlJc w:val="left"/>
      <w:pPr>
        <w:ind w:left="4205" w:hanging="418"/>
      </w:pPr>
      <w:rPr>
        <w:rFonts w:hint="default"/>
        <w:lang w:val="uk-UA" w:eastAsia="en-US" w:bidi="ar-SA"/>
      </w:rPr>
    </w:lvl>
    <w:lvl w:ilvl="5" w:tplc="C0889F24">
      <w:numFmt w:val="bullet"/>
      <w:lvlText w:val="•"/>
      <w:lvlJc w:val="left"/>
      <w:pPr>
        <w:ind w:left="5192" w:hanging="418"/>
      </w:pPr>
      <w:rPr>
        <w:rFonts w:hint="default"/>
        <w:lang w:val="uk-UA" w:eastAsia="en-US" w:bidi="ar-SA"/>
      </w:rPr>
    </w:lvl>
    <w:lvl w:ilvl="6" w:tplc="C33A2C8A">
      <w:numFmt w:val="bullet"/>
      <w:lvlText w:val="•"/>
      <w:lvlJc w:val="left"/>
      <w:pPr>
        <w:ind w:left="6178" w:hanging="418"/>
      </w:pPr>
      <w:rPr>
        <w:rFonts w:hint="default"/>
        <w:lang w:val="uk-UA" w:eastAsia="en-US" w:bidi="ar-SA"/>
      </w:rPr>
    </w:lvl>
    <w:lvl w:ilvl="7" w:tplc="053043B8">
      <w:numFmt w:val="bullet"/>
      <w:lvlText w:val="•"/>
      <w:lvlJc w:val="left"/>
      <w:pPr>
        <w:ind w:left="7164" w:hanging="418"/>
      </w:pPr>
      <w:rPr>
        <w:rFonts w:hint="default"/>
        <w:lang w:val="uk-UA" w:eastAsia="en-US" w:bidi="ar-SA"/>
      </w:rPr>
    </w:lvl>
    <w:lvl w:ilvl="8" w:tplc="487C43D2">
      <w:numFmt w:val="bullet"/>
      <w:lvlText w:val="•"/>
      <w:lvlJc w:val="left"/>
      <w:pPr>
        <w:ind w:left="8151" w:hanging="418"/>
      </w:pPr>
      <w:rPr>
        <w:rFonts w:hint="default"/>
        <w:lang w:val="uk-UA" w:eastAsia="en-US" w:bidi="ar-SA"/>
      </w:rPr>
    </w:lvl>
  </w:abstractNum>
  <w:abstractNum w:abstractNumId="1" w15:restartNumberingAfterBreak="0">
    <w:nsid w:val="194F2FCD"/>
    <w:multiLevelType w:val="hybridMultilevel"/>
    <w:tmpl w:val="23DACC1A"/>
    <w:lvl w:ilvl="0" w:tplc="8736A51C">
      <w:start w:val="1"/>
      <w:numFmt w:val="decimal"/>
      <w:lvlText w:val="%1."/>
      <w:lvlJc w:val="left"/>
      <w:pPr>
        <w:ind w:left="124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64454B2">
      <w:numFmt w:val="bullet"/>
      <w:lvlText w:val="•"/>
      <w:lvlJc w:val="left"/>
      <w:pPr>
        <w:ind w:left="2128" w:hanging="283"/>
      </w:pPr>
      <w:rPr>
        <w:rFonts w:hint="default"/>
        <w:lang w:val="uk-UA" w:eastAsia="en-US" w:bidi="ar-SA"/>
      </w:rPr>
    </w:lvl>
    <w:lvl w:ilvl="2" w:tplc="A9EA0422">
      <w:numFmt w:val="bullet"/>
      <w:lvlText w:val="•"/>
      <w:lvlJc w:val="left"/>
      <w:pPr>
        <w:ind w:left="3016" w:hanging="283"/>
      </w:pPr>
      <w:rPr>
        <w:rFonts w:hint="default"/>
        <w:lang w:val="uk-UA" w:eastAsia="en-US" w:bidi="ar-SA"/>
      </w:rPr>
    </w:lvl>
    <w:lvl w:ilvl="3" w:tplc="C86EB548">
      <w:numFmt w:val="bullet"/>
      <w:lvlText w:val="•"/>
      <w:lvlJc w:val="left"/>
      <w:pPr>
        <w:ind w:left="3905" w:hanging="283"/>
      </w:pPr>
      <w:rPr>
        <w:rFonts w:hint="default"/>
        <w:lang w:val="uk-UA" w:eastAsia="en-US" w:bidi="ar-SA"/>
      </w:rPr>
    </w:lvl>
    <w:lvl w:ilvl="4" w:tplc="24F08D28">
      <w:numFmt w:val="bullet"/>
      <w:lvlText w:val="•"/>
      <w:lvlJc w:val="left"/>
      <w:pPr>
        <w:ind w:left="4793" w:hanging="283"/>
      </w:pPr>
      <w:rPr>
        <w:rFonts w:hint="default"/>
        <w:lang w:val="uk-UA" w:eastAsia="en-US" w:bidi="ar-SA"/>
      </w:rPr>
    </w:lvl>
    <w:lvl w:ilvl="5" w:tplc="DB7A63D4">
      <w:numFmt w:val="bullet"/>
      <w:lvlText w:val="•"/>
      <w:lvlJc w:val="left"/>
      <w:pPr>
        <w:ind w:left="5682" w:hanging="283"/>
      </w:pPr>
      <w:rPr>
        <w:rFonts w:hint="default"/>
        <w:lang w:val="uk-UA" w:eastAsia="en-US" w:bidi="ar-SA"/>
      </w:rPr>
    </w:lvl>
    <w:lvl w:ilvl="6" w:tplc="12B865D6">
      <w:numFmt w:val="bullet"/>
      <w:lvlText w:val="•"/>
      <w:lvlJc w:val="left"/>
      <w:pPr>
        <w:ind w:left="6570" w:hanging="283"/>
      </w:pPr>
      <w:rPr>
        <w:rFonts w:hint="default"/>
        <w:lang w:val="uk-UA" w:eastAsia="en-US" w:bidi="ar-SA"/>
      </w:rPr>
    </w:lvl>
    <w:lvl w:ilvl="7" w:tplc="27986048">
      <w:numFmt w:val="bullet"/>
      <w:lvlText w:val="•"/>
      <w:lvlJc w:val="left"/>
      <w:pPr>
        <w:ind w:left="7458" w:hanging="283"/>
      </w:pPr>
      <w:rPr>
        <w:rFonts w:hint="default"/>
        <w:lang w:val="uk-UA" w:eastAsia="en-US" w:bidi="ar-SA"/>
      </w:rPr>
    </w:lvl>
    <w:lvl w:ilvl="8" w:tplc="19A4FCCA">
      <w:numFmt w:val="bullet"/>
      <w:lvlText w:val="•"/>
      <w:lvlJc w:val="left"/>
      <w:pPr>
        <w:ind w:left="8347" w:hanging="283"/>
      </w:pPr>
      <w:rPr>
        <w:rFonts w:hint="default"/>
        <w:lang w:val="uk-UA" w:eastAsia="en-US" w:bidi="ar-SA"/>
      </w:rPr>
    </w:lvl>
  </w:abstractNum>
  <w:abstractNum w:abstractNumId="2" w15:restartNumberingAfterBreak="0">
    <w:nsid w:val="1E2228F3"/>
    <w:multiLevelType w:val="hybridMultilevel"/>
    <w:tmpl w:val="AA0E7C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F1539"/>
    <w:multiLevelType w:val="multilevel"/>
    <w:tmpl w:val="DC4256DE"/>
    <w:lvl w:ilvl="0">
      <w:start w:val="11"/>
      <w:numFmt w:val="decimal"/>
      <w:lvlText w:val="%1"/>
      <w:lvlJc w:val="left"/>
      <w:pPr>
        <w:ind w:left="1596" w:hanging="63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96" w:hanging="6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04" w:hanging="63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57" w:hanging="63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09" w:hanging="63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2" w:hanging="63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4" w:hanging="63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66" w:hanging="63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19" w:hanging="634"/>
      </w:pPr>
      <w:rPr>
        <w:rFonts w:hint="default"/>
        <w:lang w:val="uk-UA" w:eastAsia="en-US" w:bidi="ar-SA"/>
      </w:rPr>
    </w:lvl>
  </w:abstractNum>
  <w:num w:numId="1" w16cid:durableId="1053777697">
    <w:abstractNumId w:val="0"/>
  </w:num>
  <w:num w:numId="2" w16cid:durableId="790440895">
    <w:abstractNumId w:val="3"/>
  </w:num>
  <w:num w:numId="3" w16cid:durableId="1108550154">
    <w:abstractNumId w:val="1"/>
  </w:num>
  <w:num w:numId="4" w16cid:durableId="1737389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55"/>
    <w:rsid w:val="00061D1B"/>
    <w:rsid w:val="002F2E3C"/>
    <w:rsid w:val="003463FC"/>
    <w:rsid w:val="003E0C55"/>
    <w:rsid w:val="00630107"/>
    <w:rsid w:val="006831F7"/>
    <w:rsid w:val="008B7A22"/>
    <w:rsid w:val="008C4E2D"/>
    <w:rsid w:val="009629B3"/>
    <w:rsid w:val="00CF792B"/>
    <w:rsid w:val="00ED36A3"/>
    <w:rsid w:val="00F62141"/>
    <w:rsid w:val="00F8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94F9"/>
  <w15:chartTrackingRefBased/>
  <w15:docId w15:val="{6BC8624C-49CD-4EAF-8870-80204908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0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C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C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C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C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C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C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C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C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C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C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C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E0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E0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E0C55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3E0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C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E0C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0C55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3E0C55"/>
    <w:pPr>
      <w:ind w:left="253" w:firstLine="710"/>
      <w:jc w:val="both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3E0C5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3278</Words>
  <Characters>1870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Лекція №9 </vt:lpstr>
      <vt:lpstr>Перспективи розвитку Столичного та Північно-Західного туристичного регіонів.</vt:lpstr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2</cp:revision>
  <dcterms:created xsi:type="dcterms:W3CDTF">2024-10-06T16:14:00Z</dcterms:created>
  <dcterms:modified xsi:type="dcterms:W3CDTF">2024-10-09T16:00:00Z</dcterms:modified>
</cp:coreProperties>
</file>