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9" w:rsidRPr="00BA6AB2" w:rsidRDefault="00195A79" w:rsidP="00195A79">
      <w:pPr>
        <w:spacing w:before="0" w:after="0"/>
        <w:ind w:firstLine="709"/>
        <w:contextualSpacing/>
        <w:jc w:val="center"/>
        <w:rPr>
          <w:b/>
          <w:color w:val="000000"/>
          <w:szCs w:val="20"/>
        </w:rPr>
      </w:pPr>
      <w:r w:rsidRPr="00BA6AB2">
        <w:rPr>
          <w:b/>
          <w:color w:val="000000"/>
          <w:szCs w:val="20"/>
        </w:rPr>
        <w:t>Тема 6. ОСНОВНІ ФОНДИ ПІДПРИЄМСТВА</w:t>
      </w:r>
    </w:p>
    <w:p w:rsidR="00195A79" w:rsidRPr="00195A79" w:rsidRDefault="00195A79" w:rsidP="00195A79">
      <w:pPr>
        <w:spacing w:before="0" w:after="0"/>
        <w:ind w:firstLine="709"/>
        <w:contextualSpacing/>
        <w:jc w:val="both"/>
        <w:rPr>
          <w:b/>
          <w:i/>
          <w:color w:val="000000"/>
          <w:sz w:val="20"/>
          <w:szCs w:val="20"/>
        </w:rPr>
      </w:pPr>
      <w:r w:rsidRPr="00195A79">
        <w:rPr>
          <w:b/>
          <w:i/>
          <w:color w:val="000000"/>
          <w:sz w:val="20"/>
          <w:szCs w:val="20"/>
        </w:rPr>
        <w:t>План</w:t>
      </w:r>
    </w:p>
    <w:p w:rsidR="00195A79" w:rsidRPr="00195A79" w:rsidRDefault="00195A79" w:rsidP="00195A79">
      <w:pPr>
        <w:spacing w:before="0" w:after="0"/>
        <w:contextualSpacing/>
        <w:jc w:val="both"/>
        <w:rPr>
          <w:color w:val="000000"/>
          <w:sz w:val="20"/>
          <w:szCs w:val="20"/>
        </w:rPr>
      </w:pPr>
      <w:r w:rsidRPr="00195A79">
        <w:rPr>
          <w:color w:val="000000"/>
          <w:sz w:val="20"/>
          <w:szCs w:val="20"/>
        </w:rPr>
        <w:t>1. Суть і структура основних фондів підприємства</w:t>
      </w:r>
    </w:p>
    <w:p w:rsidR="00195A79" w:rsidRPr="00195A79" w:rsidRDefault="00195A79" w:rsidP="00195A79">
      <w:pPr>
        <w:spacing w:before="0" w:after="0"/>
        <w:contextualSpacing/>
        <w:jc w:val="both"/>
        <w:rPr>
          <w:color w:val="000000"/>
          <w:sz w:val="20"/>
          <w:szCs w:val="20"/>
        </w:rPr>
      </w:pPr>
      <w:r w:rsidRPr="00195A79">
        <w:rPr>
          <w:color w:val="000000"/>
          <w:sz w:val="20"/>
          <w:szCs w:val="20"/>
        </w:rPr>
        <w:t>2. Оцінка основних фондів. Поняття зносу та амортизації основних фондів.</w:t>
      </w:r>
    </w:p>
    <w:p w:rsidR="00195A79" w:rsidRPr="00195A79" w:rsidRDefault="00195A79" w:rsidP="00195A79">
      <w:pPr>
        <w:spacing w:before="0" w:after="0"/>
        <w:contextualSpacing/>
        <w:jc w:val="both"/>
        <w:rPr>
          <w:color w:val="000000"/>
          <w:sz w:val="20"/>
          <w:szCs w:val="20"/>
        </w:rPr>
      </w:pPr>
      <w:r w:rsidRPr="00195A79">
        <w:rPr>
          <w:color w:val="000000"/>
          <w:sz w:val="20"/>
          <w:szCs w:val="20"/>
        </w:rPr>
        <w:t>3. Показники руху та використання основних фондів</w:t>
      </w:r>
    </w:p>
    <w:p w:rsidR="00195A79" w:rsidRPr="00195A79" w:rsidRDefault="00195A79" w:rsidP="00195A79">
      <w:pPr>
        <w:spacing w:before="0" w:after="0"/>
        <w:contextualSpacing/>
        <w:jc w:val="both"/>
        <w:rPr>
          <w:color w:val="000000"/>
          <w:sz w:val="20"/>
          <w:szCs w:val="20"/>
        </w:rPr>
      </w:pPr>
      <w:r w:rsidRPr="00195A79">
        <w:rPr>
          <w:color w:val="000000"/>
          <w:sz w:val="20"/>
          <w:szCs w:val="20"/>
        </w:rPr>
        <w:t>4. Виробнича потужність підприємства та методи її визначення</w:t>
      </w:r>
    </w:p>
    <w:p w:rsidR="00195A79" w:rsidRPr="00195A79" w:rsidRDefault="00195A79" w:rsidP="00195A79">
      <w:pPr>
        <w:spacing w:before="0" w:after="0"/>
        <w:contextualSpacing/>
        <w:jc w:val="both"/>
        <w:rPr>
          <w:color w:val="000000"/>
          <w:sz w:val="20"/>
          <w:szCs w:val="20"/>
        </w:rPr>
      </w:pPr>
      <w:r w:rsidRPr="00195A79">
        <w:rPr>
          <w:color w:val="000000"/>
          <w:sz w:val="20"/>
          <w:szCs w:val="20"/>
        </w:rPr>
        <w:t xml:space="preserve">5. </w:t>
      </w:r>
      <w:r w:rsidRPr="00195A79">
        <w:rPr>
          <w:bCs/>
          <w:color w:val="000000"/>
          <w:sz w:val="20"/>
          <w:szCs w:val="20"/>
        </w:rPr>
        <w:t xml:space="preserve">Шляхи підвищення ефективності використання основних фондів та виробничих </w:t>
      </w:r>
      <w:proofErr w:type="spellStart"/>
      <w:r w:rsidRPr="00195A79">
        <w:rPr>
          <w:bCs/>
          <w:color w:val="000000"/>
          <w:sz w:val="20"/>
          <w:szCs w:val="20"/>
        </w:rPr>
        <w:t>потужностей</w:t>
      </w:r>
      <w:proofErr w:type="spellEnd"/>
      <w:r w:rsidRPr="00195A79">
        <w:rPr>
          <w:bCs/>
          <w:color w:val="000000"/>
          <w:sz w:val="20"/>
          <w:szCs w:val="20"/>
        </w:rPr>
        <w:t xml:space="preserve"> підприємств за сучасних умов</w:t>
      </w:r>
    </w:p>
    <w:p w:rsidR="00195A79" w:rsidRPr="00195A79" w:rsidRDefault="00195A79" w:rsidP="00195A79">
      <w:pPr>
        <w:spacing w:before="0" w:after="0"/>
        <w:ind w:firstLine="709"/>
        <w:contextualSpacing/>
        <w:jc w:val="both"/>
        <w:rPr>
          <w:b/>
          <w:i/>
          <w:color w:val="000000"/>
          <w:sz w:val="20"/>
          <w:szCs w:val="20"/>
        </w:rPr>
      </w:pPr>
    </w:p>
    <w:p w:rsidR="00195A79" w:rsidRPr="00195A79" w:rsidRDefault="00195A79" w:rsidP="00195A79">
      <w:pPr>
        <w:spacing w:before="0" w:after="0"/>
        <w:ind w:firstLine="709"/>
        <w:contextualSpacing/>
        <w:jc w:val="both"/>
        <w:rPr>
          <w:i/>
          <w:color w:val="000000"/>
          <w:sz w:val="20"/>
          <w:szCs w:val="20"/>
        </w:rPr>
      </w:pPr>
      <w:r w:rsidRPr="00195A79">
        <w:rPr>
          <w:b/>
          <w:i/>
          <w:color w:val="000000"/>
          <w:sz w:val="20"/>
          <w:szCs w:val="20"/>
        </w:rPr>
        <w:t xml:space="preserve">Ключові поняття та терміни: </w:t>
      </w:r>
      <w:r w:rsidRPr="00195A79">
        <w:rPr>
          <w:i/>
          <w:color w:val="000000"/>
          <w:sz w:val="20"/>
          <w:szCs w:val="20"/>
        </w:rPr>
        <w:t>основні фонди,  виробничі фонди, вартісна оцінка основних фондів, види вартості основних фондів, знос основних фондів, амортизація, методи амортизації, відтворення основних фондів, показники стану та руху основних фондів, показники використання основних фондів, показники відтворення основних фондів.</w:t>
      </w:r>
    </w:p>
    <w:p w:rsidR="00195A79" w:rsidRPr="00195A79" w:rsidRDefault="00195A79" w:rsidP="00195A79">
      <w:pPr>
        <w:spacing w:before="0" w:after="0"/>
        <w:ind w:firstLine="709"/>
        <w:contextualSpacing/>
        <w:jc w:val="both"/>
        <w:rPr>
          <w:b/>
          <w:color w:val="000000"/>
          <w:sz w:val="20"/>
          <w:szCs w:val="20"/>
        </w:rPr>
      </w:pPr>
    </w:p>
    <w:p w:rsidR="00195A79" w:rsidRPr="00195A79" w:rsidRDefault="00195A79" w:rsidP="00195A79">
      <w:pPr>
        <w:spacing w:before="0" w:after="0"/>
        <w:ind w:firstLine="709"/>
        <w:contextualSpacing/>
        <w:jc w:val="both"/>
        <w:rPr>
          <w:color w:val="000000"/>
          <w:sz w:val="20"/>
          <w:szCs w:val="20"/>
        </w:rPr>
      </w:pPr>
      <w:r w:rsidRPr="00195A79">
        <w:rPr>
          <w:b/>
          <w:color w:val="000000"/>
          <w:sz w:val="20"/>
          <w:szCs w:val="20"/>
        </w:rPr>
        <w:t>Задача 1.</w:t>
      </w:r>
      <w:r w:rsidRPr="00195A79">
        <w:rPr>
          <w:color w:val="000000"/>
          <w:sz w:val="20"/>
          <w:szCs w:val="20"/>
        </w:rPr>
        <w:t xml:space="preserve"> Вартість обладнання цеху 9 375 000грн. 01.03 введено в експлуатацію устаткування вартістю  2 850 000 грн.; з 1.07 вибуло обладнання  вартістю 1 275 000 грн. Розмір випуску продукції  8000 т, ціна за 1т. – 1875 грн. Виробнича потужність 10000т. Визначити величину фондовіддачі обладнання та коефіцієнт інтенсивного використання обладнання.</w:t>
      </w:r>
    </w:p>
    <w:p w:rsidR="00195A79" w:rsidRPr="00195A79" w:rsidRDefault="00195A79" w:rsidP="00195A79">
      <w:pPr>
        <w:tabs>
          <w:tab w:val="num" w:pos="720"/>
        </w:tabs>
        <w:spacing w:before="0" w:after="0"/>
        <w:ind w:firstLine="709"/>
        <w:contextualSpacing/>
        <w:jc w:val="both"/>
        <w:rPr>
          <w:i/>
          <w:iCs/>
          <w:color w:val="000000"/>
          <w:sz w:val="20"/>
          <w:szCs w:val="20"/>
        </w:rPr>
      </w:pPr>
    </w:p>
    <w:p w:rsidR="00195A79" w:rsidRPr="00195A79" w:rsidRDefault="00195A79" w:rsidP="00195A79">
      <w:pPr>
        <w:spacing w:before="0" w:after="0"/>
        <w:ind w:firstLine="709"/>
        <w:contextualSpacing/>
        <w:jc w:val="both"/>
        <w:rPr>
          <w:color w:val="000000"/>
          <w:sz w:val="20"/>
          <w:szCs w:val="20"/>
        </w:rPr>
      </w:pPr>
      <w:r w:rsidRPr="00195A79">
        <w:rPr>
          <w:b/>
          <w:color w:val="000000"/>
          <w:sz w:val="20"/>
          <w:szCs w:val="20"/>
        </w:rPr>
        <w:t>Задача</w:t>
      </w:r>
      <w:r w:rsidRPr="00195A79">
        <w:rPr>
          <w:b/>
          <w:bCs/>
          <w:color w:val="000000"/>
          <w:sz w:val="20"/>
          <w:szCs w:val="20"/>
        </w:rPr>
        <w:t xml:space="preserve"> 2. </w:t>
      </w:r>
      <w:r w:rsidRPr="00195A79">
        <w:rPr>
          <w:color w:val="000000"/>
          <w:sz w:val="20"/>
          <w:szCs w:val="20"/>
        </w:rPr>
        <w:t>В цеху машинобудівельного заводу встановлено 100 станків. Режим роботи двозмінний, тривалість зміни 8 год. Річний обсяг випуску продукції 280000 виробів, виробнича потужність цеху- 310000 виробів.</w:t>
      </w:r>
    </w:p>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 xml:space="preserve">Визначити коефіцієнт змінності роботи станків, коефіцієнти екстенсивного, інтенсивного та інтегрального завантаження. Відомо, що в першу зміну працюють всі станки, в другу –50% </w:t>
      </w:r>
      <w:proofErr w:type="spellStart"/>
      <w:r w:rsidRPr="00195A79">
        <w:rPr>
          <w:color w:val="000000"/>
          <w:sz w:val="20"/>
          <w:szCs w:val="20"/>
        </w:rPr>
        <w:t>станочного</w:t>
      </w:r>
      <w:proofErr w:type="spellEnd"/>
      <w:r w:rsidRPr="00195A79">
        <w:rPr>
          <w:color w:val="000000"/>
          <w:sz w:val="20"/>
          <w:szCs w:val="20"/>
        </w:rPr>
        <w:t xml:space="preserve"> парку, кількість робочих днів в році - 260, час фактичної роботи одного станка за рік – 4000 год.</w:t>
      </w:r>
    </w:p>
    <w:p w:rsidR="00195A79" w:rsidRPr="00195A79" w:rsidRDefault="00195A79" w:rsidP="00195A79">
      <w:pPr>
        <w:spacing w:before="0" w:after="0"/>
        <w:ind w:firstLine="709"/>
        <w:contextualSpacing/>
        <w:jc w:val="both"/>
        <w:rPr>
          <w:b/>
          <w:color w:val="000000"/>
          <w:sz w:val="20"/>
          <w:szCs w:val="20"/>
        </w:rPr>
      </w:pPr>
    </w:p>
    <w:p w:rsidR="00195A79" w:rsidRPr="00195A79" w:rsidRDefault="00195A79" w:rsidP="00195A79">
      <w:pPr>
        <w:spacing w:before="0" w:after="0"/>
        <w:ind w:firstLine="709"/>
        <w:contextualSpacing/>
        <w:jc w:val="both"/>
        <w:rPr>
          <w:color w:val="000000"/>
          <w:sz w:val="20"/>
          <w:szCs w:val="20"/>
        </w:rPr>
      </w:pPr>
      <w:r w:rsidRPr="00195A79">
        <w:rPr>
          <w:b/>
          <w:color w:val="000000"/>
          <w:sz w:val="20"/>
          <w:szCs w:val="20"/>
        </w:rPr>
        <w:t>Задача</w:t>
      </w:r>
      <w:r w:rsidRPr="00195A79">
        <w:rPr>
          <w:b/>
          <w:bCs/>
          <w:color w:val="000000"/>
          <w:sz w:val="20"/>
          <w:szCs w:val="20"/>
        </w:rPr>
        <w:t xml:space="preserve">  3. </w:t>
      </w:r>
      <w:r w:rsidRPr="00195A79">
        <w:rPr>
          <w:color w:val="000000"/>
          <w:sz w:val="20"/>
          <w:szCs w:val="20"/>
        </w:rPr>
        <w:t>Склад основних виробничих фондів підприємства по групам, їх вартість на початок року та зміни протягом року слідуючи (в грн.)</w:t>
      </w: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1024"/>
        <w:gridCol w:w="1407"/>
        <w:gridCol w:w="1094"/>
        <w:gridCol w:w="1033"/>
        <w:gridCol w:w="1356"/>
      </w:tblGrid>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Групи основних фондів</w:t>
            </w:r>
          </w:p>
        </w:tc>
        <w:tc>
          <w:tcPr>
            <w:tcW w:w="2431" w:type="dxa"/>
            <w:gridSpan w:val="2"/>
          </w:tcPr>
          <w:p w:rsidR="00195A79" w:rsidRPr="00195A79" w:rsidRDefault="00195A79" w:rsidP="00195A79">
            <w:pPr>
              <w:spacing w:before="0" w:after="0"/>
              <w:contextualSpacing/>
              <w:jc w:val="both"/>
              <w:rPr>
                <w:color w:val="000000"/>
                <w:sz w:val="20"/>
                <w:szCs w:val="20"/>
              </w:rPr>
            </w:pPr>
            <w:r w:rsidRPr="00195A79">
              <w:rPr>
                <w:color w:val="000000"/>
                <w:sz w:val="20"/>
                <w:szCs w:val="20"/>
              </w:rPr>
              <w:t>На початок року</w:t>
            </w: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 xml:space="preserve">Зміни </w:t>
            </w:r>
          </w:p>
        </w:tc>
        <w:tc>
          <w:tcPr>
            <w:tcW w:w="2389" w:type="dxa"/>
            <w:gridSpan w:val="2"/>
          </w:tcPr>
          <w:p w:rsidR="00195A79" w:rsidRPr="00195A79" w:rsidRDefault="00195A79" w:rsidP="00195A79">
            <w:pPr>
              <w:spacing w:before="0" w:after="0"/>
              <w:contextualSpacing/>
              <w:jc w:val="both"/>
              <w:rPr>
                <w:color w:val="000000"/>
                <w:sz w:val="20"/>
                <w:szCs w:val="20"/>
              </w:rPr>
            </w:pPr>
            <w:r w:rsidRPr="00195A79">
              <w:rPr>
                <w:color w:val="000000"/>
                <w:sz w:val="20"/>
                <w:szCs w:val="20"/>
              </w:rPr>
              <w:t>На кінець року</w:t>
            </w:r>
          </w:p>
        </w:tc>
      </w:tr>
      <w:tr w:rsidR="00195A79" w:rsidRPr="00195A79" w:rsidTr="00195A79">
        <w:trPr>
          <w:trHeight w:hRule="exact" w:val="326"/>
        </w:trPr>
        <w:tc>
          <w:tcPr>
            <w:tcW w:w="5132" w:type="dxa"/>
          </w:tcPr>
          <w:p w:rsidR="00195A79" w:rsidRPr="00195A79" w:rsidRDefault="00195A79" w:rsidP="00195A79">
            <w:pPr>
              <w:spacing w:before="0" w:after="0"/>
              <w:contextualSpacing/>
              <w:jc w:val="both"/>
              <w:rPr>
                <w:color w:val="000000"/>
                <w:sz w:val="20"/>
                <w:szCs w:val="20"/>
              </w:rPr>
            </w:pP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грн</w:t>
            </w:r>
          </w:p>
        </w:tc>
        <w:tc>
          <w:tcPr>
            <w:tcW w:w="1406" w:type="dxa"/>
            <w:tcMar>
              <w:left w:w="0" w:type="dxa"/>
              <w:right w:w="0" w:type="dxa"/>
            </w:tcMar>
          </w:tcPr>
          <w:p w:rsidR="00195A79" w:rsidRPr="00195A79" w:rsidRDefault="00195A79" w:rsidP="00195A79">
            <w:pPr>
              <w:spacing w:before="0" w:after="0"/>
              <w:contextualSpacing/>
              <w:jc w:val="center"/>
              <w:rPr>
                <w:color w:val="000000"/>
                <w:sz w:val="20"/>
                <w:szCs w:val="20"/>
              </w:rPr>
            </w:pPr>
            <w:r w:rsidRPr="00195A79">
              <w:rPr>
                <w:color w:val="000000"/>
                <w:sz w:val="20"/>
                <w:szCs w:val="20"/>
              </w:rPr>
              <w:t>Структура,%</w:t>
            </w:r>
          </w:p>
        </w:tc>
        <w:tc>
          <w:tcPr>
            <w:tcW w:w="1094" w:type="dxa"/>
          </w:tcPr>
          <w:p w:rsidR="00195A79" w:rsidRPr="00195A79" w:rsidRDefault="00195A79" w:rsidP="00195A79">
            <w:pPr>
              <w:spacing w:before="0" w:after="0"/>
              <w:contextualSpacing/>
              <w:jc w:val="both"/>
              <w:rPr>
                <w:color w:val="000000"/>
                <w:sz w:val="20"/>
                <w:szCs w:val="20"/>
              </w:rPr>
            </w:pPr>
          </w:p>
        </w:tc>
        <w:tc>
          <w:tcPr>
            <w:tcW w:w="1033"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грн</w:t>
            </w:r>
          </w:p>
        </w:tc>
        <w:tc>
          <w:tcPr>
            <w:tcW w:w="1356" w:type="dxa"/>
            <w:tcMar>
              <w:left w:w="0" w:type="dxa"/>
              <w:right w:w="0" w:type="dxa"/>
            </w:tcMar>
          </w:tcPr>
          <w:p w:rsidR="00195A79" w:rsidRPr="00195A79" w:rsidRDefault="00195A79" w:rsidP="00195A79">
            <w:pPr>
              <w:spacing w:before="0" w:after="0"/>
              <w:contextualSpacing/>
              <w:jc w:val="center"/>
              <w:rPr>
                <w:color w:val="000000"/>
                <w:sz w:val="20"/>
                <w:szCs w:val="20"/>
              </w:rPr>
            </w:pPr>
            <w:r w:rsidRPr="00195A79">
              <w:rPr>
                <w:color w:val="000000"/>
                <w:sz w:val="20"/>
                <w:szCs w:val="20"/>
              </w:rPr>
              <w:t>Структура,%</w:t>
            </w: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1. Будівлі</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341510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 Споруди</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64610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3 .Передавальні пристрої</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36920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+440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4. Робочі машини і устаткування</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378430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+23500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5. Силові машини і устаткування</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18460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-530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6. Вимірювальні пристрої і лабораторне обладнання</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23998</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-810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7. Обчислювальна техніка</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21229</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+750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8. Транспортні засоби</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22152</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-910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9. Інші основні фонди</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15691</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-230</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r w:rsidR="00195A79" w:rsidRPr="00195A79" w:rsidTr="00195A79">
        <w:trPr>
          <w:trHeight w:val="253"/>
        </w:trPr>
        <w:tc>
          <w:tcPr>
            <w:tcW w:w="5132"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Разом</w:t>
            </w:r>
          </w:p>
        </w:tc>
        <w:tc>
          <w:tcPr>
            <w:tcW w:w="102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923000</w:t>
            </w:r>
          </w:p>
        </w:tc>
        <w:tc>
          <w:tcPr>
            <w:tcW w:w="1406" w:type="dxa"/>
          </w:tcPr>
          <w:p w:rsidR="00195A79" w:rsidRPr="00195A79" w:rsidRDefault="00195A79" w:rsidP="00195A79">
            <w:pPr>
              <w:spacing w:before="0" w:after="0"/>
              <w:contextualSpacing/>
              <w:jc w:val="both"/>
              <w:rPr>
                <w:color w:val="000000"/>
                <w:sz w:val="20"/>
                <w:szCs w:val="20"/>
              </w:rPr>
            </w:pPr>
          </w:p>
        </w:tc>
        <w:tc>
          <w:tcPr>
            <w:tcW w:w="1094" w:type="dxa"/>
          </w:tcPr>
          <w:p w:rsidR="00195A79" w:rsidRPr="00195A79" w:rsidRDefault="00195A79" w:rsidP="00195A79">
            <w:pPr>
              <w:spacing w:before="0" w:after="0"/>
              <w:contextualSpacing/>
              <w:jc w:val="both"/>
              <w:rPr>
                <w:color w:val="000000"/>
                <w:sz w:val="20"/>
                <w:szCs w:val="20"/>
              </w:rPr>
            </w:pPr>
            <w:r w:rsidRPr="00195A79">
              <w:rPr>
                <w:color w:val="000000"/>
                <w:sz w:val="20"/>
                <w:szCs w:val="20"/>
              </w:rPr>
              <w:t>-</w:t>
            </w:r>
          </w:p>
        </w:tc>
        <w:tc>
          <w:tcPr>
            <w:tcW w:w="1033" w:type="dxa"/>
          </w:tcPr>
          <w:p w:rsidR="00195A79" w:rsidRPr="00195A79" w:rsidRDefault="00195A79" w:rsidP="00195A79">
            <w:pPr>
              <w:spacing w:before="0" w:after="0"/>
              <w:contextualSpacing/>
              <w:jc w:val="both"/>
              <w:rPr>
                <w:color w:val="000000"/>
                <w:sz w:val="20"/>
                <w:szCs w:val="20"/>
              </w:rPr>
            </w:pPr>
          </w:p>
        </w:tc>
        <w:tc>
          <w:tcPr>
            <w:tcW w:w="1356" w:type="dxa"/>
          </w:tcPr>
          <w:p w:rsidR="00195A79" w:rsidRPr="00195A79" w:rsidRDefault="00195A79" w:rsidP="00195A79">
            <w:pPr>
              <w:spacing w:before="0" w:after="0"/>
              <w:contextualSpacing/>
              <w:jc w:val="both"/>
              <w:rPr>
                <w:color w:val="000000"/>
                <w:sz w:val="20"/>
                <w:szCs w:val="20"/>
              </w:rPr>
            </w:pPr>
          </w:p>
        </w:tc>
      </w:tr>
    </w:tbl>
    <w:p w:rsidR="00195A79" w:rsidRPr="00195A79" w:rsidRDefault="00195A79" w:rsidP="00195A79">
      <w:pPr>
        <w:pStyle w:val="33"/>
        <w:spacing w:after="0"/>
        <w:ind w:firstLine="709"/>
        <w:contextualSpacing/>
        <w:jc w:val="both"/>
        <w:rPr>
          <w:i/>
          <w:iCs/>
          <w:color w:val="000000"/>
          <w:sz w:val="20"/>
          <w:szCs w:val="20"/>
          <w:lang w:val="uk-UA"/>
        </w:rPr>
      </w:pPr>
      <w:r w:rsidRPr="00195A79">
        <w:rPr>
          <w:color w:val="000000"/>
          <w:sz w:val="20"/>
          <w:szCs w:val="20"/>
          <w:lang w:val="uk-UA"/>
        </w:rPr>
        <w:t>Обсяг товарної продукції за рік склав1236820 грн. Визначити структуру основних виробничих фондів на початок і кінець року та фондовіддачу.</w:t>
      </w:r>
    </w:p>
    <w:p w:rsidR="00195A79" w:rsidRPr="00195A79" w:rsidRDefault="00195A79" w:rsidP="00195A79">
      <w:pPr>
        <w:pStyle w:val="3"/>
        <w:spacing w:before="0" w:after="0"/>
        <w:ind w:firstLine="709"/>
        <w:contextualSpacing/>
        <w:jc w:val="both"/>
        <w:rPr>
          <w:rFonts w:ascii="Times New Roman" w:hAnsi="Times New Roman" w:cs="Times New Roman"/>
          <w:b w:val="0"/>
          <w:color w:val="000000"/>
          <w:sz w:val="20"/>
          <w:szCs w:val="20"/>
          <w:lang w:val="uk-UA"/>
        </w:rPr>
      </w:pPr>
    </w:p>
    <w:p w:rsidR="00195A79" w:rsidRPr="00195A79" w:rsidRDefault="00195A79" w:rsidP="00195A79">
      <w:pPr>
        <w:pStyle w:val="3"/>
        <w:spacing w:before="0" w:after="0"/>
        <w:ind w:firstLine="709"/>
        <w:contextualSpacing/>
        <w:jc w:val="both"/>
        <w:rPr>
          <w:rFonts w:ascii="Times New Roman" w:hAnsi="Times New Roman" w:cs="Times New Roman"/>
          <w:color w:val="000000"/>
          <w:sz w:val="20"/>
          <w:szCs w:val="20"/>
          <w:lang w:val="uk-UA"/>
        </w:rPr>
      </w:pPr>
      <w:r w:rsidRPr="00195A79">
        <w:rPr>
          <w:rFonts w:ascii="Times New Roman" w:hAnsi="Times New Roman" w:cs="Times New Roman"/>
          <w:color w:val="000000"/>
          <w:sz w:val="20"/>
          <w:szCs w:val="20"/>
          <w:lang w:val="uk-UA"/>
        </w:rPr>
        <w:t xml:space="preserve">Задача 4 </w:t>
      </w:r>
    </w:p>
    <w:p w:rsidR="00195A79" w:rsidRPr="00195A79" w:rsidRDefault="00195A79" w:rsidP="00195A79">
      <w:pPr>
        <w:pStyle w:val="3"/>
        <w:spacing w:before="0" w:after="0"/>
        <w:ind w:firstLine="709"/>
        <w:contextualSpacing/>
        <w:jc w:val="both"/>
        <w:rPr>
          <w:rFonts w:ascii="Times New Roman" w:hAnsi="Times New Roman" w:cs="Times New Roman"/>
          <w:b w:val="0"/>
          <w:color w:val="000000"/>
          <w:sz w:val="20"/>
          <w:szCs w:val="20"/>
          <w:lang w:val="uk-UA"/>
        </w:rPr>
      </w:pPr>
      <w:r w:rsidRPr="00195A79">
        <w:rPr>
          <w:rFonts w:ascii="Times New Roman" w:hAnsi="Times New Roman" w:cs="Times New Roman"/>
          <w:b w:val="0"/>
          <w:color w:val="000000"/>
          <w:sz w:val="20"/>
          <w:szCs w:val="20"/>
          <w:lang w:val="uk-UA"/>
        </w:rPr>
        <w:t xml:space="preserve">Основні виробничі фонди підприємства на початок року склали  2825000 грн. Введення і вибуття основних фондів протягом року відображені в таблиці. </w:t>
      </w:r>
    </w:p>
    <w:tbl>
      <w:tblPr>
        <w:tblStyle w:val="a3"/>
        <w:tblpPr w:leftFromText="180" w:rightFromText="180" w:vertAnchor="text" w:horzAnchor="margin" w:tblpY="292"/>
        <w:tblW w:w="10982" w:type="dxa"/>
        <w:tblInd w:w="0" w:type="dxa"/>
        <w:tblLook w:val="0000" w:firstRow="0" w:lastRow="0" w:firstColumn="0" w:lastColumn="0" w:noHBand="0" w:noVBand="0"/>
      </w:tblPr>
      <w:tblGrid>
        <w:gridCol w:w="6904"/>
        <w:gridCol w:w="2125"/>
        <w:gridCol w:w="1953"/>
      </w:tblGrid>
      <w:tr w:rsidR="00195A79" w:rsidRPr="00195A79" w:rsidTr="00195A79">
        <w:trPr>
          <w:trHeight w:val="258"/>
        </w:trPr>
        <w:tc>
          <w:tcPr>
            <w:tcW w:w="6904" w:type="dxa"/>
            <w:vMerge w:val="restart"/>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Місяць</w:t>
            </w:r>
          </w:p>
        </w:tc>
        <w:tc>
          <w:tcPr>
            <w:tcW w:w="4078" w:type="dxa"/>
            <w:gridSpan w:val="2"/>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Основні фонди , в грн.</w:t>
            </w:r>
          </w:p>
        </w:tc>
      </w:tr>
      <w:tr w:rsidR="00195A79" w:rsidRPr="00195A79" w:rsidTr="00195A79">
        <w:trPr>
          <w:trHeight w:val="164"/>
        </w:trPr>
        <w:tc>
          <w:tcPr>
            <w:tcW w:w="6904" w:type="dxa"/>
            <w:vMerge/>
            <w:vAlign w:val="center"/>
          </w:tcPr>
          <w:p w:rsidR="00195A79" w:rsidRPr="00195A79" w:rsidRDefault="00195A79" w:rsidP="00195A79">
            <w:pPr>
              <w:spacing w:before="0" w:after="0"/>
              <w:ind w:firstLine="709"/>
              <w:contextualSpacing/>
              <w:jc w:val="both"/>
              <w:rPr>
                <w:color w:val="000000"/>
                <w:sz w:val="20"/>
                <w:szCs w:val="20"/>
              </w:rPr>
            </w:pPr>
          </w:p>
        </w:tc>
        <w:tc>
          <w:tcPr>
            <w:tcW w:w="2125"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Введення</w:t>
            </w:r>
          </w:p>
        </w:tc>
        <w:tc>
          <w:tcPr>
            <w:tcW w:w="1953"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Вибуття</w:t>
            </w:r>
          </w:p>
        </w:tc>
      </w:tr>
      <w:tr w:rsidR="00195A79" w:rsidRPr="00195A79" w:rsidTr="00195A79">
        <w:trPr>
          <w:trHeight w:hRule="exact" w:val="287"/>
        </w:trPr>
        <w:tc>
          <w:tcPr>
            <w:tcW w:w="6904"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 лютого</w:t>
            </w:r>
          </w:p>
        </w:tc>
        <w:tc>
          <w:tcPr>
            <w:tcW w:w="2125"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40000</w:t>
            </w:r>
          </w:p>
        </w:tc>
        <w:tc>
          <w:tcPr>
            <w:tcW w:w="1953"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6000</w:t>
            </w:r>
          </w:p>
        </w:tc>
      </w:tr>
      <w:tr w:rsidR="00195A79" w:rsidRPr="00195A79" w:rsidTr="00195A79">
        <w:trPr>
          <w:trHeight w:hRule="exact" w:val="287"/>
        </w:trPr>
        <w:tc>
          <w:tcPr>
            <w:tcW w:w="6904"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 травня</w:t>
            </w:r>
          </w:p>
        </w:tc>
        <w:tc>
          <w:tcPr>
            <w:tcW w:w="2125"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50000</w:t>
            </w:r>
          </w:p>
        </w:tc>
        <w:tc>
          <w:tcPr>
            <w:tcW w:w="1953"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4000</w:t>
            </w:r>
          </w:p>
        </w:tc>
      </w:tr>
      <w:tr w:rsidR="00195A79" w:rsidRPr="00195A79" w:rsidTr="00195A79">
        <w:trPr>
          <w:trHeight w:hRule="exact" w:val="287"/>
        </w:trPr>
        <w:tc>
          <w:tcPr>
            <w:tcW w:w="6904"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 серпня</w:t>
            </w:r>
          </w:p>
        </w:tc>
        <w:tc>
          <w:tcPr>
            <w:tcW w:w="2125"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17000</w:t>
            </w:r>
          </w:p>
        </w:tc>
        <w:tc>
          <w:tcPr>
            <w:tcW w:w="1953"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8000</w:t>
            </w:r>
          </w:p>
        </w:tc>
      </w:tr>
      <w:tr w:rsidR="00195A79" w:rsidRPr="00195A79" w:rsidTr="00195A79">
        <w:trPr>
          <w:trHeight w:hRule="exact" w:val="287"/>
        </w:trPr>
        <w:tc>
          <w:tcPr>
            <w:tcW w:w="6904"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 листопада</w:t>
            </w:r>
          </w:p>
        </w:tc>
        <w:tc>
          <w:tcPr>
            <w:tcW w:w="2125"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10000</w:t>
            </w:r>
          </w:p>
        </w:tc>
        <w:tc>
          <w:tcPr>
            <w:tcW w:w="1953" w:type="dxa"/>
            <w:vAlign w:val="center"/>
          </w:tcPr>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5000</w:t>
            </w:r>
          </w:p>
        </w:tc>
      </w:tr>
    </w:tbl>
    <w:p w:rsidR="00195A79" w:rsidRPr="00195A79" w:rsidRDefault="00195A79" w:rsidP="00195A79">
      <w:pPr>
        <w:pStyle w:val="3"/>
        <w:spacing w:before="0" w:after="0"/>
        <w:ind w:firstLine="709"/>
        <w:contextualSpacing/>
        <w:jc w:val="both"/>
        <w:rPr>
          <w:rFonts w:ascii="Times New Roman" w:hAnsi="Times New Roman" w:cs="Times New Roman"/>
          <w:b w:val="0"/>
          <w:color w:val="000000"/>
          <w:sz w:val="20"/>
          <w:szCs w:val="20"/>
          <w:lang w:val="uk-UA"/>
        </w:rPr>
      </w:pPr>
    </w:p>
    <w:p w:rsidR="00195A79" w:rsidRPr="00195A79" w:rsidRDefault="00195A79" w:rsidP="00195A79">
      <w:pPr>
        <w:pStyle w:val="3"/>
        <w:spacing w:before="0" w:after="0"/>
        <w:ind w:firstLine="709"/>
        <w:contextualSpacing/>
        <w:jc w:val="both"/>
        <w:rPr>
          <w:rFonts w:ascii="Times New Roman" w:hAnsi="Times New Roman" w:cs="Times New Roman"/>
          <w:b w:val="0"/>
          <w:color w:val="000000"/>
          <w:sz w:val="20"/>
          <w:szCs w:val="20"/>
          <w:lang w:val="uk-UA"/>
        </w:rPr>
      </w:pPr>
      <w:r w:rsidRPr="00195A79">
        <w:rPr>
          <w:rFonts w:ascii="Times New Roman" w:hAnsi="Times New Roman" w:cs="Times New Roman"/>
          <w:b w:val="0"/>
          <w:color w:val="000000"/>
          <w:sz w:val="20"/>
          <w:szCs w:val="20"/>
          <w:lang w:val="uk-UA"/>
        </w:rPr>
        <w:t>Визначити середньорічну і вихідну вартість основних виробничих фондів, а також коефіцієнти вибуття і оновлення основних фондів.</w:t>
      </w:r>
    </w:p>
    <w:p w:rsidR="00195A79" w:rsidRPr="00195A79" w:rsidRDefault="00195A79" w:rsidP="00195A79">
      <w:pPr>
        <w:pStyle w:val="9"/>
        <w:ind w:firstLine="709"/>
        <w:contextualSpacing/>
        <w:rPr>
          <w:i w:val="0"/>
          <w:iCs w:val="0"/>
          <w:color w:val="000000"/>
          <w:sz w:val="20"/>
          <w:szCs w:val="20"/>
        </w:rPr>
      </w:pPr>
      <w:r w:rsidRPr="00195A79">
        <w:rPr>
          <w:i w:val="0"/>
          <w:iCs w:val="0"/>
          <w:color w:val="000000"/>
          <w:sz w:val="20"/>
          <w:szCs w:val="20"/>
        </w:rPr>
        <w:t xml:space="preserve"> </w:t>
      </w:r>
    </w:p>
    <w:p w:rsidR="00195A79" w:rsidRPr="00195A79" w:rsidRDefault="00195A79" w:rsidP="00195A79">
      <w:pPr>
        <w:spacing w:before="0" w:after="0"/>
        <w:ind w:firstLine="709"/>
        <w:contextualSpacing/>
        <w:jc w:val="both"/>
        <w:rPr>
          <w:color w:val="000000"/>
          <w:sz w:val="20"/>
          <w:szCs w:val="20"/>
        </w:rPr>
      </w:pPr>
      <w:r w:rsidRPr="00195A79">
        <w:rPr>
          <w:b/>
          <w:bCs/>
          <w:color w:val="000000"/>
          <w:sz w:val="20"/>
          <w:szCs w:val="20"/>
        </w:rPr>
        <w:t xml:space="preserve">Задача 5. </w:t>
      </w:r>
      <w:r w:rsidRPr="00195A79">
        <w:rPr>
          <w:color w:val="000000"/>
          <w:sz w:val="20"/>
          <w:szCs w:val="20"/>
        </w:rPr>
        <w:t>Визначити норму амортизації та суму нарахованої амортизації  за весь термін служби, та залишкову вартість об’єкта, якщо первісна вартість основних засобів 50000 грн, ліквідаційна вартість 2000. Термін використання об’єкта основних засобів  8 років.</w:t>
      </w:r>
    </w:p>
    <w:p w:rsidR="00195A79" w:rsidRDefault="00195A79" w:rsidP="00195A79">
      <w:pPr>
        <w:spacing w:before="0" w:after="0"/>
        <w:ind w:firstLine="709"/>
        <w:contextualSpacing/>
        <w:jc w:val="both"/>
        <w:rPr>
          <w:b/>
          <w:color w:val="000000"/>
          <w:sz w:val="22"/>
          <w:szCs w:val="22"/>
        </w:rPr>
      </w:pPr>
    </w:p>
    <w:p w:rsidR="00195A79" w:rsidRPr="00195A79" w:rsidRDefault="00195A79" w:rsidP="00195A79">
      <w:pPr>
        <w:spacing w:before="0" w:after="0"/>
        <w:ind w:firstLine="709"/>
        <w:contextualSpacing/>
        <w:jc w:val="center"/>
        <w:rPr>
          <w:color w:val="000000"/>
          <w:sz w:val="20"/>
          <w:szCs w:val="20"/>
        </w:rPr>
      </w:pPr>
      <w:r w:rsidRPr="00195A79">
        <w:rPr>
          <w:b/>
          <w:color w:val="000000"/>
          <w:sz w:val="20"/>
          <w:szCs w:val="20"/>
        </w:rPr>
        <w:t>КОМПЛЕКСНА ЗАДАЧА</w:t>
      </w:r>
      <w:r w:rsidRPr="00195A79">
        <w:rPr>
          <w:color w:val="000000"/>
          <w:sz w:val="20"/>
          <w:szCs w:val="20"/>
        </w:rPr>
        <w:t>.</w:t>
      </w:r>
    </w:p>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Фірма «Козак» випускає продукцію декількох видів. Вартість основних фондів фірми складає на 01.01 1,5 млн. грн. для задоволення потреб фірми директор вирішив ще придбати основні фонди, вартість та строки придбання яких наведено в таблиці. Також через деякий час передбачено вивести з експлуатації застарілі основні фонди. Витрати на страхування ризиків дорівнюють 0.</w:t>
      </w:r>
    </w:p>
    <w:p w:rsidR="00195A79" w:rsidRPr="00195A79" w:rsidRDefault="00195A79" w:rsidP="00195A79">
      <w:pPr>
        <w:spacing w:before="0" w:after="0"/>
        <w:ind w:firstLine="709"/>
        <w:contextualSpacing/>
        <w:jc w:val="both"/>
        <w:rPr>
          <w:color w:val="000000"/>
          <w:sz w:val="20"/>
          <w:szCs w:val="20"/>
        </w:rPr>
      </w:pPr>
      <w:r w:rsidRPr="00195A79">
        <w:rPr>
          <w:color w:val="000000"/>
          <w:sz w:val="20"/>
          <w:szCs w:val="20"/>
        </w:rPr>
        <w:t>Назва показників, чиї порядкові номери представлені у варіантній таблиці:</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придбано у 2015 році будівель та споруд,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придбано у 2015 році автомобілів,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lastRenderedPageBreak/>
        <w:t xml:space="preserve">Було придбано у 2015 році, верстатів,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придбано у 2015 році комп’ютерів,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виведено у 2015 році, будівель та </w:t>
      </w:r>
      <w:proofErr w:type="spellStart"/>
      <w:r w:rsidRPr="00195A79">
        <w:rPr>
          <w:color w:val="000000"/>
          <w:sz w:val="20"/>
          <w:szCs w:val="20"/>
        </w:rPr>
        <w:t>споруд,тис.грн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виведено у 2015 році, автомобілів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виведено у 2015 році, верстатів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Було виведено у 2015 році комп’ютерів, </w:t>
      </w:r>
      <w:proofErr w:type="spellStart"/>
      <w:r w:rsidRPr="00195A79">
        <w:rPr>
          <w:color w:val="000000"/>
          <w:sz w:val="20"/>
          <w:szCs w:val="20"/>
        </w:rPr>
        <w:t>тис.грн</w:t>
      </w:r>
      <w:proofErr w:type="spellEnd"/>
      <w:r w:rsidRPr="00195A79">
        <w:rPr>
          <w:color w:val="000000"/>
          <w:sz w:val="20"/>
          <w:szCs w:val="20"/>
        </w:rPr>
        <w:t>;</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Строк нормативної служби експлуатації придбаних будівель та споруд,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Строк нормативної служби експлуатації придбаних автомобілів,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Строк нормативної служби експлуатації придбаних, верстатів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Строк нормативної служби експлуатації придбаних </w:t>
      </w:r>
      <w:proofErr w:type="spellStart"/>
      <w:r w:rsidRPr="00195A79">
        <w:rPr>
          <w:color w:val="000000"/>
          <w:sz w:val="20"/>
          <w:szCs w:val="20"/>
        </w:rPr>
        <w:t>компютерів</w:t>
      </w:r>
      <w:proofErr w:type="spellEnd"/>
      <w:r w:rsidRPr="00195A79">
        <w:rPr>
          <w:color w:val="000000"/>
          <w:sz w:val="20"/>
          <w:szCs w:val="20"/>
        </w:rPr>
        <w:t xml:space="preserve">,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Ліквідаційна вартість придбаних у 2005 р. будівель та споруд, </w:t>
      </w:r>
      <w:proofErr w:type="spellStart"/>
      <w:r w:rsidRPr="00195A79">
        <w:rPr>
          <w:color w:val="000000"/>
          <w:sz w:val="20"/>
          <w:szCs w:val="20"/>
        </w:rPr>
        <w:t>тис.грн</w:t>
      </w:r>
      <w:proofErr w:type="spellEnd"/>
      <w:r w:rsidRPr="00195A79">
        <w:rPr>
          <w:color w:val="000000"/>
          <w:sz w:val="20"/>
          <w:szCs w:val="20"/>
        </w:rPr>
        <w:t>, після встановленого строку використання</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Ліквідаційна вартість придбаних у 2005 р. автомобілів, </w:t>
      </w:r>
      <w:proofErr w:type="spellStart"/>
      <w:r w:rsidRPr="00195A79">
        <w:rPr>
          <w:color w:val="000000"/>
          <w:sz w:val="20"/>
          <w:szCs w:val="20"/>
        </w:rPr>
        <w:t>тис.грн</w:t>
      </w:r>
      <w:proofErr w:type="spellEnd"/>
      <w:r w:rsidRPr="00195A79">
        <w:rPr>
          <w:color w:val="000000"/>
          <w:sz w:val="20"/>
          <w:szCs w:val="20"/>
        </w:rPr>
        <w:t>, після встановленого строку використання</w:t>
      </w:r>
    </w:p>
    <w:p w:rsidR="00195A79" w:rsidRPr="00195A79" w:rsidRDefault="00195A79" w:rsidP="00195A79">
      <w:pPr>
        <w:numPr>
          <w:ilvl w:val="0"/>
          <w:numId w:val="5"/>
        </w:numPr>
        <w:tabs>
          <w:tab w:val="clear" w:pos="720"/>
          <w:tab w:val="num" w:pos="327"/>
        </w:tabs>
        <w:spacing w:before="0" w:after="0"/>
        <w:ind w:left="0" w:firstLine="0"/>
        <w:contextualSpacing/>
        <w:jc w:val="both"/>
        <w:rPr>
          <w:color w:val="000000"/>
          <w:sz w:val="20"/>
          <w:szCs w:val="20"/>
        </w:rPr>
      </w:pPr>
      <w:r w:rsidRPr="00195A79">
        <w:rPr>
          <w:color w:val="000000"/>
          <w:sz w:val="20"/>
          <w:szCs w:val="20"/>
        </w:rPr>
        <w:t xml:space="preserve">Ліквідаційна вартість придбаних у 2005 р. верстатів, </w:t>
      </w:r>
      <w:proofErr w:type="spellStart"/>
      <w:r w:rsidRPr="00195A79">
        <w:rPr>
          <w:color w:val="000000"/>
          <w:sz w:val="20"/>
          <w:szCs w:val="20"/>
        </w:rPr>
        <w:t>тис.грн</w:t>
      </w:r>
      <w:proofErr w:type="spellEnd"/>
      <w:r w:rsidRPr="00195A79">
        <w:rPr>
          <w:color w:val="000000"/>
          <w:sz w:val="20"/>
          <w:szCs w:val="20"/>
        </w:rPr>
        <w:t>, після встановленого строку використання</w:t>
      </w:r>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Ліквідаційна вартість придбаних у 2005 р. комп’ютерів, </w:t>
      </w:r>
      <w:proofErr w:type="spellStart"/>
      <w:r w:rsidRPr="00195A79">
        <w:rPr>
          <w:color w:val="000000"/>
          <w:sz w:val="20"/>
          <w:szCs w:val="20"/>
        </w:rPr>
        <w:t>тис.грн</w:t>
      </w:r>
      <w:proofErr w:type="spellEnd"/>
      <w:r w:rsidRPr="00195A79">
        <w:rPr>
          <w:color w:val="000000"/>
          <w:sz w:val="20"/>
          <w:szCs w:val="20"/>
        </w:rPr>
        <w:t>, після встановленого строку використання</w:t>
      </w:r>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Обсяг продукції на одного працівника, який підприємство очікує виробити із використанням придбаних основних фондів у 2015 р., </w:t>
      </w:r>
      <w:proofErr w:type="spellStart"/>
      <w:r w:rsidRPr="00195A79">
        <w:rPr>
          <w:color w:val="000000"/>
          <w:sz w:val="20"/>
          <w:szCs w:val="20"/>
        </w:rPr>
        <w:t>тис.грн</w:t>
      </w:r>
      <w:proofErr w:type="spellEnd"/>
    </w:p>
    <w:p w:rsidR="00195A79" w:rsidRPr="00195A79" w:rsidRDefault="00D37C80"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Pr>
          <w:color w:val="000000"/>
          <w:sz w:val="20"/>
          <w:szCs w:val="20"/>
        </w:rPr>
        <w:t>Кількість працівників у 201</w:t>
      </w:r>
      <w:r w:rsidR="00195A79" w:rsidRPr="00195A79">
        <w:rPr>
          <w:color w:val="000000"/>
          <w:sz w:val="20"/>
          <w:szCs w:val="20"/>
        </w:rPr>
        <w:t xml:space="preserve">5 році, </w:t>
      </w:r>
      <w:proofErr w:type="spellStart"/>
      <w:r w:rsidR="00195A79" w:rsidRPr="00195A79">
        <w:rPr>
          <w:color w:val="000000"/>
          <w:sz w:val="20"/>
          <w:szCs w:val="20"/>
        </w:rPr>
        <w:t>чол</w:t>
      </w:r>
      <w:proofErr w:type="spellEnd"/>
      <w:r w:rsidR="00195A79" w:rsidRPr="00195A79">
        <w:rPr>
          <w:color w:val="000000"/>
          <w:sz w:val="20"/>
          <w:szCs w:val="20"/>
        </w:rPr>
        <w:t>..</w:t>
      </w:r>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Збори, мита, непрямі податки при купівлі будівель та споруд,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Збори, мита, непрямі податки при купівлі автомобілів,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Збори, мита, непрямі податки при купівлі верстатів,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Збори, мита, непрямі податки при купівлі комп’ютерів,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Витрати на установку, монтаж та доведення до належного стану будівель та споруд,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Витрати на установку, монтаж та доведення до належного стану автомобілів,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Витрати на установку, монтаж та доведення до належного стану верстатів, </w:t>
      </w:r>
      <w:proofErr w:type="spellStart"/>
      <w:r w:rsidRPr="00195A79">
        <w:rPr>
          <w:color w:val="000000"/>
          <w:sz w:val="20"/>
          <w:szCs w:val="20"/>
        </w:rPr>
        <w:t>тис.грн</w:t>
      </w:r>
      <w:proofErr w:type="spellEnd"/>
    </w:p>
    <w:p w:rsidR="00195A79" w:rsidRPr="00195A79" w:rsidRDefault="00195A79" w:rsidP="00195A79">
      <w:pPr>
        <w:numPr>
          <w:ilvl w:val="0"/>
          <w:numId w:val="5"/>
        </w:numPr>
        <w:tabs>
          <w:tab w:val="clear" w:pos="720"/>
          <w:tab w:val="num" w:pos="327"/>
          <w:tab w:val="num" w:pos="436"/>
        </w:tabs>
        <w:spacing w:before="0" w:after="0"/>
        <w:ind w:left="0" w:firstLine="0"/>
        <w:contextualSpacing/>
        <w:jc w:val="both"/>
        <w:rPr>
          <w:color w:val="000000"/>
          <w:sz w:val="20"/>
          <w:szCs w:val="20"/>
        </w:rPr>
      </w:pPr>
      <w:r w:rsidRPr="00195A79">
        <w:rPr>
          <w:color w:val="000000"/>
          <w:sz w:val="20"/>
          <w:szCs w:val="20"/>
        </w:rPr>
        <w:t xml:space="preserve">Витрати на установку, монтаж та доведення до належного стану комп’ютерів , </w:t>
      </w:r>
      <w:proofErr w:type="spellStart"/>
      <w:r w:rsidRPr="00195A79">
        <w:rPr>
          <w:color w:val="000000"/>
          <w:sz w:val="20"/>
          <w:szCs w:val="20"/>
        </w:rPr>
        <w:t>тис.грн</w:t>
      </w:r>
      <w:proofErr w:type="spellEnd"/>
    </w:p>
    <w:p w:rsidR="00195A79" w:rsidRPr="00195A79" w:rsidRDefault="00195A79" w:rsidP="00195A79">
      <w:pPr>
        <w:spacing w:before="0" w:after="0"/>
        <w:ind w:firstLine="709"/>
        <w:contextualSpacing/>
        <w:jc w:val="both"/>
        <w:rPr>
          <w:b/>
          <w:color w:val="000000"/>
          <w:sz w:val="20"/>
          <w:szCs w:val="20"/>
        </w:rPr>
      </w:pPr>
    </w:p>
    <w:p w:rsidR="00195A79" w:rsidRPr="00195A79" w:rsidRDefault="00195A79" w:rsidP="00195A79">
      <w:pPr>
        <w:spacing w:before="0" w:after="0"/>
        <w:ind w:firstLine="709"/>
        <w:contextualSpacing/>
        <w:jc w:val="both"/>
        <w:rPr>
          <w:b/>
          <w:color w:val="000000"/>
          <w:sz w:val="20"/>
          <w:szCs w:val="20"/>
        </w:rPr>
      </w:pPr>
      <w:r w:rsidRPr="00195A79">
        <w:rPr>
          <w:b/>
          <w:color w:val="000000"/>
          <w:sz w:val="20"/>
          <w:szCs w:val="20"/>
        </w:rPr>
        <w:t>ВИЗНАЧИТИ:</w:t>
      </w:r>
    </w:p>
    <w:p w:rsidR="00195A79" w:rsidRPr="00195A79" w:rsidRDefault="00195A79" w:rsidP="00195A79">
      <w:pPr>
        <w:spacing w:before="0" w:after="0"/>
        <w:contextualSpacing/>
        <w:jc w:val="both"/>
        <w:rPr>
          <w:color w:val="000000"/>
          <w:sz w:val="20"/>
          <w:szCs w:val="20"/>
        </w:rPr>
      </w:pPr>
      <w:r w:rsidRPr="00195A79">
        <w:rPr>
          <w:color w:val="000000"/>
          <w:sz w:val="20"/>
          <w:szCs w:val="20"/>
        </w:rPr>
        <w:t>1. Середньорічну вартість всіх основних фондів та норму амортизації кожної групи основних фондів</w:t>
      </w:r>
    </w:p>
    <w:p w:rsidR="00195A79" w:rsidRPr="00195A79" w:rsidRDefault="00195A79" w:rsidP="00195A79">
      <w:pPr>
        <w:spacing w:before="0" w:after="0"/>
        <w:contextualSpacing/>
        <w:jc w:val="both"/>
        <w:rPr>
          <w:color w:val="000000"/>
          <w:sz w:val="20"/>
          <w:szCs w:val="20"/>
        </w:rPr>
      </w:pPr>
      <w:r w:rsidRPr="00195A79">
        <w:rPr>
          <w:color w:val="000000"/>
          <w:sz w:val="20"/>
          <w:szCs w:val="20"/>
        </w:rPr>
        <w:t>2. Суму амортизації відрахувань для придбання основних фондів кожної групи за такими методами:</w:t>
      </w:r>
    </w:p>
    <w:p w:rsidR="00195A79" w:rsidRPr="00195A79" w:rsidRDefault="00195A79" w:rsidP="00195A79">
      <w:pPr>
        <w:spacing w:before="0" w:after="0"/>
        <w:contextualSpacing/>
        <w:jc w:val="both"/>
        <w:rPr>
          <w:color w:val="000000"/>
          <w:sz w:val="20"/>
          <w:szCs w:val="20"/>
        </w:rPr>
      </w:pPr>
      <w:r w:rsidRPr="00195A79">
        <w:rPr>
          <w:color w:val="000000"/>
          <w:sz w:val="20"/>
          <w:szCs w:val="20"/>
        </w:rPr>
        <w:t>прямолінійним</w:t>
      </w:r>
    </w:p>
    <w:p w:rsidR="00195A79" w:rsidRPr="00195A79" w:rsidRDefault="00195A79" w:rsidP="00195A79">
      <w:pPr>
        <w:spacing w:before="0" w:after="0"/>
        <w:contextualSpacing/>
        <w:jc w:val="both"/>
        <w:rPr>
          <w:color w:val="000000"/>
          <w:sz w:val="20"/>
          <w:szCs w:val="20"/>
        </w:rPr>
      </w:pPr>
      <w:r w:rsidRPr="00195A79">
        <w:rPr>
          <w:color w:val="000000"/>
          <w:sz w:val="20"/>
          <w:szCs w:val="20"/>
        </w:rPr>
        <w:t>податковим (норми амортизації, передбачені податковим законодавством наступні: група 1 -2%, група 2 -10%, група 3- 6%, група 4 -15%)</w:t>
      </w:r>
    </w:p>
    <w:p w:rsidR="00195A79" w:rsidRPr="00195A79" w:rsidRDefault="00195A79" w:rsidP="00195A79">
      <w:pPr>
        <w:spacing w:before="0" w:after="0"/>
        <w:contextualSpacing/>
        <w:jc w:val="both"/>
        <w:rPr>
          <w:color w:val="000000"/>
          <w:sz w:val="20"/>
          <w:szCs w:val="20"/>
        </w:rPr>
      </w:pPr>
      <w:r w:rsidRPr="00195A79">
        <w:rPr>
          <w:color w:val="000000"/>
          <w:sz w:val="20"/>
          <w:szCs w:val="20"/>
        </w:rPr>
        <w:t>3. Основні показники використання основних фондів: фондовіддачу, фондомісткість, фондоозброєність</w:t>
      </w:r>
    </w:p>
    <w:p w:rsidR="00195A79" w:rsidRPr="00195A79" w:rsidRDefault="00195A79" w:rsidP="00195A79">
      <w:pPr>
        <w:spacing w:before="0" w:after="0"/>
        <w:contextualSpacing/>
        <w:jc w:val="both"/>
        <w:rPr>
          <w:color w:val="000000"/>
          <w:sz w:val="20"/>
          <w:szCs w:val="20"/>
        </w:rPr>
      </w:pPr>
      <w:r w:rsidRPr="00195A79">
        <w:rPr>
          <w:color w:val="000000"/>
          <w:sz w:val="20"/>
          <w:szCs w:val="20"/>
        </w:rPr>
        <w:t>4. Коефіцієнти оновлення та вибуття</w:t>
      </w:r>
    </w:p>
    <w:p w:rsidR="00195A79" w:rsidRPr="00195A79" w:rsidRDefault="00195A79" w:rsidP="00195A79">
      <w:pPr>
        <w:spacing w:before="0" w:after="0"/>
        <w:contextualSpacing/>
        <w:jc w:val="both"/>
        <w:rPr>
          <w:color w:val="000000"/>
          <w:sz w:val="20"/>
          <w:szCs w:val="20"/>
        </w:rPr>
      </w:pPr>
      <w:r w:rsidRPr="00195A79">
        <w:rPr>
          <w:color w:val="000000"/>
          <w:sz w:val="20"/>
          <w:szCs w:val="20"/>
        </w:rPr>
        <w:t>5. Коефіцієнти фізичного, морального та загального зношення усіх придбаних основних фондів після трьох років їх служби</w:t>
      </w:r>
    </w:p>
    <w:p w:rsidR="00195A79" w:rsidRPr="00195A79" w:rsidRDefault="00195A79" w:rsidP="00195A79">
      <w:pPr>
        <w:spacing w:before="0" w:after="0"/>
        <w:contextualSpacing/>
        <w:jc w:val="both"/>
        <w:rPr>
          <w:b/>
          <w:color w:val="000000"/>
          <w:sz w:val="20"/>
          <w:szCs w:val="20"/>
          <w:u w:val="single"/>
        </w:rPr>
      </w:pPr>
    </w:p>
    <w:p w:rsidR="00195A79" w:rsidRPr="00195A79" w:rsidRDefault="00195A79" w:rsidP="00195A79">
      <w:pPr>
        <w:spacing w:before="0" w:after="0"/>
        <w:contextualSpacing/>
        <w:jc w:val="center"/>
        <w:rPr>
          <w:b/>
          <w:color w:val="000000"/>
          <w:sz w:val="20"/>
          <w:szCs w:val="20"/>
          <w:u w:val="single"/>
        </w:rPr>
      </w:pPr>
      <w:r w:rsidRPr="00195A79">
        <w:rPr>
          <w:b/>
          <w:color w:val="000000"/>
          <w:sz w:val="20"/>
          <w:szCs w:val="20"/>
          <w:u w:val="single"/>
        </w:rPr>
        <w:t>Хід роботи</w:t>
      </w:r>
    </w:p>
    <w:p w:rsidR="00195A79" w:rsidRPr="00195A79" w:rsidRDefault="00195A79" w:rsidP="00195A79">
      <w:pPr>
        <w:tabs>
          <w:tab w:val="left" w:pos="180"/>
        </w:tabs>
        <w:spacing w:before="0" w:after="0"/>
        <w:contextualSpacing/>
        <w:rPr>
          <w:color w:val="000000"/>
          <w:sz w:val="20"/>
          <w:szCs w:val="20"/>
        </w:rPr>
      </w:pPr>
      <w:r w:rsidRPr="00195A79">
        <w:rPr>
          <w:color w:val="000000"/>
          <w:sz w:val="20"/>
          <w:szCs w:val="20"/>
        </w:rPr>
        <w:t xml:space="preserve">1. Визначаємо середньорічну вартість основних фондів: </w:t>
      </w:r>
      <w:r w:rsidRPr="00195A79">
        <w:rPr>
          <w:color w:val="000000"/>
          <w:position w:val="-24"/>
          <w:sz w:val="20"/>
          <w:szCs w:val="20"/>
        </w:rPr>
        <w:object w:dxaOrig="4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30pt" o:ole="">
            <v:imagedata r:id="rId5" o:title=""/>
          </v:shape>
          <o:OLEObject Type="Embed" ProgID="Equation.3" ShapeID="_x0000_i1025" DrawAspect="Content" ObjectID="_1710687236" r:id="rId6"/>
        </w:object>
      </w:r>
    </w:p>
    <w:p w:rsidR="00195A79" w:rsidRPr="00195A79" w:rsidRDefault="00195A79" w:rsidP="00195A79">
      <w:pPr>
        <w:tabs>
          <w:tab w:val="left" w:pos="180"/>
        </w:tabs>
        <w:spacing w:before="0" w:after="0"/>
        <w:contextualSpacing/>
        <w:jc w:val="both"/>
        <w:rPr>
          <w:color w:val="000000"/>
          <w:sz w:val="20"/>
          <w:szCs w:val="20"/>
        </w:rPr>
      </w:pPr>
      <w:r w:rsidRPr="00195A79">
        <w:rPr>
          <w:color w:val="000000"/>
          <w:sz w:val="20"/>
          <w:szCs w:val="20"/>
        </w:rPr>
        <w:t>2. Визначаємо первісну балансову вартість кожної групи основних фондів</w:t>
      </w:r>
    </w:p>
    <w:p w:rsidR="00195A79" w:rsidRPr="00195A79" w:rsidRDefault="00195A79" w:rsidP="00195A79">
      <w:pPr>
        <w:tabs>
          <w:tab w:val="num" w:pos="0"/>
          <w:tab w:val="left" w:pos="180"/>
        </w:tabs>
        <w:spacing w:before="0" w:after="0"/>
        <w:contextualSpacing/>
        <w:jc w:val="center"/>
        <w:rPr>
          <w:b/>
          <w:color w:val="000000"/>
          <w:sz w:val="20"/>
          <w:szCs w:val="20"/>
        </w:rPr>
      </w:pPr>
      <w:proofErr w:type="spellStart"/>
      <w:r w:rsidRPr="00195A79">
        <w:rPr>
          <w:b/>
          <w:color w:val="000000"/>
          <w:sz w:val="20"/>
          <w:szCs w:val="20"/>
        </w:rPr>
        <w:t>Вперв</w:t>
      </w:r>
      <w:proofErr w:type="spellEnd"/>
      <w:r w:rsidRPr="00195A79">
        <w:rPr>
          <w:b/>
          <w:color w:val="000000"/>
          <w:sz w:val="20"/>
          <w:szCs w:val="20"/>
        </w:rPr>
        <w:t xml:space="preserve"> = Ціна придбання + Збори, мита + Витрати на установку, грн.</w:t>
      </w:r>
    </w:p>
    <w:p w:rsidR="00195A79" w:rsidRPr="00195A79" w:rsidRDefault="00195A79" w:rsidP="00195A79">
      <w:pPr>
        <w:tabs>
          <w:tab w:val="left" w:pos="180"/>
        </w:tabs>
        <w:spacing w:before="0" w:after="0"/>
        <w:contextualSpacing/>
        <w:jc w:val="both"/>
        <w:rPr>
          <w:b/>
          <w:i/>
          <w:color w:val="000000"/>
          <w:sz w:val="20"/>
          <w:szCs w:val="20"/>
        </w:rPr>
      </w:pPr>
      <w:r w:rsidRPr="00195A79">
        <w:rPr>
          <w:color w:val="000000"/>
          <w:sz w:val="20"/>
          <w:szCs w:val="20"/>
        </w:rPr>
        <w:t>3. Визначаємо норму амортизації(На)</w:t>
      </w:r>
      <w:r w:rsidRPr="00195A79">
        <w:rPr>
          <w:b/>
          <w:i/>
          <w:color w:val="000000"/>
          <w:sz w:val="20"/>
          <w:szCs w:val="20"/>
        </w:rPr>
        <w:t xml:space="preserve"> </w:t>
      </w:r>
      <w:r w:rsidRPr="00195A79">
        <w:rPr>
          <w:b/>
          <w:i/>
          <w:color w:val="000000"/>
          <w:position w:val="-32"/>
          <w:sz w:val="20"/>
          <w:szCs w:val="20"/>
        </w:rPr>
        <w:object w:dxaOrig="2299" w:dyaOrig="740">
          <v:shape id="_x0000_i1026" type="#_x0000_t75" style="width:100.9pt;height:31.9pt" o:ole="">
            <v:imagedata r:id="rId7" o:title=""/>
          </v:shape>
          <o:OLEObject Type="Embed" ProgID="Equation.3" ShapeID="_x0000_i1026" DrawAspect="Content" ObjectID="_1710687237" r:id="rId8"/>
        </w:object>
      </w:r>
    </w:p>
    <w:p w:rsidR="00195A79" w:rsidRPr="00195A79" w:rsidRDefault="00195A79" w:rsidP="00195A79">
      <w:pPr>
        <w:tabs>
          <w:tab w:val="left" w:pos="180"/>
        </w:tabs>
        <w:spacing w:before="0" w:after="0"/>
        <w:contextualSpacing/>
        <w:jc w:val="both"/>
        <w:rPr>
          <w:color w:val="000000"/>
          <w:sz w:val="20"/>
          <w:szCs w:val="20"/>
        </w:rPr>
      </w:pPr>
      <w:r w:rsidRPr="00195A79">
        <w:rPr>
          <w:color w:val="000000"/>
          <w:sz w:val="20"/>
          <w:szCs w:val="20"/>
        </w:rPr>
        <w:t xml:space="preserve">4. Визначаємо суму амортизаційних відрахувань для кожної групи прямолінійним методом: </w:t>
      </w:r>
    </w:p>
    <w:p w:rsidR="00195A79" w:rsidRPr="00195A79" w:rsidRDefault="00195A79" w:rsidP="00195A79">
      <w:pPr>
        <w:tabs>
          <w:tab w:val="left" w:pos="180"/>
        </w:tabs>
        <w:spacing w:before="0" w:after="0"/>
        <w:contextualSpacing/>
        <w:jc w:val="center"/>
        <w:rPr>
          <w:b/>
          <w:i/>
          <w:color w:val="000000"/>
          <w:sz w:val="20"/>
          <w:szCs w:val="20"/>
        </w:rPr>
      </w:pPr>
      <w:r w:rsidRPr="00195A79">
        <w:rPr>
          <w:b/>
          <w:i/>
          <w:color w:val="000000"/>
          <w:sz w:val="20"/>
          <w:szCs w:val="20"/>
        </w:rPr>
        <w:t>А= (</w:t>
      </w:r>
      <w:proofErr w:type="spellStart"/>
      <w:r w:rsidRPr="00195A79">
        <w:rPr>
          <w:b/>
          <w:i/>
          <w:color w:val="000000"/>
          <w:sz w:val="20"/>
          <w:szCs w:val="20"/>
        </w:rPr>
        <w:t>Впервіс</w:t>
      </w:r>
      <w:proofErr w:type="spellEnd"/>
      <w:r w:rsidRPr="00195A79">
        <w:rPr>
          <w:b/>
          <w:i/>
          <w:color w:val="000000"/>
          <w:sz w:val="20"/>
          <w:szCs w:val="20"/>
        </w:rPr>
        <w:t xml:space="preserve"> Х На)/ 100%</w:t>
      </w:r>
    </w:p>
    <w:p w:rsidR="00195A79" w:rsidRPr="00195A79" w:rsidRDefault="00195A79" w:rsidP="00195A79">
      <w:pPr>
        <w:tabs>
          <w:tab w:val="left" w:pos="180"/>
        </w:tabs>
        <w:spacing w:before="0" w:after="0"/>
        <w:contextualSpacing/>
        <w:jc w:val="both"/>
        <w:rPr>
          <w:color w:val="000000"/>
          <w:sz w:val="20"/>
          <w:szCs w:val="20"/>
        </w:rPr>
      </w:pPr>
      <w:r w:rsidRPr="00195A79">
        <w:rPr>
          <w:color w:val="000000"/>
          <w:sz w:val="20"/>
          <w:szCs w:val="20"/>
        </w:rPr>
        <w:t>5. Визначаємо суму амортизаційних відрахувань для кожної групи податковим методом</w:t>
      </w:r>
    </w:p>
    <w:p w:rsidR="00195A79" w:rsidRPr="00195A79" w:rsidRDefault="00195A79" w:rsidP="00195A79">
      <w:pPr>
        <w:tabs>
          <w:tab w:val="num" w:pos="0"/>
          <w:tab w:val="left" w:pos="180"/>
        </w:tabs>
        <w:spacing w:before="0" w:after="0"/>
        <w:contextualSpacing/>
        <w:jc w:val="center"/>
        <w:rPr>
          <w:i/>
          <w:color w:val="000000"/>
          <w:sz w:val="20"/>
          <w:szCs w:val="20"/>
        </w:rPr>
      </w:pPr>
      <w:r w:rsidRPr="00195A79">
        <w:rPr>
          <w:b/>
          <w:i/>
          <w:color w:val="000000"/>
          <w:sz w:val="20"/>
          <w:szCs w:val="20"/>
        </w:rPr>
        <w:t>А = [(</w:t>
      </w:r>
      <w:proofErr w:type="spellStart"/>
      <w:r w:rsidRPr="00195A79">
        <w:rPr>
          <w:b/>
          <w:i/>
          <w:color w:val="000000"/>
          <w:sz w:val="20"/>
          <w:szCs w:val="20"/>
        </w:rPr>
        <w:t>Впервіс</w:t>
      </w:r>
      <w:proofErr w:type="spellEnd"/>
      <w:r w:rsidRPr="00195A79">
        <w:rPr>
          <w:b/>
          <w:i/>
          <w:color w:val="000000"/>
          <w:sz w:val="20"/>
          <w:szCs w:val="20"/>
        </w:rPr>
        <w:t xml:space="preserve"> Х А(розрахована прямолінійним методом)) х На (за податковим методом)] / 100%</w:t>
      </w:r>
    </w:p>
    <w:p w:rsidR="00195A79" w:rsidRPr="00195A79" w:rsidRDefault="00195A79" w:rsidP="00195A79">
      <w:pPr>
        <w:tabs>
          <w:tab w:val="num" w:pos="0"/>
          <w:tab w:val="left" w:pos="180"/>
        </w:tabs>
        <w:spacing w:before="0" w:after="0"/>
        <w:contextualSpacing/>
        <w:jc w:val="both"/>
        <w:rPr>
          <w:color w:val="000000"/>
          <w:sz w:val="20"/>
          <w:szCs w:val="20"/>
        </w:rPr>
      </w:pPr>
      <w:r w:rsidRPr="00195A79">
        <w:rPr>
          <w:color w:val="000000"/>
          <w:sz w:val="20"/>
          <w:szCs w:val="20"/>
        </w:rPr>
        <w:t>6. Знаходимо фондовіддачу для всіх основних засобів в цілому. Для цього потрібно буде знайти обсяг випущеної продукції, який можна розрахувати шляхом добутку продуктивності праці одного працівника на кількість працівників</w:t>
      </w:r>
    </w:p>
    <w:p w:rsidR="00195A79" w:rsidRPr="00195A79" w:rsidRDefault="00195A79" w:rsidP="00195A79">
      <w:pPr>
        <w:tabs>
          <w:tab w:val="num" w:pos="0"/>
          <w:tab w:val="left" w:pos="180"/>
        </w:tabs>
        <w:spacing w:before="0" w:after="0"/>
        <w:contextualSpacing/>
        <w:jc w:val="both"/>
        <w:rPr>
          <w:color w:val="000000"/>
          <w:sz w:val="20"/>
          <w:szCs w:val="20"/>
        </w:rPr>
      </w:pPr>
      <w:r w:rsidRPr="00195A79">
        <w:rPr>
          <w:color w:val="000000"/>
          <w:sz w:val="20"/>
          <w:szCs w:val="20"/>
        </w:rPr>
        <w:t xml:space="preserve">7. Знаходимо фондомісткість та </w:t>
      </w:r>
      <w:proofErr w:type="spellStart"/>
      <w:r w:rsidRPr="00195A79">
        <w:rPr>
          <w:color w:val="000000"/>
          <w:sz w:val="20"/>
          <w:szCs w:val="20"/>
        </w:rPr>
        <w:t>фондоозброєнність</w:t>
      </w:r>
      <w:proofErr w:type="spellEnd"/>
      <w:r w:rsidRPr="00195A79">
        <w:rPr>
          <w:color w:val="000000"/>
          <w:sz w:val="20"/>
          <w:szCs w:val="20"/>
        </w:rPr>
        <w:t xml:space="preserve"> всіх груп основних фондів  в цілому</w:t>
      </w:r>
    </w:p>
    <w:p w:rsidR="00195A79" w:rsidRPr="00195A79" w:rsidRDefault="00BA6AB2" w:rsidP="00195A79">
      <w:pPr>
        <w:tabs>
          <w:tab w:val="num" w:pos="0"/>
          <w:tab w:val="left" w:pos="180"/>
        </w:tabs>
        <w:spacing w:before="0" w:after="0"/>
        <w:contextualSpacing/>
        <w:jc w:val="both"/>
        <w:rPr>
          <w:color w:val="000000"/>
          <w:sz w:val="20"/>
          <w:szCs w:val="20"/>
        </w:rPr>
      </w:pPr>
      <w:r w:rsidRPr="00FB61CB">
        <w:rPr>
          <w:color w:val="000000"/>
          <w:position w:val="-28"/>
          <w:sz w:val="30"/>
          <w:szCs w:val="30"/>
        </w:rPr>
        <w:object w:dxaOrig="1579" w:dyaOrig="660">
          <v:shape id="_x0000_i1027" type="#_x0000_t75" style="width:73.15pt;height:30pt" o:ole="">
            <v:imagedata r:id="rId9" o:title=""/>
          </v:shape>
          <o:OLEObject Type="Embed" ProgID="Equation.3" ShapeID="_x0000_i1027" DrawAspect="Content" ObjectID="_1710687238" r:id="rId10"/>
        </w:object>
      </w:r>
      <w:r>
        <w:rPr>
          <w:color w:val="000000"/>
          <w:sz w:val="30"/>
          <w:szCs w:val="30"/>
        </w:rPr>
        <w:t xml:space="preserve">    </w:t>
      </w:r>
      <w:r w:rsidRPr="00FB61CB">
        <w:rPr>
          <w:color w:val="000000"/>
          <w:position w:val="-24"/>
          <w:sz w:val="30"/>
          <w:szCs w:val="30"/>
        </w:rPr>
        <w:object w:dxaOrig="940" w:dyaOrig="620">
          <v:shape id="_x0000_i1028" type="#_x0000_t75" style="width:46.9pt;height:31.15pt" o:ole="">
            <v:imagedata r:id="rId11" o:title=""/>
          </v:shape>
          <o:OLEObject Type="Embed" ProgID="Equation.3" ShapeID="_x0000_i1028" DrawAspect="Content" ObjectID="_1710687239" r:id="rId12"/>
        </w:object>
      </w:r>
    </w:p>
    <w:p w:rsidR="00195A79" w:rsidRPr="00195A79" w:rsidRDefault="00195A79" w:rsidP="00195A79">
      <w:pPr>
        <w:tabs>
          <w:tab w:val="num" w:pos="0"/>
          <w:tab w:val="left" w:pos="180"/>
        </w:tabs>
        <w:spacing w:before="0" w:after="0"/>
        <w:contextualSpacing/>
        <w:jc w:val="both"/>
        <w:rPr>
          <w:color w:val="000000"/>
          <w:sz w:val="20"/>
          <w:szCs w:val="20"/>
        </w:rPr>
      </w:pPr>
      <w:r w:rsidRPr="00195A79">
        <w:rPr>
          <w:color w:val="000000"/>
          <w:sz w:val="20"/>
          <w:szCs w:val="20"/>
        </w:rPr>
        <w:t xml:space="preserve">8. Коефіцієнт оновлення вираховується з попереднім розрахунком  вартості всіх основних фондів на кінець року </w:t>
      </w:r>
      <w:r w:rsidRPr="00195A79">
        <w:rPr>
          <w:b/>
          <w:color w:val="000000"/>
          <w:sz w:val="20"/>
          <w:szCs w:val="20"/>
        </w:rPr>
        <w:t>(</w:t>
      </w:r>
      <w:proofErr w:type="spellStart"/>
      <w:r w:rsidRPr="00195A79">
        <w:rPr>
          <w:b/>
          <w:color w:val="000000"/>
          <w:sz w:val="20"/>
          <w:szCs w:val="20"/>
        </w:rPr>
        <w:t>Sк</w:t>
      </w:r>
      <w:proofErr w:type="spellEnd"/>
      <w:r w:rsidRPr="00195A79">
        <w:rPr>
          <w:b/>
          <w:color w:val="000000"/>
          <w:sz w:val="20"/>
          <w:szCs w:val="20"/>
        </w:rPr>
        <w:t>)= (S на початок року + S введеного обладнання - S виведеного обладнання)</w:t>
      </w:r>
    </w:p>
    <w:p w:rsidR="00195A79" w:rsidRPr="00195A79" w:rsidRDefault="00195A79" w:rsidP="00195A79">
      <w:pPr>
        <w:spacing w:before="0" w:after="0"/>
        <w:contextualSpacing/>
        <w:jc w:val="both"/>
        <w:rPr>
          <w:color w:val="000000"/>
          <w:sz w:val="20"/>
          <w:szCs w:val="20"/>
        </w:rPr>
      </w:pPr>
      <w:r w:rsidRPr="00195A79">
        <w:rPr>
          <w:color w:val="000000"/>
          <w:sz w:val="20"/>
          <w:szCs w:val="20"/>
        </w:rPr>
        <w:t>9. Коефіцієнт вибуття всіх основних фондів</w:t>
      </w:r>
      <w:r w:rsidRPr="00195A79">
        <w:rPr>
          <w:color w:val="000000"/>
          <w:position w:val="-30"/>
          <w:sz w:val="20"/>
          <w:szCs w:val="20"/>
        </w:rPr>
        <w:object w:dxaOrig="1180" w:dyaOrig="700">
          <v:shape id="_x0000_i1029" type="#_x0000_t75" style="width:64.15pt;height:36pt" o:ole="">
            <v:imagedata r:id="rId13" o:title=""/>
          </v:shape>
          <o:OLEObject Type="Embed" ProgID="Equation.3" ShapeID="_x0000_i1029" DrawAspect="Content" ObjectID="_1710687240" r:id="rId14"/>
        </w:object>
      </w:r>
    </w:p>
    <w:p w:rsidR="00195A79" w:rsidRPr="00195A79" w:rsidRDefault="00195A79" w:rsidP="00195A79">
      <w:pPr>
        <w:tabs>
          <w:tab w:val="left" w:pos="0"/>
        </w:tabs>
        <w:spacing w:before="0" w:after="0"/>
        <w:contextualSpacing/>
        <w:jc w:val="both"/>
        <w:rPr>
          <w:color w:val="000000"/>
          <w:sz w:val="20"/>
          <w:szCs w:val="20"/>
        </w:rPr>
      </w:pPr>
      <w:r w:rsidRPr="00195A79">
        <w:rPr>
          <w:color w:val="000000"/>
          <w:sz w:val="20"/>
          <w:szCs w:val="20"/>
        </w:rPr>
        <w:t>10. Визначаємо коефіцієнти фізичного (</w:t>
      </w:r>
      <w:r w:rsidRPr="00195A79">
        <w:rPr>
          <w:i/>
          <w:color w:val="000000"/>
          <w:sz w:val="20"/>
          <w:szCs w:val="20"/>
        </w:rPr>
        <w:t xml:space="preserve">Сума зносу </w:t>
      </w:r>
      <w:r w:rsidRPr="00195A79">
        <w:rPr>
          <w:b/>
          <w:i/>
          <w:color w:val="000000"/>
          <w:sz w:val="20"/>
          <w:szCs w:val="20"/>
        </w:rPr>
        <w:t>/</w:t>
      </w:r>
      <w:r w:rsidRPr="00195A79">
        <w:rPr>
          <w:i/>
          <w:color w:val="000000"/>
          <w:sz w:val="20"/>
          <w:szCs w:val="20"/>
        </w:rPr>
        <w:t>Первісну вартість)</w:t>
      </w:r>
      <w:r w:rsidRPr="00195A79">
        <w:rPr>
          <w:color w:val="000000"/>
          <w:sz w:val="20"/>
          <w:szCs w:val="20"/>
        </w:rPr>
        <w:t xml:space="preserve"> та морального зносу (</w:t>
      </w:r>
      <w:r w:rsidR="00BA6AB2" w:rsidRPr="00195A79">
        <w:rPr>
          <w:bCs/>
          <w:color w:val="000000"/>
          <w:position w:val="-32"/>
          <w:sz w:val="20"/>
          <w:szCs w:val="20"/>
        </w:rPr>
        <w:object w:dxaOrig="2640" w:dyaOrig="740">
          <v:shape id="_x0000_i1030" type="#_x0000_t75" style="width:119.25pt;height:33pt" o:ole="">
            <v:imagedata r:id="rId15" o:title=""/>
          </v:shape>
          <o:OLEObject Type="Embed" ProgID="Equation.3" ShapeID="_x0000_i1030" DrawAspect="Content" ObjectID="_1710687241" r:id="rId16"/>
        </w:object>
      </w:r>
      <w:r w:rsidRPr="00195A79">
        <w:rPr>
          <w:color w:val="000000"/>
          <w:sz w:val="20"/>
          <w:szCs w:val="20"/>
        </w:rPr>
        <w:t>) окремо для кожної групи основних фондів з урахуванням трьох років експлуатації. Відновну вартість прийняти в розмірі 85% первісної вартості. Коефіцієнти розрахувати за кожною групою основних фондів окремо.</w:t>
      </w:r>
    </w:p>
    <w:p w:rsidR="00BA6AB2" w:rsidRDefault="00195A79" w:rsidP="00BA6AB2">
      <w:pPr>
        <w:tabs>
          <w:tab w:val="left" w:pos="0"/>
        </w:tabs>
        <w:spacing w:before="0" w:after="0"/>
        <w:contextualSpacing/>
        <w:jc w:val="both"/>
        <w:rPr>
          <w:color w:val="000000"/>
          <w:sz w:val="20"/>
          <w:szCs w:val="20"/>
        </w:rPr>
      </w:pPr>
      <w:r w:rsidRPr="00195A79">
        <w:rPr>
          <w:color w:val="000000"/>
          <w:sz w:val="20"/>
          <w:szCs w:val="20"/>
        </w:rPr>
        <w:t>11. Визначаємо коефіцієнт загального зносу для кожної групи основних фондів окремо</w:t>
      </w:r>
      <w:r w:rsidR="00BA6AB2">
        <w:rPr>
          <w:color w:val="000000"/>
          <w:sz w:val="20"/>
          <w:szCs w:val="20"/>
        </w:rPr>
        <w:t xml:space="preserve"> </w:t>
      </w:r>
    </w:p>
    <w:p w:rsidR="00195A79" w:rsidRPr="00195A79" w:rsidRDefault="00195A79" w:rsidP="00BA6AB2">
      <w:pPr>
        <w:tabs>
          <w:tab w:val="left" w:pos="0"/>
        </w:tabs>
        <w:spacing w:before="0" w:after="0"/>
        <w:contextualSpacing/>
        <w:jc w:val="center"/>
        <w:rPr>
          <w:b/>
          <w:i/>
          <w:color w:val="000000"/>
          <w:sz w:val="20"/>
          <w:szCs w:val="20"/>
        </w:rPr>
      </w:pPr>
      <w:proofErr w:type="spellStart"/>
      <w:r w:rsidRPr="00195A79">
        <w:rPr>
          <w:b/>
          <w:i/>
          <w:color w:val="000000"/>
          <w:sz w:val="20"/>
          <w:szCs w:val="20"/>
        </w:rPr>
        <w:t>Кзн.заг</w:t>
      </w:r>
      <w:proofErr w:type="spellEnd"/>
      <w:r w:rsidRPr="00195A79">
        <w:rPr>
          <w:b/>
          <w:i/>
          <w:color w:val="000000"/>
          <w:sz w:val="20"/>
          <w:szCs w:val="20"/>
        </w:rPr>
        <w:t xml:space="preserve"> = 1- (1-Кзн.фіз) х (1-Кзн.мор.)</w:t>
      </w:r>
    </w:p>
    <w:p w:rsidR="00195A79" w:rsidRPr="00195A79" w:rsidRDefault="00195A79" w:rsidP="00BA6AB2">
      <w:pPr>
        <w:tabs>
          <w:tab w:val="left" w:pos="0"/>
          <w:tab w:val="center" w:pos="5457"/>
          <w:tab w:val="left" w:pos="6920"/>
        </w:tabs>
        <w:spacing w:before="0" w:after="0"/>
        <w:rPr>
          <w:color w:val="000000"/>
          <w:sz w:val="20"/>
          <w:szCs w:val="20"/>
        </w:rPr>
        <w:sectPr w:rsidR="00195A79" w:rsidRPr="00195A79" w:rsidSect="00BA6AB2">
          <w:pgSz w:w="11906" w:h="16838"/>
          <w:pgMar w:top="568" w:right="566" w:bottom="568" w:left="426" w:header="708" w:footer="708" w:gutter="0"/>
          <w:cols w:space="708"/>
          <w:docGrid w:linePitch="360"/>
        </w:sectPr>
      </w:pPr>
    </w:p>
    <w:tbl>
      <w:tblPr>
        <w:tblStyle w:val="a3"/>
        <w:tblpPr w:leftFromText="180" w:rightFromText="180" w:horzAnchor="margin" w:tblpY="760"/>
        <w:tblW w:w="15427" w:type="dxa"/>
        <w:tblInd w:w="0" w:type="dxa"/>
        <w:tblLook w:val="01E0" w:firstRow="1" w:lastRow="1" w:firstColumn="1" w:lastColumn="1" w:noHBand="0" w:noVBand="0"/>
      </w:tblPr>
      <w:tblGrid>
        <w:gridCol w:w="489"/>
        <w:gridCol w:w="395"/>
        <w:gridCol w:w="589"/>
        <w:gridCol w:w="381"/>
        <w:gridCol w:w="589"/>
        <w:gridCol w:w="381"/>
        <w:gridCol w:w="589"/>
        <w:gridCol w:w="395"/>
        <w:gridCol w:w="590"/>
        <w:gridCol w:w="396"/>
        <w:gridCol w:w="590"/>
        <w:gridCol w:w="382"/>
        <w:gridCol w:w="590"/>
        <w:gridCol w:w="382"/>
        <w:gridCol w:w="590"/>
        <w:gridCol w:w="396"/>
        <w:gridCol w:w="590"/>
        <w:gridCol w:w="313"/>
        <w:gridCol w:w="313"/>
        <w:gridCol w:w="313"/>
        <w:gridCol w:w="313"/>
        <w:gridCol w:w="461"/>
        <w:gridCol w:w="313"/>
        <w:gridCol w:w="332"/>
        <w:gridCol w:w="461"/>
        <w:gridCol w:w="589"/>
        <w:gridCol w:w="525"/>
        <w:gridCol w:w="461"/>
        <w:gridCol w:w="332"/>
        <w:gridCol w:w="332"/>
        <w:gridCol w:w="461"/>
        <w:gridCol w:w="461"/>
        <w:gridCol w:w="332"/>
        <w:gridCol w:w="332"/>
        <w:gridCol w:w="461"/>
        <w:gridCol w:w="8"/>
      </w:tblGrid>
      <w:tr w:rsidR="00195A79" w:rsidRPr="00195A79" w:rsidTr="00195A79">
        <w:trPr>
          <w:trHeight w:val="262"/>
        </w:trPr>
        <w:tc>
          <w:tcPr>
            <w:tcW w:w="489" w:type="dxa"/>
            <w:vMerge w:val="restart"/>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lastRenderedPageBreak/>
              <w:t>Вар.</w:t>
            </w:r>
          </w:p>
        </w:tc>
        <w:tc>
          <w:tcPr>
            <w:tcW w:w="984"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970"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970"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985"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986"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972"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972"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986" w:type="dxa"/>
            <w:gridSpan w:val="2"/>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13"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13"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461"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13"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32"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461"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589"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25"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461"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w:t>
            </w:r>
          </w:p>
        </w:tc>
        <w:tc>
          <w:tcPr>
            <w:tcW w:w="332"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332"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461"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461"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332"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w:t>
            </w:r>
          </w:p>
        </w:tc>
        <w:tc>
          <w:tcPr>
            <w:tcW w:w="332" w:type="dxa"/>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w:t>
            </w:r>
          </w:p>
        </w:tc>
        <w:tc>
          <w:tcPr>
            <w:tcW w:w="469" w:type="dxa"/>
            <w:gridSpan w:val="2"/>
            <w:vMerge w:val="restart"/>
            <w:tcMar>
              <w:left w:w="0" w:type="dxa"/>
              <w:right w:w="0" w:type="dxa"/>
            </w:tcMar>
            <w:textDirection w:val="btLr"/>
            <w:vAlign w:val="cente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r>
      <w:tr w:rsidR="00195A79" w:rsidRPr="00195A79" w:rsidTr="00195A79">
        <w:trPr>
          <w:gridAfter w:val="1"/>
          <w:wAfter w:w="8" w:type="dxa"/>
          <w:trHeight w:val="303"/>
        </w:trPr>
        <w:tc>
          <w:tcPr>
            <w:tcW w:w="489"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грн</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дата</w:t>
            </w:r>
          </w:p>
        </w:tc>
        <w:tc>
          <w:tcPr>
            <w:tcW w:w="313"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13"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13"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13"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13"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32"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589"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525"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32"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32"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32"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332" w:type="dxa"/>
            <w:vMerge/>
            <w:tcMar>
              <w:left w:w="0" w:type="dxa"/>
              <w:right w:w="0" w:type="dxa"/>
            </w:tcMar>
          </w:tcPr>
          <w:p w:rsidR="00195A79" w:rsidRPr="00195A79" w:rsidRDefault="00195A79" w:rsidP="00195A79">
            <w:pPr>
              <w:tabs>
                <w:tab w:val="left" w:pos="0"/>
              </w:tabs>
              <w:spacing w:before="0" w:after="0"/>
              <w:jc w:val="center"/>
              <w:rPr>
                <w:color w:val="000000"/>
                <w:sz w:val="20"/>
                <w:szCs w:val="20"/>
              </w:rPr>
            </w:pPr>
          </w:p>
        </w:tc>
        <w:tc>
          <w:tcPr>
            <w:tcW w:w="461" w:type="dxa"/>
            <w:vMerge/>
            <w:tcMar>
              <w:left w:w="0" w:type="dxa"/>
              <w:right w:w="0" w:type="dxa"/>
            </w:tcMar>
          </w:tcPr>
          <w:p w:rsidR="00195A79" w:rsidRPr="00195A79" w:rsidRDefault="00195A79" w:rsidP="00195A79">
            <w:pPr>
              <w:tabs>
                <w:tab w:val="left" w:pos="0"/>
              </w:tabs>
              <w:spacing w:before="0" w:after="0"/>
              <w:rPr>
                <w:color w:val="000000"/>
                <w:sz w:val="20"/>
                <w:szCs w:val="20"/>
              </w:rPr>
            </w:pP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2,452</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2,575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4,4</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4,149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7,1</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2,044</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1,839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14.04</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1,635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15.07</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3,065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5,3</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3,270</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5,6</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3,474</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0,9</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3,679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1090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6,3</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14.04</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3,389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6,7</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15.07</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3,567</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7,0</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4,459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8,8</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4,280</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44,8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4,994</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52,7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9,8</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14.04</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4,815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9,5</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15.07</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2,087</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4,1</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10.11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2,194</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4,3</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14.04</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1,997</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15.07</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1,873</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3,7</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3,282</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6,4</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4,530</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16,9</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8,9</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4,655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9,1</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84</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3,1</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632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95</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55,3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1,766</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65,0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3,5</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569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49,8</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4,280</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58,5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22,4</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9,8</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364</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460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14,7</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3,270</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47,3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24,0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21,8</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10,5</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28</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23.11</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290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5,09</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277</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22,7</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14,2</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3,282</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10,2</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29</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198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5.05</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4,01</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21,9</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7,6</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2,575</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25,7</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0,6</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11,9</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5,5</w:t>
            </w:r>
          </w:p>
        </w:tc>
      </w:tr>
      <w:tr w:rsidR="00195A79" w:rsidRPr="00195A79" w:rsidTr="00195A79">
        <w:trPr>
          <w:gridAfter w:val="1"/>
          <w:wAfter w:w="8" w:type="dxa"/>
          <w:trHeight w:hRule="exact" w:val="287"/>
        </w:trPr>
        <w:tc>
          <w:tcPr>
            <w:tcW w:w="4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30</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100</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8.08</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68</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26.9</w:t>
            </w:r>
          </w:p>
        </w:tc>
        <w:tc>
          <w:tcPr>
            <w:tcW w:w="38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10.6</w:t>
            </w:r>
          </w:p>
        </w:tc>
        <w:tc>
          <w:tcPr>
            <w:tcW w:w="39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128</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15.6</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126</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26.11</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59</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14.04</w:t>
            </w:r>
          </w:p>
        </w:tc>
        <w:tc>
          <w:tcPr>
            <w:tcW w:w="38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31</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26.8</w:t>
            </w:r>
          </w:p>
        </w:tc>
        <w:tc>
          <w:tcPr>
            <w:tcW w:w="396"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122</w:t>
            </w:r>
          </w:p>
        </w:tc>
        <w:tc>
          <w:tcPr>
            <w:tcW w:w="590"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23.01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12</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11,1</w:t>
            </w:r>
          </w:p>
        </w:tc>
        <w:tc>
          <w:tcPr>
            <w:tcW w:w="313"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5</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3,9</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6,3</w:t>
            </w:r>
          </w:p>
        </w:tc>
        <w:tc>
          <w:tcPr>
            <w:tcW w:w="589"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3,389</w:t>
            </w:r>
          </w:p>
        </w:tc>
        <w:tc>
          <w:tcPr>
            <w:tcW w:w="525"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1800</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13,0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6,1</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1,8</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10,2</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6,0</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0,2</w:t>
            </w:r>
          </w:p>
        </w:tc>
        <w:tc>
          <w:tcPr>
            <w:tcW w:w="332"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0,5</w:t>
            </w:r>
          </w:p>
        </w:tc>
        <w:tc>
          <w:tcPr>
            <w:tcW w:w="461" w:type="dxa"/>
            <w:tcMar>
              <w:left w:w="0" w:type="dxa"/>
              <w:right w:w="0" w:type="dxa"/>
            </w:tcMar>
          </w:tcPr>
          <w:p w:rsidR="00195A79" w:rsidRPr="00195A79" w:rsidRDefault="00195A79" w:rsidP="00195A79">
            <w:pPr>
              <w:tabs>
                <w:tab w:val="left" w:pos="0"/>
              </w:tabs>
              <w:spacing w:before="0" w:after="0"/>
              <w:jc w:val="center"/>
              <w:rPr>
                <w:color w:val="000000"/>
                <w:sz w:val="20"/>
                <w:szCs w:val="20"/>
              </w:rPr>
            </w:pPr>
            <w:r w:rsidRPr="00195A79">
              <w:rPr>
                <w:color w:val="000000"/>
                <w:sz w:val="20"/>
                <w:szCs w:val="20"/>
              </w:rPr>
              <w:t>4,5</w:t>
            </w:r>
          </w:p>
        </w:tc>
      </w:tr>
    </w:tbl>
    <w:p w:rsidR="00195A79" w:rsidRDefault="00195A79" w:rsidP="00195A79">
      <w:pPr>
        <w:spacing w:before="0" w:after="0" w:line="312" w:lineRule="auto"/>
        <w:ind w:firstLine="709"/>
        <w:jc w:val="both"/>
        <w:rPr>
          <w:color w:val="000000"/>
          <w:sz w:val="30"/>
          <w:szCs w:val="30"/>
        </w:rPr>
        <w:sectPr w:rsidR="00195A79" w:rsidSect="00195A79">
          <w:pgSz w:w="16838" w:h="11906" w:orient="landscape"/>
          <w:pgMar w:top="425" w:right="720" w:bottom="567" w:left="720" w:header="709" w:footer="709" w:gutter="0"/>
          <w:cols w:space="708"/>
          <w:docGrid w:linePitch="360"/>
        </w:sectPr>
      </w:pPr>
    </w:p>
    <w:p w:rsidR="00195A79" w:rsidRDefault="00195A79" w:rsidP="00195A79">
      <w:pPr>
        <w:spacing w:before="0" w:after="0" w:line="312" w:lineRule="auto"/>
        <w:ind w:firstLine="709"/>
        <w:jc w:val="both"/>
        <w:rPr>
          <w:color w:val="000000"/>
          <w:sz w:val="30"/>
          <w:szCs w:val="30"/>
        </w:rPr>
      </w:pPr>
    </w:p>
    <w:p w:rsidR="00195A79" w:rsidRDefault="00195A79" w:rsidP="00195A79">
      <w:pPr>
        <w:shd w:val="clear" w:color="auto" w:fill="FFFFFF"/>
        <w:autoSpaceDE w:val="0"/>
        <w:autoSpaceDN w:val="0"/>
        <w:adjustRightInd w:val="0"/>
        <w:spacing w:before="0" w:after="0" w:line="312" w:lineRule="auto"/>
        <w:rPr>
          <w:color w:val="000000"/>
          <w:sz w:val="28"/>
          <w:szCs w:val="28"/>
        </w:rPr>
      </w:pPr>
    </w:p>
    <w:p w:rsidR="002D3BF4" w:rsidRDefault="00402BC6">
      <w:pPr>
        <w:rPr>
          <w:rFonts w:ascii="Arial" w:hAnsi="Arial" w:cs="Arial"/>
          <w:i/>
          <w:iCs/>
          <w:color w:val="000000"/>
          <w:sz w:val="22"/>
          <w:szCs w:val="22"/>
        </w:rPr>
      </w:pPr>
      <w:r w:rsidRPr="00FB318B">
        <w:rPr>
          <w:rFonts w:ascii="Arial" w:hAnsi="Arial" w:cs="Arial"/>
          <w:bCs/>
          <w:i/>
          <w:iCs/>
          <w:color w:val="000000"/>
          <w:sz w:val="22"/>
          <w:szCs w:val="22"/>
        </w:rPr>
        <w:t>.</w:t>
      </w:r>
      <w:r w:rsidRPr="00FB318B">
        <w:rPr>
          <w:rFonts w:ascii="Arial" w:hAnsi="Arial" w:cs="Arial"/>
          <w:i/>
          <w:iCs/>
          <w:color w:val="000000"/>
          <w:sz w:val="22"/>
          <w:szCs w:val="22"/>
        </w:rPr>
        <w:t xml:space="preserve"> </w:t>
      </w:r>
      <w:proofErr w:type="spellStart"/>
      <w:r w:rsidRPr="00FB318B">
        <w:rPr>
          <w:rFonts w:ascii="Arial" w:hAnsi="Arial" w:cs="Arial"/>
          <w:i/>
          <w:iCs/>
          <w:color w:val="000000"/>
          <w:sz w:val="22"/>
          <w:szCs w:val="22"/>
        </w:rPr>
        <w:t>Scep.о.ф</w:t>
      </w:r>
      <w:proofErr w:type="spellEnd"/>
      <w:r w:rsidRPr="00FB318B">
        <w:rPr>
          <w:rFonts w:ascii="Arial" w:hAnsi="Arial" w:cs="Arial"/>
          <w:i/>
          <w:iCs/>
          <w:color w:val="000000"/>
          <w:sz w:val="22"/>
          <w:szCs w:val="22"/>
        </w:rPr>
        <w:t xml:space="preserve"> =2825000 + </w:t>
      </w:r>
      <w:r w:rsidRPr="00FB318B">
        <w:rPr>
          <w:rFonts w:ascii="Arial" w:hAnsi="Arial" w:cs="Arial"/>
          <w:i/>
          <w:iCs/>
          <w:color w:val="000000"/>
          <w:position w:val="-28"/>
          <w:sz w:val="22"/>
          <w:szCs w:val="22"/>
        </w:rPr>
        <w:object w:dxaOrig="9560" w:dyaOrig="680">
          <v:shape id="_x0000_i1031" type="#_x0000_t75" style="width:459pt;height:33pt" o:ole="">
            <v:imagedata r:id="rId17" o:title=""/>
          </v:shape>
          <o:OLEObject Type="Embed" ProgID="Equation.3" ShapeID="_x0000_i1031" DrawAspect="Content" ObjectID="_1710687242" r:id="rId18"/>
        </w:object>
      </w:r>
    </w:p>
    <w:p w:rsidR="00267187" w:rsidRDefault="00267187" w:rsidP="00267187">
      <w:pPr>
        <w:tabs>
          <w:tab w:val="num" w:pos="720"/>
        </w:tabs>
        <w:spacing w:before="0" w:after="0" w:line="264" w:lineRule="auto"/>
        <w:rPr>
          <w:rFonts w:ascii="Arial" w:hAnsi="Arial" w:cs="Arial"/>
          <w:i/>
          <w:iCs/>
          <w:color w:val="000000"/>
          <w:sz w:val="22"/>
          <w:szCs w:val="22"/>
        </w:rPr>
      </w:pPr>
    </w:p>
    <w:p w:rsidR="00267187" w:rsidRDefault="00267187" w:rsidP="00267187">
      <w:pPr>
        <w:tabs>
          <w:tab w:val="num" w:pos="720"/>
        </w:tabs>
        <w:spacing w:before="0" w:after="0" w:line="264" w:lineRule="auto"/>
        <w:rPr>
          <w:rFonts w:ascii="Arial" w:hAnsi="Arial" w:cs="Arial"/>
          <w:i/>
          <w:iCs/>
          <w:color w:val="000000"/>
          <w:sz w:val="22"/>
          <w:szCs w:val="22"/>
        </w:rPr>
      </w:pPr>
    </w:p>
    <w:p w:rsidR="00267187" w:rsidRPr="00FB318B" w:rsidRDefault="00267187" w:rsidP="00267187">
      <w:pPr>
        <w:tabs>
          <w:tab w:val="num" w:pos="720"/>
        </w:tabs>
        <w:spacing w:before="0" w:after="0" w:line="264" w:lineRule="auto"/>
        <w:rPr>
          <w:rFonts w:ascii="Arial" w:hAnsi="Arial" w:cs="Arial"/>
          <w:i/>
          <w:iCs/>
          <w:color w:val="000000"/>
          <w:sz w:val="22"/>
          <w:szCs w:val="22"/>
        </w:rPr>
      </w:pPr>
      <w:proofErr w:type="spellStart"/>
      <w:r w:rsidRPr="00FB318B">
        <w:rPr>
          <w:rFonts w:ascii="Arial" w:hAnsi="Arial" w:cs="Arial"/>
          <w:i/>
          <w:iCs/>
          <w:color w:val="000000"/>
          <w:sz w:val="22"/>
          <w:szCs w:val="22"/>
        </w:rPr>
        <w:t>Кон</w:t>
      </w:r>
      <w:proofErr w:type="spellEnd"/>
      <w:r w:rsidRPr="00FB318B">
        <w:rPr>
          <w:rFonts w:ascii="Arial" w:hAnsi="Arial" w:cs="Arial"/>
          <w:i/>
          <w:iCs/>
          <w:color w:val="000000"/>
          <w:sz w:val="22"/>
          <w:szCs w:val="22"/>
        </w:rPr>
        <w:t xml:space="preserve"> = </w:t>
      </w:r>
      <w:proofErr w:type="spellStart"/>
      <w:r w:rsidRPr="00FB318B">
        <w:rPr>
          <w:rFonts w:ascii="Arial" w:hAnsi="Arial" w:cs="Arial"/>
          <w:i/>
          <w:iCs/>
          <w:color w:val="000000"/>
          <w:sz w:val="22"/>
          <w:szCs w:val="22"/>
        </w:rPr>
        <w:t>Sвв</w:t>
      </w:r>
      <w:proofErr w:type="spellEnd"/>
      <w:r w:rsidRPr="00FB318B">
        <w:rPr>
          <w:rFonts w:ascii="Arial" w:hAnsi="Arial" w:cs="Arial"/>
          <w:i/>
          <w:iCs/>
          <w:color w:val="000000"/>
          <w:sz w:val="22"/>
          <w:szCs w:val="22"/>
        </w:rPr>
        <w:t xml:space="preserve"> : </w:t>
      </w:r>
      <w:proofErr w:type="spellStart"/>
      <w:r w:rsidRPr="00FB318B">
        <w:rPr>
          <w:rFonts w:ascii="Arial" w:hAnsi="Arial" w:cs="Arial"/>
          <w:i/>
          <w:iCs/>
          <w:color w:val="000000"/>
          <w:sz w:val="22"/>
          <w:szCs w:val="22"/>
        </w:rPr>
        <w:t>Sвих</w:t>
      </w:r>
      <w:proofErr w:type="spellEnd"/>
      <w:r w:rsidRPr="00FB318B">
        <w:rPr>
          <w:rFonts w:ascii="Arial" w:hAnsi="Arial" w:cs="Arial"/>
          <w:i/>
          <w:iCs/>
          <w:color w:val="000000"/>
          <w:sz w:val="22"/>
          <w:szCs w:val="22"/>
        </w:rPr>
        <w:t xml:space="preserve"> х10</w:t>
      </w:r>
      <w:r>
        <w:rPr>
          <w:rFonts w:ascii="Arial" w:hAnsi="Arial" w:cs="Arial"/>
          <w:i/>
          <w:iCs/>
          <w:color w:val="000000"/>
          <w:sz w:val="22"/>
          <w:szCs w:val="22"/>
        </w:rPr>
        <w:t>0% = 117000 :  2919000 х 100% =</w:t>
      </w:r>
    </w:p>
    <w:p w:rsidR="00267187" w:rsidRDefault="00267187" w:rsidP="00267187">
      <w:proofErr w:type="spellStart"/>
      <w:r w:rsidRPr="00FB318B">
        <w:rPr>
          <w:rFonts w:ascii="Arial" w:hAnsi="Arial" w:cs="Arial"/>
          <w:i/>
          <w:iCs/>
          <w:color w:val="000000"/>
          <w:sz w:val="22"/>
          <w:szCs w:val="22"/>
        </w:rPr>
        <w:t>Квиб</w:t>
      </w:r>
      <w:proofErr w:type="spellEnd"/>
      <w:r w:rsidRPr="00FB318B">
        <w:rPr>
          <w:rFonts w:ascii="Arial" w:hAnsi="Arial" w:cs="Arial"/>
          <w:i/>
          <w:iCs/>
          <w:color w:val="000000"/>
          <w:sz w:val="22"/>
          <w:szCs w:val="22"/>
        </w:rPr>
        <w:t xml:space="preserve"> = </w:t>
      </w:r>
      <w:proofErr w:type="spellStart"/>
      <w:r w:rsidRPr="00FB318B">
        <w:rPr>
          <w:rFonts w:ascii="Arial" w:hAnsi="Arial" w:cs="Arial"/>
          <w:i/>
          <w:iCs/>
          <w:color w:val="000000"/>
          <w:sz w:val="22"/>
          <w:szCs w:val="22"/>
        </w:rPr>
        <w:t>Sвив</w:t>
      </w:r>
      <w:proofErr w:type="spellEnd"/>
      <w:r w:rsidRPr="00FB318B">
        <w:rPr>
          <w:rFonts w:ascii="Arial" w:hAnsi="Arial" w:cs="Arial"/>
          <w:i/>
          <w:iCs/>
          <w:color w:val="000000"/>
          <w:sz w:val="22"/>
          <w:szCs w:val="22"/>
        </w:rPr>
        <w:t xml:space="preserve"> :  </w:t>
      </w:r>
      <w:proofErr w:type="spellStart"/>
      <w:r w:rsidRPr="00FB318B">
        <w:rPr>
          <w:rFonts w:ascii="Arial" w:hAnsi="Arial" w:cs="Arial"/>
          <w:i/>
          <w:iCs/>
          <w:color w:val="000000"/>
          <w:sz w:val="22"/>
          <w:szCs w:val="22"/>
        </w:rPr>
        <w:t>Sпоч</w:t>
      </w:r>
      <w:proofErr w:type="spellEnd"/>
      <w:r w:rsidRPr="00FB318B">
        <w:rPr>
          <w:rFonts w:ascii="Arial" w:hAnsi="Arial" w:cs="Arial"/>
          <w:i/>
          <w:iCs/>
          <w:color w:val="000000"/>
          <w:sz w:val="22"/>
          <w:szCs w:val="22"/>
        </w:rPr>
        <w:t>. х 100% =</w:t>
      </w:r>
      <w:r>
        <w:rPr>
          <w:rFonts w:ascii="Arial" w:hAnsi="Arial" w:cs="Arial"/>
          <w:i/>
          <w:iCs/>
          <w:color w:val="000000"/>
          <w:sz w:val="22"/>
          <w:szCs w:val="22"/>
        </w:rPr>
        <w:t xml:space="preserve"> </w:t>
      </w:r>
      <w:r w:rsidRPr="00FB318B">
        <w:rPr>
          <w:rFonts w:ascii="Arial" w:hAnsi="Arial" w:cs="Arial"/>
          <w:i/>
          <w:iCs/>
          <w:color w:val="000000"/>
          <w:sz w:val="22"/>
          <w:szCs w:val="22"/>
        </w:rPr>
        <w:t>23000 : 282500 х 100% =</w:t>
      </w:r>
      <w:bookmarkStart w:id="0" w:name="_GoBack"/>
      <w:bookmarkEnd w:id="0"/>
    </w:p>
    <w:sectPr w:rsidR="00267187" w:rsidSect="00195A79">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71E8"/>
    <w:multiLevelType w:val="hybridMultilevel"/>
    <w:tmpl w:val="645821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92B64"/>
    <w:multiLevelType w:val="hybridMultilevel"/>
    <w:tmpl w:val="F26CA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EBD28D0"/>
    <w:multiLevelType w:val="hybridMultilevel"/>
    <w:tmpl w:val="9BF800BA"/>
    <w:lvl w:ilvl="0" w:tplc="FF5050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4E4E52F3"/>
    <w:multiLevelType w:val="hybridMultilevel"/>
    <w:tmpl w:val="028C2950"/>
    <w:lvl w:ilvl="0" w:tplc="C1F44582">
      <w:start w:val="1"/>
      <w:numFmt w:val="decimal"/>
      <w:lvlText w:val="%1."/>
      <w:lvlJc w:val="left"/>
      <w:pPr>
        <w:tabs>
          <w:tab w:val="num" w:pos="360"/>
        </w:tabs>
        <w:ind w:left="360" w:hanging="360"/>
      </w:pPr>
      <w:rPr>
        <w:rFonts w:hint="default"/>
        <w:sz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67CD7569"/>
    <w:multiLevelType w:val="hybridMultilevel"/>
    <w:tmpl w:val="078024C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E79F1"/>
    <w:multiLevelType w:val="hybridMultilevel"/>
    <w:tmpl w:val="C854D114"/>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DB"/>
    <w:rsid w:val="00183673"/>
    <w:rsid w:val="00195A79"/>
    <w:rsid w:val="00267187"/>
    <w:rsid w:val="002D3BF4"/>
    <w:rsid w:val="0030715D"/>
    <w:rsid w:val="00402BC6"/>
    <w:rsid w:val="00BA6AB2"/>
    <w:rsid w:val="00D37C80"/>
    <w:rsid w:val="00E24C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AF06DCA8-95E8-4522-B4AE-05EB33BC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A79"/>
    <w:pPr>
      <w:spacing w:before="100" w:after="10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95A79"/>
    <w:pPr>
      <w:keepNext/>
      <w:spacing w:before="0" w:after="0"/>
      <w:outlineLvl w:val="0"/>
    </w:pPr>
    <w:rPr>
      <w:sz w:val="28"/>
      <w:szCs w:val="28"/>
    </w:rPr>
  </w:style>
  <w:style w:type="paragraph" w:styleId="2">
    <w:name w:val="heading 2"/>
    <w:basedOn w:val="a"/>
    <w:next w:val="a"/>
    <w:link w:val="20"/>
    <w:qFormat/>
    <w:rsid w:val="00195A79"/>
    <w:pPr>
      <w:keepNext/>
      <w:spacing w:before="0" w:after="0"/>
      <w:jc w:val="both"/>
      <w:outlineLvl w:val="1"/>
    </w:pPr>
  </w:style>
  <w:style w:type="paragraph" w:styleId="3">
    <w:name w:val="heading 3"/>
    <w:basedOn w:val="a"/>
    <w:next w:val="a"/>
    <w:link w:val="30"/>
    <w:qFormat/>
    <w:rsid w:val="00195A79"/>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195A79"/>
    <w:pPr>
      <w:keepNext/>
      <w:spacing w:before="0" w:after="0"/>
      <w:ind w:left="360"/>
      <w:outlineLvl w:val="3"/>
    </w:pPr>
    <w:rPr>
      <w:b/>
      <w:bCs/>
    </w:rPr>
  </w:style>
  <w:style w:type="paragraph" w:styleId="5">
    <w:name w:val="heading 5"/>
    <w:basedOn w:val="a"/>
    <w:next w:val="a"/>
    <w:link w:val="50"/>
    <w:qFormat/>
    <w:rsid w:val="00195A79"/>
    <w:pPr>
      <w:keepNext/>
      <w:spacing w:before="0" w:after="0"/>
      <w:outlineLvl w:val="4"/>
    </w:pPr>
    <w:rPr>
      <w:b/>
      <w:bCs/>
    </w:rPr>
  </w:style>
  <w:style w:type="paragraph" w:styleId="6">
    <w:name w:val="heading 6"/>
    <w:basedOn w:val="a"/>
    <w:next w:val="a"/>
    <w:link w:val="60"/>
    <w:qFormat/>
    <w:rsid w:val="00195A79"/>
    <w:pPr>
      <w:keepNext/>
      <w:spacing w:before="0" w:after="0"/>
      <w:outlineLvl w:val="5"/>
    </w:pPr>
    <w:rPr>
      <w:i/>
      <w:iCs/>
    </w:rPr>
  </w:style>
  <w:style w:type="paragraph" w:styleId="7">
    <w:name w:val="heading 7"/>
    <w:basedOn w:val="a"/>
    <w:next w:val="a"/>
    <w:link w:val="70"/>
    <w:qFormat/>
    <w:rsid w:val="00195A79"/>
    <w:pPr>
      <w:keepNext/>
      <w:spacing w:before="0" w:after="0"/>
      <w:ind w:left="360"/>
      <w:jc w:val="both"/>
      <w:outlineLvl w:val="6"/>
    </w:pPr>
  </w:style>
  <w:style w:type="paragraph" w:styleId="8">
    <w:name w:val="heading 8"/>
    <w:basedOn w:val="a"/>
    <w:next w:val="a"/>
    <w:link w:val="80"/>
    <w:qFormat/>
    <w:rsid w:val="00195A79"/>
    <w:pPr>
      <w:keepNext/>
      <w:spacing w:before="0" w:after="0"/>
      <w:jc w:val="both"/>
      <w:outlineLvl w:val="7"/>
    </w:pPr>
    <w:rPr>
      <w:i/>
      <w:iCs/>
    </w:rPr>
  </w:style>
  <w:style w:type="paragraph" w:styleId="9">
    <w:name w:val="heading 9"/>
    <w:basedOn w:val="a"/>
    <w:next w:val="a"/>
    <w:link w:val="90"/>
    <w:qFormat/>
    <w:rsid w:val="00195A79"/>
    <w:pPr>
      <w:keepNext/>
      <w:spacing w:before="0" w:after="0"/>
      <w:jc w:val="both"/>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5A79"/>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rsid w:val="00195A79"/>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195A79"/>
    <w:rPr>
      <w:rFonts w:ascii="Arial" w:eastAsia="Times New Roman" w:hAnsi="Arial" w:cs="Arial"/>
      <w:b/>
      <w:bCs/>
      <w:sz w:val="26"/>
      <w:szCs w:val="26"/>
      <w:lang w:val="ru-RU" w:eastAsia="ru-RU"/>
    </w:rPr>
  </w:style>
  <w:style w:type="character" w:customStyle="1" w:styleId="40">
    <w:name w:val="Заголовок 4 Знак"/>
    <w:basedOn w:val="a0"/>
    <w:link w:val="4"/>
    <w:rsid w:val="00195A79"/>
    <w:rPr>
      <w:rFonts w:ascii="Times New Roman" w:eastAsia="Times New Roman" w:hAnsi="Times New Roman" w:cs="Times New Roman"/>
      <w:b/>
      <w:bCs/>
      <w:sz w:val="24"/>
      <w:szCs w:val="24"/>
      <w:lang w:val="uk-UA" w:eastAsia="ru-RU"/>
    </w:rPr>
  </w:style>
  <w:style w:type="character" w:customStyle="1" w:styleId="50">
    <w:name w:val="Заголовок 5 Знак"/>
    <w:basedOn w:val="a0"/>
    <w:link w:val="5"/>
    <w:rsid w:val="00195A79"/>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rsid w:val="00195A79"/>
    <w:rPr>
      <w:rFonts w:ascii="Times New Roman" w:eastAsia="Times New Roman" w:hAnsi="Times New Roman" w:cs="Times New Roman"/>
      <w:i/>
      <w:iCs/>
      <w:sz w:val="24"/>
      <w:szCs w:val="24"/>
      <w:lang w:val="uk-UA" w:eastAsia="ru-RU"/>
    </w:rPr>
  </w:style>
  <w:style w:type="character" w:customStyle="1" w:styleId="70">
    <w:name w:val="Заголовок 7 Знак"/>
    <w:basedOn w:val="a0"/>
    <w:link w:val="7"/>
    <w:rsid w:val="00195A79"/>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195A79"/>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195A79"/>
    <w:rPr>
      <w:rFonts w:ascii="Times New Roman" w:eastAsia="Times New Roman" w:hAnsi="Times New Roman" w:cs="Times New Roman"/>
      <w:b/>
      <w:bCs/>
      <w:i/>
      <w:iCs/>
      <w:sz w:val="24"/>
      <w:szCs w:val="24"/>
      <w:lang w:val="uk-UA" w:eastAsia="ru-RU"/>
    </w:rPr>
  </w:style>
  <w:style w:type="table" w:styleId="a3">
    <w:name w:val="Table Grid"/>
    <w:basedOn w:val="a1"/>
    <w:rsid w:val="00195A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195A79"/>
    <w:pPr>
      <w:tabs>
        <w:tab w:val="center" w:pos="4677"/>
        <w:tab w:val="right" w:pos="9355"/>
      </w:tabs>
      <w:spacing w:before="0" w:after="0"/>
    </w:pPr>
    <w:rPr>
      <w:lang w:val="ru-RU"/>
    </w:rPr>
  </w:style>
  <w:style w:type="character" w:customStyle="1" w:styleId="a5">
    <w:name w:val="Нижний колонтитул Знак"/>
    <w:basedOn w:val="a0"/>
    <w:link w:val="a4"/>
    <w:rsid w:val="00195A79"/>
    <w:rPr>
      <w:rFonts w:ascii="Times New Roman" w:eastAsia="Times New Roman" w:hAnsi="Times New Roman" w:cs="Times New Roman"/>
      <w:sz w:val="24"/>
      <w:szCs w:val="24"/>
      <w:lang w:val="ru-RU" w:eastAsia="ru-RU"/>
    </w:rPr>
  </w:style>
  <w:style w:type="character" w:styleId="a6">
    <w:name w:val="page number"/>
    <w:basedOn w:val="a0"/>
    <w:rsid w:val="00195A79"/>
  </w:style>
  <w:style w:type="paragraph" w:customStyle="1" w:styleId="a7">
    <w:name w:val="Список определений"/>
    <w:basedOn w:val="a"/>
    <w:next w:val="a"/>
    <w:rsid w:val="00195A79"/>
    <w:pPr>
      <w:spacing w:before="0" w:after="0"/>
      <w:ind w:left="360"/>
    </w:pPr>
    <w:rPr>
      <w:lang w:val="ru-RU"/>
    </w:rPr>
  </w:style>
  <w:style w:type="paragraph" w:styleId="a8">
    <w:name w:val="Body Text"/>
    <w:basedOn w:val="a"/>
    <w:link w:val="a9"/>
    <w:rsid w:val="00195A79"/>
    <w:pPr>
      <w:spacing w:before="0" w:after="20"/>
      <w:ind w:left="1134"/>
    </w:pPr>
    <w:rPr>
      <w:sz w:val="22"/>
      <w:szCs w:val="22"/>
      <w:lang w:val="ru-RU"/>
    </w:rPr>
  </w:style>
  <w:style w:type="character" w:customStyle="1" w:styleId="a9">
    <w:name w:val="Основной текст Знак"/>
    <w:basedOn w:val="a0"/>
    <w:link w:val="a8"/>
    <w:rsid w:val="00195A79"/>
    <w:rPr>
      <w:rFonts w:ascii="Times New Roman" w:eastAsia="Times New Roman" w:hAnsi="Times New Roman" w:cs="Times New Roman"/>
      <w:lang w:val="ru-RU" w:eastAsia="ru-RU"/>
    </w:rPr>
  </w:style>
  <w:style w:type="paragraph" w:customStyle="1" w:styleId="aa">
    <w:name w:val="Дисертация (докторская)"/>
    <w:basedOn w:val="a"/>
    <w:rsid w:val="00195A79"/>
    <w:pPr>
      <w:widowControl w:val="0"/>
      <w:spacing w:before="0" w:after="0" w:line="360" w:lineRule="auto"/>
      <w:ind w:firstLine="709"/>
      <w:jc w:val="both"/>
    </w:pPr>
    <w:rPr>
      <w:rFonts w:ascii="Courier New" w:hAnsi="Courier New" w:cs="Courier New"/>
      <w:sz w:val="28"/>
      <w:szCs w:val="28"/>
      <w:lang w:val="ru-RU"/>
    </w:rPr>
  </w:style>
  <w:style w:type="paragraph" w:styleId="21">
    <w:name w:val="Body Text 2"/>
    <w:basedOn w:val="a"/>
    <w:link w:val="22"/>
    <w:rsid w:val="00195A79"/>
    <w:pPr>
      <w:spacing w:before="0" w:after="120" w:line="480" w:lineRule="auto"/>
    </w:pPr>
    <w:rPr>
      <w:lang w:val="ru-RU"/>
    </w:rPr>
  </w:style>
  <w:style w:type="character" w:customStyle="1" w:styleId="22">
    <w:name w:val="Основной текст 2 Знак"/>
    <w:basedOn w:val="a0"/>
    <w:link w:val="21"/>
    <w:rsid w:val="00195A79"/>
    <w:rPr>
      <w:rFonts w:ascii="Times New Roman" w:eastAsia="Times New Roman" w:hAnsi="Times New Roman" w:cs="Times New Roman"/>
      <w:sz w:val="24"/>
      <w:szCs w:val="24"/>
      <w:lang w:val="ru-RU" w:eastAsia="ru-RU"/>
    </w:rPr>
  </w:style>
  <w:style w:type="paragraph" w:styleId="ab">
    <w:name w:val="header"/>
    <w:basedOn w:val="a"/>
    <w:link w:val="ac"/>
    <w:rsid w:val="00195A79"/>
    <w:pPr>
      <w:tabs>
        <w:tab w:val="center" w:pos="4677"/>
        <w:tab w:val="right" w:pos="9355"/>
      </w:tabs>
      <w:snapToGrid w:val="0"/>
    </w:pPr>
  </w:style>
  <w:style w:type="character" w:customStyle="1" w:styleId="ac">
    <w:name w:val="Верхний колонтитул Знак"/>
    <w:basedOn w:val="a0"/>
    <w:link w:val="ab"/>
    <w:rsid w:val="00195A79"/>
    <w:rPr>
      <w:rFonts w:ascii="Times New Roman" w:eastAsia="Times New Roman" w:hAnsi="Times New Roman" w:cs="Times New Roman"/>
      <w:sz w:val="24"/>
      <w:szCs w:val="24"/>
      <w:lang w:val="uk-UA" w:eastAsia="ru-RU"/>
    </w:rPr>
  </w:style>
  <w:style w:type="paragraph" w:styleId="ad">
    <w:name w:val="Plain Text"/>
    <w:basedOn w:val="a"/>
    <w:link w:val="ae"/>
    <w:rsid w:val="00195A79"/>
    <w:pPr>
      <w:spacing w:before="0" w:after="0"/>
    </w:pPr>
    <w:rPr>
      <w:rFonts w:ascii="Courier New" w:hAnsi="Courier New" w:cs="Courier New"/>
      <w:sz w:val="20"/>
      <w:szCs w:val="20"/>
      <w:lang w:val="ru-RU"/>
    </w:rPr>
  </w:style>
  <w:style w:type="character" w:customStyle="1" w:styleId="ae">
    <w:name w:val="Текст Знак"/>
    <w:basedOn w:val="a0"/>
    <w:link w:val="ad"/>
    <w:rsid w:val="00195A79"/>
    <w:rPr>
      <w:rFonts w:ascii="Courier New" w:eastAsia="Times New Roman" w:hAnsi="Courier New" w:cs="Courier New"/>
      <w:sz w:val="20"/>
      <w:szCs w:val="20"/>
      <w:lang w:val="ru-RU" w:eastAsia="ru-RU"/>
    </w:rPr>
  </w:style>
  <w:style w:type="paragraph" w:styleId="af">
    <w:name w:val="Body Text Indent"/>
    <w:basedOn w:val="a"/>
    <w:link w:val="af0"/>
    <w:rsid w:val="00195A79"/>
    <w:pPr>
      <w:spacing w:before="0" w:after="120"/>
      <w:ind w:left="283"/>
    </w:pPr>
    <w:rPr>
      <w:lang w:val="ru-RU"/>
    </w:rPr>
  </w:style>
  <w:style w:type="character" w:customStyle="1" w:styleId="af0">
    <w:name w:val="Основной текст с отступом Знак"/>
    <w:basedOn w:val="a0"/>
    <w:link w:val="af"/>
    <w:rsid w:val="00195A79"/>
    <w:rPr>
      <w:rFonts w:ascii="Times New Roman" w:eastAsia="Times New Roman" w:hAnsi="Times New Roman" w:cs="Times New Roman"/>
      <w:sz w:val="24"/>
      <w:szCs w:val="24"/>
      <w:lang w:val="ru-RU" w:eastAsia="ru-RU"/>
    </w:rPr>
  </w:style>
  <w:style w:type="paragraph" w:styleId="31">
    <w:name w:val="Body Text Indent 3"/>
    <w:basedOn w:val="a"/>
    <w:link w:val="32"/>
    <w:rsid w:val="00195A79"/>
    <w:pPr>
      <w:spacing w:before="0" w:after="120"/>
      <w:ind w:left="283"/>
    </w:pPr>
    <w:rPr>
      <w:sz w:val="16"/>
      <w:szCs w:val="16"/>
      <w:lang w:val="ru-RU"/>
    </w:rPr>
  </w:style>
  <w:style w:type="character" w:customStyle="1" w:styleId="32">
    <w:name w:val="Основной текст с отступом 3 Знак"/>
    <w:basedOn w:val="a0"/>
    <w:link w:val="31"/>
    <w:rsid w:val="00195A79"/>
    <w:rPr>
      <w:rFonts w:ascii="Times New Roman" w:eastAsia="Times New Roman" w:hAnsi="Times New Roman" w:cs="Times New Roman"/>
      <w:sz w:val="16"/>
      <w:szCs w:val="16"/>
      <w:lang w:val="ru-RU" w:eastAsia="ru-RU"/>
    </w:rPr>
  </w:style>
  <w:style w:type="paragraph" w:styleId="33">
    <w:name w:val="Body Text 3"/>
    <w:basedOn w:val="a"/>
    <w:link w:val="34"/>
    <w:rsid w:val="00195A79"/>
    <w:pPr>
      <w:spacing w:before="0" w:after="120"/>
    </w:pPr>
    <w:rPr>
      <w:sz w:val="16"/>
      <w:szCs w:val="16"/>
      <w:lang w:val="ru-RU"/>
    </w:rPr>
  </w:style>
  <w:style w:type="character" w:customStyle="1" w:styleId="34">
    <w:name w:val="Основной текст 3 Знак"/>
    <w:basedOn w:val="a0"/>
    <w:link w:val="33"/>
    <w:rsid w:val="00195A79"/>
    <w:rPr>
      <w:rFonts w:ascii="Times New Roman" w:eastAsia="Times New Roman" w:hAnsi="Times New Roman" w:cs="Times New Roman"/>
      <w:sz w:val="16"/>
      <w:szCs w:val="16"/>
      <w:lang w:val="ru-RU" w:eastAsia="ru-RU"/>
    </w:rPr>
  </w:style>
  <w:style w:type="paragraph" w:styleId="23">
    <w:name w:val="Body Text Indent 2"/>
    <w:basedOn w:val="a"/>
    <w:link w:val="24"/>
    <w:rsid w:val="00195A79"/>
    <w:pPr>
      <w:spacing w:before="0" w:after="120" w:line="480" w:lineRule="auto"/>
      <w:ind w:left="283"/>
    </w:pPr>
    <w:rPr>
      <w:sz w:val="20"/>
      <w:szCs w:val="20"/>
    </w:rPr>
  </w:style>
  <w:style w:type="character" w:customStyle="1" w:styleId="24">
    <w:name w:val="Основной текст с отступом 2 Знак"/>
    <w:basedOn w:val="a0"/>
    <w:link w:val="23"/>
    <w:rsid w:val="00195A79"/>
    <w:rPr>
      <w:rFonts w:ascii="Times New Roman" w:eastAsia="Times New Roman" w:hAnsi="Times New Roman" w:cs="Times New Roman"/>
      <w:sz w:val="20"/>
      <w:szCs w:val="20"/>
      <w:lang w:val="uk-UA" w:eastAsia="ru-RU"/>
    </w:rPr>
  </w:style>
  <w:style w:type="paragraph" w:customStyle="1" w:styleId="11">
    <w:name w:val="заголовок 1"/>
    <w:basedOn w:val="a"/>
    <w:next w:val="a"/>
    <w:rsid w:val="00195A79"/>
    <w:pPr>
      <w:keepNext/>
      <w:autoSpaceDE w:val="0"/>
      <w:autoSpaceDN w:val="0"/>
      <w:spacing w:before="0" w:after="0"/>
      <w:jc w:val="center"/>
    </w:pPr>
    <w:rPr>
      <w:b/>
      <w:bCs/>
      <w:sz w:val="32"/>
      <w:szCs w:val="32"/>
    </w:rPr>
  </w:style>
  <w:style w:type="paragraph" w:customStyle="1" w:styleId="H2">
    <w:name w:val="H2"/>
    <w:basedOn w:val="a"/>
    <w:next w:val="a"/>
    <w:rsid w:val="00195A79"/>
    <w:pPr>
      <w:keepNext/>
      <w:outlineLvl w:val="2"/>
    </w:pPr>
    <w:rPr>
      <w:b/>
      <w:bCs/>
      <w:sz w:val="36"/>
      <w:szCs w:val="36"/>
      <w:lang w:val="ru-RU"/>
    </w:rPr>
  </w:style>
  <w:style w:type="character" w:styleId="af1">
    <w:name w:val="Hyperlink"/>
    <w:basedOn w:val="a0"/>
    <w:rsid w:val="00195A79"/>
    <w:rPr>
      <w:color w:val="0000FF"/>
      <w:u w:val="single"/>
    </w:rPr>
  </w:style>
  <w:style w:type="table" w:styleId="12">
    <w:name w:val="Table Grid 1"/>
    <w:basedOn w:val="a1"/>
    <w:rsid w:val="00195A79"/>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1">
    <w:name w:val="FR1"/>
    <w:rsid w:val="00195A79"/>
    <w:pPr>
      <w:widowControl w:val="0"/>
      <w:spacing w:after="0" w:line="300" w:lineRule="auto"/>
      <w:ind w:left="280" w:hanging="300"/>
    </w:pPr>
    <w:rPr>
      <w:rFonts w:ascii="Arial" w:eastAsia="Times New Roman" w:hAnsi="Arial" w:cs="Arial"/>
      <w:sz w:val="16"/>
      <w:szCs w:val="16"/>
      <w:lang w:val="ru-RU" w:eastAsia="ru-RU"/>
    </w:rPr>
  </w:style>
  <w:style w:type="paragraph" w:customStyle="1" w:styleId="FR2">
    <w:name w:val="FR2"/>
    <w:rsid w:val="00195A79"/>
    <w:pPr>
      <w:widowControl w:val="0"/>
      <w:spacing w:after="0" w:line="300" w:lineRule="auto"/>
      <w:ind w:left="640" w:hanging="320"/>
    </w:pPr>
    <w:rPr>
      <w:rFonts w:ascii="Arial" w:eastAsia="Times New Roman" w:hAnsi="Arial" w:cs="Arial"/>
      <w:sz w:val="16"/>
      <w:szCs w:val="16"/>
      <w:lang w:val="ru-RU" w:eastAsia="ru-RU"/>
    </w:rPr>
  </w:style>
  <w:style w:type="paragraph" w:styleId="af2">
    <w:name w:val="footnote text"/>
    <w:basedOn w:val="a"/>
    <w:link w:val="af3"/>
    <w:semiHidden/>
    <w:rsid w:val="00195A79"/>
    <w:pPr>
      <w:spacing w:before="0" w:after="0"/>
    </w:pPr>
    <w:rPr>
      <w:sz w:val="20"/>
      <w:szCs w:val="20"/>
      <w:lang w:val="ru-RU"/>
    </w:rPr>
  </w:style>
  <w:style w:type="character" w:customStyle="1" w:styleId="af3">
    <w:name w:val="Текст сноски Знак"/>
    <w:basedOn w:val="a0"/>
    <w:link w:val="af2"/>
    <w:semiHidden/>
    <w:rsid w:val="00195A79"/>
    <w:rPr>
      <w:rFonts w:ascii="Times New Roman" w:eastAsia="Times New Roman" w:hAnsi="Times New Roman" w:cs="Times New Roman"/>
      <w:sz w:val="20"/>
      <w:szCs w:val="20"/>
      <w:lang w:val="ru-RU" w:eastAsia="ru-RU"/>
    </w:rPr>
  </w:style>
  <w:style w:type="paragraph" w:customStyle="1" w:styleId="Just">
    <w:name w:val="Just"/>
    <w:rsid w:val="00195A7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af4">
    <w:name w:val="Номер таблицы"/>
    <w:basedOn w:val="a"/>
    <w:next w:val="a"/>
    <w:rsid w:val="00195A79"/>
    <w:pPr>
      <w:spacing w:before="0" w:after="0" w:line="360" w:lineRule="auto"/>
      <w:ind w:left="567" w:right="567"/>
      <w:jc w:val="right"/>
    </w:pPr>
    <w:rPr>
      <w:lang w:val="ru-RU"/>
    </w:rPr>
  </w:style>
  <w:style w:type="paragraph" w:styleId="af5">
    <w:name w:val="Body Text First Indent"/>
    <w:basedOn w:val="a8"/>
    <w:link w:val="af6"/>
    <w:rsid w:val="00195A79"/>
    <w:pPr>
      <w:spacing w:before="100" w:after="120"/>
      <w:ind w:left="0" w:firstLine="210"/>
    </w:pPr>
    <w:rPr>
      <w:sz w:val="24"/>
      <w:szCs w:val="24"/>
      <w:lang w:val="uk-UA"/>
    </w:rPr>
  </w:style>
  <w:style w:type="character" w:customStyle="1" w:styleId="af6">
    <w:name w:val="Красная строка Знак"/>
    <w:basedOn w:val="a9"/>
    <w:link w:val="af5"/>
    <w:rsid w:val="00195A79"/>
    <w:rPr>
      <w:rFonts w:ascii="Times New Roman" w:eastAsia="Times New Roman" w:hAnsi="Times New Roman" w:cs="Times New Roman"/>
      <w:sz w:val="24"/>
      <w:szCs w:val="24"/>
      <w:lang w:val="uk-UA" w:eastAsia="ru-RU"/>
    </w:rPr>
  </w:style>
  <w:style w:type="paragraph" w:styleId="25">
    <w:name w:val="Body Text First Indent 2"/>
    <w:basedOn w:val="af"/>
    <w:link w:val="26"/>
    <w:rsid w:val="00195A79"/>
    <w:pPr>
      <w:spacing w:before="100"/>
      <w:ind w:firstLine="210"/>
    </w:pPr>
    <w:rPr>
      <w:lang w:val="uk-UA"/>
    </w:rPr>
  </w:style>
  <w:style w:type="character" w:customStyle="1" w:styleId="26">
    <w:name w:val="Красная строка 2 Знак"/>
    <w:basedOn w:val="af0"/>
    <w:link w:val="25"/>
    <w:rsid w:val="00195A79"/>
    <w:rPr>
      <w:rFonts w:ascii="Times New Roman" w:eastAsia="Times New Roman" w:hAnsi="Times New Roman" w:cs="Times New Roman"/>
      <w:sz w:val="24"/>
      <w:szCs w:val="24"/>
      <w:lang w:val="uk-UA" w:eastAsia="ru-RU"/>
    </w:rPr>
  </w:style>
  <w:style w:type="paragraph" w:styleId="af7">
    <w:name w:val="Normal (Web)"/>
    <w:basedOn w:val="a"/>
    <w:rsid w:val="00195A79"/>
    <w:pPr>
      <w:spacing w:beforeAutospacing="1" w:afterAutospacing="1"/>
    </w:pPr>
    <w:rPr>
      <w:lang w:eastAsia="uk-UA"/>
    </w:rPr>
  </w:style>
  <w:style w:type="paragraph" w:styleId="af8">
    <w:name w:val="Title"/>
    <w:basedOn w:val="a"/>
    <w:link w:val="af9"/>
    <w:qFormat/>
    <w:rsid w:val="00195A79"/>
    <w:pPr>
      <w:spacing w:beforeAutospacing="1" w:afterAutospacing="1"/>
    </w:pPr>
    <w:rPr>
      <w:lang w:eastAsia="uk-UA"/>
    </w:rPr>
  </w:style>
  <w:style w:type="character" w:customStyle="1" w:styleId="af9">
    <w:name w:val="Название Знак"/>
    <w:basedOn w:val="a0"/>
    <w:link w:val="af8"/>
    <w:rsid w:val="00195A79"/>
    <w:rPr>
      <w:rFonts w:ascii="Times New Roman" w:eastAsia="Times New Roman" w:hAnsi="Times New Roman" w:cs="Times New Roman"/>
      <w:sz w:val="24"/>
      <w:szCs w:val="24"/>
      <w:lang w:val="uk-UA" w:eastAsia="uk-UA"/>
    </w:rPr>
  </w:style>
  <w:style w:type="paragraph" w:styleId="27">
    <w:name w:val="List 2"/>
    <w:basedOn w:val="a"/>
    <w:rsid w:val="00195A79"/>
    <w:pPr>
      <w:spacing w:beforeAutospacing="1" w:afterAutospacing="1"/>
    </w:pPr>
    <w:rPr>
      <w:lang w:eastAsia="uk-UA"/>
    </w:rPr>
  </w:style>
  <w:style w:type="paragraph" w:styleId="28">
    <w:name w:val="List Bullet 2"/>
    <w:basedOn w:val="a"/>
    <w:rsid w:val="00195A79"/>
    <w:pPr>
      <w:spacing w:beforeAutospacing="1" w:afterAutospacing="1"/>
    </w:pPr>
    <w:rPr>
      <w:lang w:eastAsia="uk-UA"/>
    </w:rPr>
  </w:style>
  <w:style w:type="paragraph" w:styleId="35">
    <w:name w:val="List Bullet 3"/>
    <w:basedOn w:val="a"/>
    <w:rsid w:val="00195A79"/>
    <w:pPr>
      <w:spacing w:beforeAutospacing="1" w:afterAutospacing="1"/>
    </w:pPr>
    <w:rPr>
      <w:lang w:eastAsia="uk-UA"/>
    </w:rPr>
  </w:style>
  <w:style w:type="paragraph" w:customStyle="1" w:styleId="13">
    <w:name w:val="Обычный1"/>
    <w:rsid w:val="00195A79"/>
    <w:pPr>
      <w:spacing w:before="100" w:after="100" w:line="240" w:lineRule="auto"/>
    </w:pPr>
    <w:rPr>
      <w:rFonts w:ascii="Times New Roman" w:eastAsia="Times New Roman" w:hAnsi="Times New Roman" w:cs="Times New Roman"/>
      <w:snapToGrid w:val="0"/>
      <w:sz w:val="24"/>
      <w:szCs w:val="20"/>
      <w:lang w:val="uk-UA" w:eastAsia="ru-RU"/>
    </w:rPr>
  </w:style>
  <w:style w:type="paragraph" w:styleId="afa">
    <w:name w:val="Block Text"/>
    <w:basedOn w:val="a"/>
    <w:rsid w:val="00195A79"/>
    <w:pPr>
      <w:spacing w:before="0" w:after="0"/>
      <w:ind w:left="-142" w:right="-99" w:firstLine="709"/>
    </w:pPr>
    <w:rPr>
      <w:sz w:val="28"/>
      <w:szCs w:val="20"/>
    </w:rPr>
  </w:style>
  <w:style w:type="paragraph" w:customStyle="1" w:styleId="H1">
    <w:name w:val="H1"/>
    <w:basedOn w:val="13"/>
    <w:next w:val="13"/>
    <w:rsid w:val="00195A79"/>
    <w:pPr>
      <w:keepNext/>
      <w:outlineLvl w:val="1"/>
    </w:pPr>
    <w:rPr>
      <w:b/>
      <w:kern w:val="36"/>
      <w:sz w:val="48"/>
      <w:lang w:val="ru-RU"/>
    </w:rPr>
  </w:style>
  <w:style w:type="paragraph" w:styleId="afb">
    <w:name w:val="Document Map"/>
    <w:basedOn w:val="a"/>
    <w:link w:val="afc"/>
    <w:semiHidden/>
    <w:rsid w:val="00195A79"/>
    <w:pPr>
      <w:shd w:val="clear" w:color="auto" w:fill="000080"/>
      <w:spacing w:before="0" w:after="0"/>
    </w:pPr>
    <w:rPr>
      <w:rFonts w:ascii="Tahoma" w:hAnsi="Tahoma"/>
      <w:sz w:val="20"/>
      <w:szCs w:val="20"/>
    </w:rPr>
  </w:style>
  <w:style w:type="character" w:customStyle="1" w:styleId="afc">
    <w:name w:val="Схема документа Знак"/>
    <w:basedOn w:val="a0"/>
    <w:link w:val="afb"/>
    <w:semiHidden/>
    <w:rsid w:val="00195A79"/>
    <w:rPr>
      <w:rFonts w:ascii="Tahoma" w:eastAsia="Times New Roman" w:hAnsi="Tahoma" w:cs="Times New Roman"/>
      <w:sz w:val="20"/>
      <w:szCs w:val="20"/>
      <w:shd w:val="clear" w:color="auto" w:fill="000080"/>
      <w:lang w:val="uk-UA" w:eastAsia="ru-RU"/>
    </w:rPr>
  </w:style>
  <w:style w:type="paragraph" w:styleId="afd">
    <w:name w:val="Balloon Text"/>
    <w:basedOn w:val="a"/>
    <w:link w:val="afe"/>
    <w:uiPriority w:val="99"/>
    <w:semiHidden/>
    <w:unhideWhenUsed/>
    <w:rsid w:val="00D37C80"/>
    <w:pPr>
      <w:spacing w:before="0" w:after="0"/>
    </w:pPr>
    <w:rPr>
      <w:rFonts w:ascii="Segoe UI" w:hAnsi="Segoe UI" w:cs="Segoe UI"/>
      <w:sz w:val="18"/>
      <w:szCs w:val="18"/>
    </w:rPr>
  </w:style>
  <w:style w:type="character" w:customStyle="1" w:styleId="afe">
    <w:name w:val="Текст выноски Знак"/>
    <w:basedOn w:val="a0"/>
    <w:link w:val="afd"/>
    <w:uiPriority w:val="99"/>
    <w:semiHidden/>
    <w:rsid w:val="00D37C80"/>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1805</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5</cp:revision>
  <cp:lastPrinted>2018-03-28T20:24:00Z</cp:lastPrinted>
  <dcterms:created xsi:type="dcterms:W3CDTF">2018-03-28T20:09:00Z</dcterms:created>
  <dcterms:modified xsi:type="dcterms:W3CDTF">2022-04-05T15:07:00Z</dcterms:modified>
</cp:coreProperties>
</file>