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0D" w:rsidRPr="002D521C" w:rsidRDefault="0042670D" w:rsidP="0042670D">
      <w:pPr>
        <w:widowControl w:val="0"/>
        <w:jc w:val="center"/>
        <w:rPr>
          <w:b/>
          <w:sz w:val="28"/>
          <w:szCs w:val="28"/>
        </w:rPr>
      </w:pPr>
      <w:r w:rsidRPr="002D521C">
        <w:rPr>
          <w:b/>
          <w:sz w:val="28"/>
          <w:szCs w:val="28"/>
        </w:rPr>
        <w:t>ТЕМА 4. ОСНОВНІ ФОНДИ ГОТЕЛІВ І РЕСТОРАНІВ ТА ЇХ ВІДТВОРЕННЯ</w:t>
      </w:r>
    </w:p>
    <w:p w:rsidR="0042670D" w:rsidRPr="00444935" w:rsidRDefault="0042670D" w:rsidP="0042670D">
      <w:pPr>
        <w:tabs>
          <w:tab w:val="left" w:pos="3615"/>
        </w:tabs>
        <w:ind w:firstLine="720"/>
        <w:jc w:val="center"/>
        <w:rPr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42670D" w:rsidRPr="00444935" w:rsidRDefault="0042670D" w:rsidP="0042670D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1.Аналіз наявності та руху основних фондів в цілому по підприємству, розрахунок показників якісного стану і руху основних фондів підприємства готельного/закладу ресторанного господарства.</w:t>
      </w:r>
    </w:p>
    <w:p w:rsidR="0042670D" w:rsidRPr="00444935" w:rsidRDefault="0042670D" w:rsidP="0042670D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2.Дослідження ефективності використання основних фондів підприємства готельного/закладу ресторанного господарства.</w:t>
      </w:r>
    </w:p>
    <w:p w:rsidR="0042670D" w:rsidRPr="00444935" w:rsidRDefault="0042670D" w:rsidP="0042670D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3.Оцінка факторів, що визначають структуру та ефективність використання основних фондів підприємства готельного/закладу ресторанного господарства.</w:t>
      </w:r>
    </w:p>
    <w:p w:rsidR="0042670D" w:rsidRPr="00444935" w:rsidRDefault="0042670D" w:rsidP="0042670D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4.Обґрунтування плану (потреби) приросту основних фондів підприємства готельного/закладу ресторанного господарства.</w:t>
      </w:r>
    </w:p>
    <w:p w:rsidR="0042670D" w:rsidRDefault="0042670D" w:rsidP="0042670D">
      <w:pPr>
        <w:tabs>
          <w:tab w:val="left" w:pos="3615"/>
        </w:tabs>
        <w:ind w:firstLine="720"/>
        <w:jc w:val="both"/>
        <w:rPr>
          <w:sz w:val="28"/>
          <w:szCs w:val="28"/>
        </w:rPr>
      </w:pPr>
      <w:r w:rsidRPr="00444935">
        <w:rPr>
          <w:sz w:val="28"/>
          <w:szCs w:val="28"/>
        </w:rPr>
        <w:t>5.Визначення ефективності використання номерного фонду підприємства готельного господарства: одноразової місткості, рівня завантаженості.</w:t>
      </w:r>
    </w:p>
    <w:p w:rsidR="0042670D" w:rsidRDefault="0042670D" w:rsidP="004267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42670D" w:rsidRDefault="0042670D" w:rsidP="004267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E654EF" w:rsidRPr="001973A2" w:rsidRDefault="00E654EF" w:rsidP="00E654EF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</w:t>
      </w:r>
    </w:p>
    <w:p w:rsidR="00E654EF" w:rsidRPr="00CD03F6" w:rsidRDefault="00E654EF" w:rsidP="00E654E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CD03F6">
        <w:rPr>
          <w:color w:val="000000"/>
          <w:sz w:val="28"/>
          <w:szCs w:val="28"/>
        </w:rPr>
        <w:t>Склад основних виробничих фондів підприємства по групам, їх вартість на початок року та зміни протягом року слідуючи (в грн.)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024"/>
        <w:gridCol w:w="1407"/>
        <w:gridCol w:w="1094"/>
        <w:gridCol w:w="1033"/>
        <w:gridCol w:w="1356"/>
      </w:tblGrid>
      <w:tr w:rsidR="00E654EF" w:rsidRPr="00CD03F6" w:rsidTr="00357A48">
        <w:trPr>
          <w:trHeight w:val="253"/>
        </w:trPr>
        <w:tc>
          <w:tcPr>
            <w:tcW w:w="3794" w:type="dxa"/>
            <w:vMerge w:val="restart"/>
            <w:vAlign w:val="center"/>
          </w:tcPr>
          <w:p w:rsidR="00E654EF" w:rsidRPr="00CD03F6" w:rsidRDefault="00E654EF" w:rsidP="00357A48">
            <w:pPr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Групи основних фондів</w:t>
            </w:r>
          </w:p>
        </w:tc>
        <w:tc>
          <w:tcPr>
            <w:tcW w:w="2431" w:type="dxa"/>
            <w:gridSpan w:val="2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На початок року</w:t>
            </w: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 xml:space="preserve">Зміни </w:t>
            </w:r>
          </w:p>
        </w:tc>
        <w:tc>
          <w:tcPr>
            <w:tcW w:w="2389" w:type="dxa"/>
            <w:gridSpan w:val="2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На кінець року</w:t>
            </w:r>
          </w:p>
        </w:tc>
      </w:tr>
      <w:tr w:rsidR="00E654EF" w:rsidRPr="00CD03F6" w:rsidTr="00357A48">
        <w:trPr>
          <w:trHeight w:hRule="exact" w:val="326"/>
        </w:trPr>
        <w:tc>
          <w:tcPr>
            <w:tcW w:w="3794" w:type="dxa"/>
            <w:vMerge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грн</w:t>
            </w:r>
          </w:p>
        </w:tc>
        <w:tc>
          <w:tcPr>
            <w:tcW w:w="1407" w:type="dxa"/>
            <w:tcMar>
              <w:left w:w="0" w:type="dxa"/>
              <w:right w:w="0" w:type="dxa"/>
            </w:tcMar>
          </w:tcPr>
          <w:p w:rsidR="00E654EF" w:rsidRPr="00CD03F6" w:rsidRDefault="00E654EF" w:rsidP="00357A48">
            <w:pPr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Структура,%</w:t>
            </w: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грн</w:t>
            </w:r>
          </w:p>
        </w:tc>
        <w:tc>
          <w:tcPr>
            <w:tcW w:w="1356" w:type="dxa"/>
            <w:tcMar>
              <w:left w:w="0" w:type="dxa"/>
              <w:right w:w="0" w:type="dxa"/>
            </w:tcMar>
          </w:tcPr>
          <w:p w:rsidR="00E654EF" w:rsidRPr="00CD03F6" w:rsidRDefault="00E654EF" w:rsidP="00357A48">
            <w:pPr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Структура,%</w:t>
            </w: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1. Будівлі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341510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2. Споруди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64610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3 .Передавальні пристрої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36920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+440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4. Робочі машини і устаткування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378430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+23500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5. Силові машини і устаткування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18460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-530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6. Вимірювальні пристрої і лабораторне обладнання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23998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-810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7. Обчислювальна техніка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21229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+750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8. Транспортні засоби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22152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-910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9. Інші основні фонди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15691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-230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  <w:tr w:rsidR="00E654EF" w:rsidRPr="00CD03F6" w:rsidTr="00357A48">
        <w:trPr>
          <w:trHeight w:val="253"/>
        </w:trPr>
        <w:tc>
          <w:tcPr>
            <w:tcW w:w="37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Разом</w:t>
            </w:r>
          </w:p>
        </w:tc>
        <w:tc>
          <w:tcPr>
            <w:tcW w:w="102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923000</w:t>
            </w:r>
          </w:p>
        </w:tc>
        <w:tc>
          <w:tcPr>
            <w:tcW w:w="1407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94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-</w:t>
            </w:r>
          </w:p>
        </w:tc>
        <w:tc>
          <w:tcPr>
            <w:tcW w:w="1033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56" w:type="dxa"/>
          </w:tcPr>
          <w:p w:rsidR="00E654EF" w:rsidRPr="00CD03F6" w:rsidRDefault="00E654EF" w:rsidP="00357A48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E654EF" w:rsidRDefault="00E654EF" w:rsidP="00E654EF">
      <w:pPr>
        <w:pStyle w:val="31"/>
        <w:spacing w:after="0"/>
        <w:ind w:firstLine="567"/>
        <w:contextualSpacing/>
        <w:jc w:val="both"/>
        <w:rPr>
          <w:color w:val="000000"/>
          <w:sz w:val="28"/>
          <w:szCs w:val="24"/>
          <w:lang w:val="uk-UA"/>
        </w:rPr>
      </w:pPr>
    </w:p>
    <w:p w:rsidR="00E654EF" w:rsidRPr="00CD03F6" w:rsidRDefault="00E654EF" w:rsidP="00E654EF">
      <w:pPr>
        <w:pStyle w:val="31"/>
        <w:spacing w:after="0"/>
        <w:ind w:firstLine="567"/>
        <w:contextualSpacing/>
        <w:jc w:val="both"/>
        <w:rPr>
          <w:i/>
          <w:iCs/>
          <w:color w:val="000000"/>
          <w:sz w:val="28"/>
          <w:szCs w:val="24"/>
          <w:lang w:val="uk-UA"/>
        </w:rPr>
      </w:pPr>
      <w:r w:rsidRPr="00CD03F6">
        <w:rPr>
          <w:color w:val="000000"/>
          <w:sz w:val="28"/>
          <w:szCs w:val="24"/>
          <w:lang w:val="uk-UA"/>
        </w:rPr>
        <w:t>Обсяг товарної продукції за рік склав1236820 грн. Визначити структуру основних виробничих фондів на початок і кінець року та фондовіддачу.</w:t>
      </w:r>
    </w:p>
    <w:p w:rsidR="00E654EF" w:rsidRPr="00CD03F6" w:rsidRDefault="00E654EF" w:rsidP="00E654EF">
      <w:pPr>
        <w:pStyle w:val="3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4"/>
          <w:lang w:val="uk-UA"/>
        </w:rPr>
      </w:pPr>
    </w:p>
    <w:p w:rsidR="00E654EF" w:rsidRDefault="00E654EF" w:rsidP="00E654EF">
      <w:pPr>
        <w:pStyle w:val="3"/>
        <w:spacing w:before="0" w:after="0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CD03F6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Задача </w:t>
      </w:r>
      <w:r>
        <w:rPr>
          <w:rFonts w:ascii="Times New Roman" w:hAnsi="Times New Roman" w:cs="Times New Roman"/>
          <w:color w:val="000000"/>
          <w:sz w:val="28"/>
          <w:szCs w:val="24"/>
          <w:lang w:val="uk-UA"/>
        </w:rPr>
        <w:t>2</w:t>
      </w:r>
      <w:r w:rsidRPr="00CD03F6">
        <w:rPr>
          <w:rFonts w:ascii="Times New Roman" w:hAnsi="Times New Roman" w:cs="Times New Roman"/>
          <w:color w:val="000000"/>
          <w:sz w:val="28"/>
          <w:szCs w:val="24"/>
          <w:lang w:val="uk-UA"/>
        </w:rPr>
        <w:t>.</w:t>
      </w:r>
    </w:p>
    <w:p w:rsidR="00E654EF" w:rsidRPr="00CD03F6" w:rsidRDefault="00E654EF" w:rsidP="00E654EF">
      <w:pPr>
        <w:pStyle w:val="3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4"/>
          <w:lang w:val="uk-UA"/>
        </w:rPr>
      </w:pPr>
      <w:r w:rsidRPr="00CD03F6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</w:t>
      </w:r>
      <w:r w:rsidRPr="00CD03F6">
        <w:rPr>
          <w:rFonts w:ascii="Times New Roman" w:hAnsi="Times New Roman" w:cs="Times New Roman"/>
          <w:b w:val="0"/>
          <w:color w:val="000000"/>
          <w:sz w:val="28"/>
          <w:szCs w:val="24"/>
          <w:lang w:val="uk-UA"/>
        </w:rPr>
        <w:t xml:space="preserve">Основні виробничі фонди підприємства на початок року склали  2825000 грн. Введення і вибуття основних фондів протягом року відображені в таблиці. </w:t>
      </w:r>
    </w:p>
    <w:tbl>
      <w:tblPr>
        <w:tblpPr w:leftFromText="180" w:rightFromText="180" w:vertAnchor="text" w:horzAnchor="margin" w:tblpY="292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2125"/>
        <w:gridCol w:w="1953"/>
      </w:tblGrid>
      <w:tr w:rsidR="00E654EF" w:rsidRPr="00CD03F6" w:rsidTr="00357A48">
        <w:trPr>
          <w:trHeight w:val="258"/>
        </w:trPr>
        <w:tc>
          <w:tcPr>
            <w:tcW w:w="5495" w:type="dxa"/>
            <w:vMerge w:val="restart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Місяць</w:t>
            </w:r>
          </w:p>
        </w:tc>
        <w:tc>
          <w:tcPr>
            <w:tcW w:w="4078" w:type="dxa"/>
            <w:gridSpan w:val="2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Основні фонди , в грн.</w:t>
            </w:r>
          </w:p>
        </w:tc>
      </w:tr>
      <w:tr w:rsidR="00E654EF" w:rsidRPr="00CD03F6" w:rsidTr="00357A48">
        <w:trPr>
          <w:trHeight w:val="164"/>
        </w:trPr>
        <w:tc>
          <w:tcPr>
            <w:tcW w:w="5495" w:type="dxa"/>
            <w:vMerge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Введення</w:t>
            </w:r>
          </w:p>
        </w:tc>
        <w:tc>
          <w:tcPr>
            <w:tcW w:w="1953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Вибуття</w:t>
            </w:r>
          </w:p>
        </w:tc>
      </w:tr>
      <w:tr w:rsidR="00E654EF" w:rsidRPr="00CD03F6" w:rsidTr="00357A48">
        <w:trPr>
          <w:trHeight w:hRule="exact" w:val="287"/>
        </w:trPr>
        <w:tc>
          <w:tcPr>
            <w:tcW w:w="549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 лютого</w:t>
            </w:r>
          </w:p>
        </w:tc>
        <w:tc>
          <w:tcPr>
            <w:tcW w:w="212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40000</w:t>
            </w:r>
          </w:p>
        </w:tc>
        <w:tc>
          <w:tcPr>
            <w:tcW w:w="1953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6000</w:t>
            </w:r>
          </w:p>
        </w:tc>
      </w:tr>
      <w:tr w:rsidR="00E654EF" w:rsidRPr="00CD03F6" w:rsidTr="00357A48">
        <w:trPr>
          <w:trHeight w:hRule="exact" w:val="287"/>
        </w:trPr>
        <w:tc>
          <w:tcPr>
            <w:tcW w:w="549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 травня</w:t>
            </w:r>
          </w:p>
        </w:tc>
        <w:tc>
          <w:tcPr>
            <w:tcW w:w="212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50000</w:t>
            </w:r>
          </w:p>
        </w:tc>
        <w:tc>
          <w:tcPr>
            <w:tcW w:w="1953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4000</w:t>
            </w:r>
          </w:p>
        </w:tc>
      </w:tr>
      <w:tr w:rsidR="00E654EF" w:rsidRPr="00CD03F6" w:rsidTr="00357A48">
        <w:trPr>
          <w:trHeight w:hRule="exact" w:val="287"/>
        </w:trPr>
        <w:tc>
          <w:tcPr>
            <w:tcW w:w="549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lastRenderedPageBreak/>
              <w:t>1 серпня</w:t>
            </w:r>
          </w:p>
        </w:tc>
        <w:tc>
          <w:tcPr>
            <w:tcW w:w="212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17000</w:t>
            </w:r>
          </w:p>
        </w:tc>
        <w:tc>
          <w:tcPr>
            <w:tcW w:w="1953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8000</w:t>
            </w:r>
          </w:p>
        </w:tc>
      </w:tr>
      <w:tr w:rsidR="00E654EF" w:rsidRPr="00CD03F6" w:rsidTr="00357A48">
        <w:trPr>
          <w:trHeight w:hRule="exact" w:val="287"/>
        </w:trPr>
        <w:tc>
          <w:tcPr>
            <w:tcW w:w="549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both"/>
              <w:rPr>
                <w:color w:val="000000"/>
              </w:rPr>
            </w:pPr>
            <w:r w:rsidRPr="00CD03F6">
              <w:rPr>
                <w:color w:val="000000"/>
              </w:rPr>
              <w:t>1 листопада</w:t>
            </w:r>
          </w:p>
        </w:tc>
        <w:tc>
          <w:tcPr>
            <w:tcW w:w="2125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10000</w:t>
            </w:r>
          </w:p>
        </w:tc>
        <w:tc>
          <w:tcPr>
            <w:tcW w:w="1953" w:type="dxa"/>
            <w:vAlign w:val="center"/>
          </w:tcPr>
          <w:p w:rsidR="00E654EF" w:rsidRPr="00CD03F6" w:rsidRDefault="00E654EF" w:rsidP="00357A48">
            <w:pPr>
              <w:spacing w:line="276" w:lineRule="auto"/>
              <w:contextualSpacing/>
              <w:jc w:val="center"/>
              <w:rPr>
                <w:color w:val="000000"/>
              </w:rPr>
            </w:pPr>
            <w:r w:rsidRPr="00CD03F6">
              <w:rPr>
                <w:color w:val="000000"/>
              </w:rPr>
              <w:t>5000</w:t>
            </w:r>
          </w:p>
        </w:tc>
      </w:tr>
    </w:tbl>
    <w:p w:rsidR="00E654EF" w:rsidRPr="00CD03F6" w:rsidRDefault="00E654EF" w:rsidP="00E654EF">
      <w:pPr>
        <w:pStyle w:val="3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CD03F6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Визначити середньорічну і вихідну вартість основних виробничих фондів, а також коефіцієнти вибуття і оновлення основних фондів.</w:t>
      </w:r>
    </w:p>
    <w:p w:rsidR="00E654EF" w:rsidRDefault="00E654EF" w:rsidP="00E654EF">
      <w:pPr>
        <w:pStyle w:val="9"/>
        <w:ind w:firstLine="567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Задача 3</w:t>
      </w:r>
      <w:r w:rsidRPr="00CD03F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E654EF" w:rsidRPr="00CD03F6" w:rsidRDefault="00E654EF" w:rsidP="00E654EF">
      <w:pPr>
        <w:pStyle w:val="9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03F6">
        <w:rPr>
          <w:rFonts w:ascii="Times New Roman" w:hAnsi="Times New Roman"/>
          <w:color w:val="000000"/>
          <w:sz w:val="28"/>
          <w:szCs w:val="28"/>
          <w:lang w:val="uk-UA"/>
        </w:rPr>
        <w:t>Визначити норму амортизації та суму нарахованої амортизації  за весь термін служби, та залишкову вартість об’єкта, якщо первісна вартість основних засобів 50000 грн, ліквідаційна вартість 2000. Термін використання об’єкта основних засобів  8 років.</w:t>
      </w:r>
    </w:p>
    <w:p w:rsidR="00E654EF" w:rsidRDefault="00E654EF" w:rsidP="004267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</w:p>
    <w:p w:rsidR="0042670D" w:rsidRPr="001973A2" w:rsidRDefault="0042670D" w:rsidP="0042670D">
      <w:pPr>
        <w:jc w:val="center"/>
        <w:rPr>
          <w:b/>
          <w:sz w:val="28"/>
          <w:szCs w:val="28"/>
        </w:rPr>
      </w:pPr>
      <w:r w:rsidRPr="001973A2">
        <w:rPr>
          <w:b/>
          <w:sz w:val="28"/>
          <w:szCs w:val="28"/>
        </w:rPr>
        <w:t xml:space="preserve">Задача </w:t>
      </w:r>
      <w:r w:rsidR="00E654EF">
        <w:rPr>
          <w:b/>
          <w:sz w:val="28"/>
          <w:szCs w:val="28"/>
        </w:rPr>
        <w:t>4.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І. Вихідні дані: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Готельний комплекс надає послуги з розміщення, харчування, а також значний перелік додаткових послуг. Комплекс здійснює свою діяльність на підставі та у відповідності до діючого в Україні законодавства, затвердженого статуту, сертифікату та ліцензії на право здійснення підприємницької діяльності з надання туристичних послуг.</w:t>
      </w:r>
      <w:r w:rsidRPr="001973A2">
        <w:rPr>
          <w:sz w:val="28"/>
          <w:szCs w:val="28"/>
        </w:rPr>
        <w:br/>
        <w:t>Готельний комплекс надає високоякісні послуги, що користуються попитом у споживачів, за вільними цінами.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 xml:space="preserve">З метою збільшення обсягів реалізації </w:t>
      </w:r>
      <w:proofErr w:type="spellStart"/>
      <w:r w:rsidRPr="001973A2">
        <w:rPr>
          <w:sz w:val="28"/>
          <w:szCs w:val="28"/>
        </w:rPr>
        <w:t>турпродукту</w:t>
      </w:r>
      <w:proofErr w:type="spellEnd"/>
      <w:r w:rsidRPr="001973A2">
        <w:rPr>
          <w:sz w:val="28"/>
          <w:szCs w:val="28"/>
        </w:rPr>
        <w:t xml:space="preserve"> (послуг) комплексу необхідно модернізувати матеріально-технічну базу.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ІІ. Завдання до ситуації: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1. Визначити напрямки модернізації готельного комплексу.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2. Розрахувати основні показники ефективності використання основних фондів готельного комплексу, а саме: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коефіцієнт зношення основних фондів;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коефіцієнт придатності основних фондів;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коефіцієнт вибуття основних фондів;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коефіцієнт оновлення основних фондів;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середньорічну вартість основних фондів;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коефіцієнт приросту основних фондів.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III. Інформаційне забезпечення задачі: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первісна (балансова) вартість основних фондів – 2млн 800тис.грн.;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вартість введених основних фондів, що введені в дію – 1млн 200тис.грн.;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введені основні фонди функціонують - 7 місяців;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вартість виведених основних фондів - 300 ( млн. грн.);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основні фонди, що вибули, функціонували - 6 місяців;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балансова вартість основних фондів (з урахуванням зносу) - 2млн 200тис.грн.;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- вартість зношених основних фондів – 600 тис. грн.</w:t>
      </w:r>
    </w:p>
    <w:p w:rsidR="0042670D" w:rsidRPr="001973A2" w:rsidRDefault="0042670D" w:rsidP="0042670D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 xml:space="preserve">Серед можливих напрямків модернізації матеріально-технічної бази готелю слід виділити передусім часткову або повну заміну меблів у номерах та інших приміщеннях готелю, обладнання у ванних кімнатах, заміна </w:t>
      </w:r>
      <w:r w:rsidRPr="001973A2">
        <w:rPr>
          <w:sz w:val="28"/>
          <w:szCs w:val="28"/>
        </w:rPr>
        <w:lastRenderedPageBreak/>
        <w:t>дерев’яних вікон на пластикові, перехід на електронні ключі-картки, заміна посуду в ресторані на більш дорогий, скатертин, рушників, постільної білизни тощо.</w:t>
      </w:r>
    </w:p>
    <w:p w:rsidR="0042670D" w:rsidRDefault="0042670D" w:rsidP="0042670D">
      <w:pPr>
        <w:widowControl w:val="0"/>
        <w:rPr>
          <w:b/>
          <w:color w:val="FF0000"/>
          <w:sz w:val="28"/>
          <w:szCs w:val="28"/>
        </w:rPr>
      </w:pPr>
    </w:p>
    <w:p w:rsidR="0042670D" w:rsidRPr="002107DB" w:rsidRDefault="0042670D" w:rsidP="0042670D">
      <w:pPr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 xml:space="preserve">Задача </w:t>
      </w:r>
      <w:r w:rsidR="00E654EF">
        <w:rPr>
          <w:b/>
          <w:sz w:val="28"/>
          <w:szCs w:val="28"/>
        </w:rPr>
        <w:t>5.</w:t>
      </w:r>
    </w:p>
    <w:p w:rsidR="0042670D" w:rsidRDefault="0042670D" w:rsidP="0042670D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 xml:space="preserve">Обчислити суму нематеріальних активів  готелю при умові, що по балансу готельного підприємства нараховується комп’ютерних програм на 120 тис. грн., товарний знак – 15 тис. грн., витрачено 140 тис. грн. на покупку ліцензії використання </w:t>
      </w:r>
      <w:r>
        <w:rPr>
          <w:color w:val="000000"/>
          <w:sz w:val="28"/>
          <w:szCs w:val="28"/>
        </w:rPr>
        <w:t>“ноу-хау“,  нараховується  на 2</w:t>
      </w:r>
      <w:r w:rsidRPr="005C2E94">
        <w:rPr>
          <w:color w:val="000000"/>
          <w:sz w:val="28"/>
          <w:szCs w:val="28"/>
        </w:rPr>
        <w:t>0 тис. грн. запатентованої технол</w:t>
      </w:r>
      <w:r>
        <w:rPr>
          <w:color w:val="000000"/>
          <w:sz w:val="28"/>
          <w:szCs w:val="28"/>
        </w:rPr>
        <w:t>огії і креслень, збудовано на 5</w:t>
      </w:r>
      <w:r w:rsidRPr="005C2E94">
        <w:rPr>
          <w:color w:val="000000"/>
          <w:sz w:val="28"/>
          <w:szCs w:val="28"/>
        </w:rPr>
        <w:t xml:space="preserve"> тис. грн. приміщення  для зберігання  програм і технологій.</w:t>
      </w:r>
    </w:p>
    <w:p w:rsidR="0042670D" w:rsidRDefault="0042670D" w:rsidP="0042670D">
      <w:pPr>
        <w:widowControl w:val="0"/>
        <w:rPr>
          <w:b/>
          <w:color w:val="FF0000"/>
          <w:sz w:val="28"/>
          <w:szCs w:val="28"/>
        </w:rPr>
      </w:pPr>
    </w:p>
    <w:p w:rsidR="0042670D" w:rsidRPr="004F52FD" w:rsidRDefault="00E654EF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Задача 6.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Оцінити ефективність руху грошових коштів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 xml:space="preserve"> за допомогою показників, які відображають формування чистого грошового потоку: коефіцієнта достатності чистого потоку грошових коштів, коефіцієнта ліквідності грошового потоку, коефіцієнта ефективності грошового потоку та коефіцієнта реінвестування (капіталізації) чистого грошового потоку. Дані для розрахунку наведено в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20"/>
        <w:gridCol w:w="1363"/>
        <w:gridCol w:w="1562"/>
      </w:tblGrid>
      <w:tr w:rsidR="0042670D" w:rsidRPr="00295C07" w:rsidTr="004F0E4F">
        <w:tc>
          <w:tcPr>
            <w:tcW w:w="3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 xml:space="preserve">Показник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295C07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295C07">
              <w:rPr>
                <w:sz w:val="28"/>
                <w:szCs w:val="28"/>
              </w:rPr>
              <w:t xml:space="preserve"> рік</w:t>
            </w:r>
          </w:p>
        </w:tc>
      </w:tr>
      <w:tr w:rsidR="0042670D" w:rsidRPr="00295C07" w:rsidTr="004F0E4F">
        <w:tc>
          <w:tcPr>
            <w:tcW w:w="3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Вир</w:t>
            </w:r>
            <w:r>
              <w:rPr>
                <w:sz w:val="28"/>
                <w:szCs w:val="28"/>
              </w:rPr>
              <w:t xml:space="preserve">учка від реалізації </w:t>
            </w:r>
            <w:proofErr w:type="spellStart"/>
            <w:r>
              <w:rPr>
                <w:sz w:val="28"/>
                <w:szCs w:val="28"/>
              </w:rPr>
              <w:t>полуг</w:t>
            </w:r>
            <w:proofErr w:type="spellEnd"/>
            <w:r w:rsidRPr="00295C07">
              <w:rPr>
                <w:sz w:val="28"/>
                <w:szCs w:val="28"/>
              </w:rPr>
              <w:t>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Витрати на закупку послуг,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Витрати на реалізацію,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Фонд оплати праці,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Відрахування на соціальні заходи,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Сума амортизаційних відрахувань,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Виплата відсотків за кредит,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Дивіденди,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Приріст грошових коштів,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Приріст суми реальних і довгострокових інвестицій, тис. грн.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250,4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90,8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10,1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18,9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4,2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27,6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15,7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80,5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12,1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276,5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112,3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14,8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21,1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25,4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18,9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88,2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14,3</w:t>
            </w:r>
          </w:p>
        </w:tc>
      </w:tr>
    </w:tbl>
    <w:p w:rsidR="00E654EF" w:rsidRDefault="00E654EF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 w:rsidRPr="004F52FD">
        <w:rPr>
          <w:b/>
          <w:iCs/>
          <w:sz w:val="28"/>
          <w:szCs w:val="28"/>
        </w:rPr>
        <w:t>Задача</w:t>
      </w:r>
      <w:r w:rsidR="00E654EF">
        <w:rPr>
          <w:b/>
          <w:iCs/>
          <w:sz w:val="28"/>
          <w:szCs w:val="28"/>
        </w:rPr>
        <w:t xml:space="preserve"> 7.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Визначити коефіцієнт ліквідності грошового потоку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>, коефіцієнт ефективності грошового потоку та коефіцієнт реінвестування (капіталізації)</w:t>
      </w:r>
      <w:r>
        <w:rPr>
          <w:sz w:val="28"/>
          <w:szCs w:val="28"/>
        </w:rPr>
        <w:t xml:space="preserve"> чистого грошового потоку за 2014-2015 роки</w:t>
      </w:r>
      <w:r w:rsidRPr="00295C07">
        <w:rPr>
          <w:sz w:val="28"/>
          <w:szCs w:val="28"/>
        </w:rPr>
        <w:t>. Дані для розрахунку наведено в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20"/>
        <w:gridCol w:w="1363"/>
        <w:gridCol w:w="1562"/>
      </w:tblGrid>
      <w:tr w:rsidR="0042670D" w:rsidRPr="00295C07" w:rsidTr="004F0E4F">
        <w:tc>
          <w:tcPr>
            <w:tcW w:w="3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Показник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295C07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95C07">
              <w:rPr>
                <w:sz w:val="28"/>
                <w:szCs w:val="28"/>
              </w:rPr>
              <w:t xml:space="preserve"> рік</w:t>
            </w:r>
          </w:p>
        </w:tc>
      </w:tr>
      <w:tr w:rsidR="0042670D" w:rsidRPr="00295C07" w:rsidTr="004F0E4F">
        <w:tc>
          <w:tcPr>
            <w:tcW w:w="3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Вир</w:t>
            </w:r>
            <w:r>
              <w:rPr>
                <w:sz w:val="28"/>
                <w:szCs w:val="28"/>
              </w:rPr>
              <w:t>учка від реалізації послуг</w:t>
            </w:r>
            <w:r w:rsidRPr="00295C07">
              <w:rPr>
                <w:sz w:val="28"/>
                <w:szCs w:val="28"/>
              </w:rPr>
              <w:t>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Витрати на закупку </w:t>
            </w:r>
            <w:r w:rsidRPr="00295C07">
              <w:rPr>
                <w:sz w:val="28"/>
                <w:szCs w:val="28"/>
              </w:rPr>
              <w:t>послуг,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Витрати на реалізацію,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>Фонд оплати праці,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Відрахування на соціальні заходи,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Сума амортизаційних відрахувань,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Виплата відсотків за кредит,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Дивіденди,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Грошові кошти на початок року,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Грошові кошти на кінець року, тис. грн.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Приріст суми реальних інвестицій, тис. грн.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>332,7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112,1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23,5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>19,8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3,7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12,4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18,9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230,5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325,5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15,6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>350,8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117,8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24,7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>23,4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4,6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10,1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21,1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325,5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380,0</w:t>
            </w:r>
          </w:p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17,3</w:t>
            </w:r>
          </w:p>
        </w:tc>
      </w:tr>
    </w:tbl>
    <w:p w:rsidR="0042670D" w:rsidRDefault="0042670D" w:rsidP="0042670D">
      <w:pPr>
        <w:widowControl w:val="0"/>
        <w:rPr>
          <w:b/>
          <w:color w:val="FF0000"/>
          <w:sz w:val="28"/>
          <w:szCs w:val="28"/>
        </w:rPr>
      </w:pP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 w:rsidRPr="004F52FD">
        <w:rPr>
          <w:b/>
          <w:iCs/>
          <w:sz w:val="28"/>
          <w:szCs w:val="28"/>
        </w:rPr>
        <w:t xml:space="preserve">Задача </w:t>
      </w:r>
      <w:r w:rsidR="00E654EF">
        <w:rPr>
          <w:b/>
          <w:iCs/>
          <w:sz w:val="28"/>
          <w:szCs w:val="28"/>
        </w:rPr>
        <w:t>8.</w:t>
      </w:r>
    </w:p>
    <w:p w:rsidR="0042670D" w:rsidRPr="00295C07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-ресторанний комплекс закупив</w:t>
      </w:r>
      <w:r w:rsidRPr="00295C07">
        <w:rPr>
          <w:sz w:val="28"/>
          <w:szCs w:val="28"/>
        </w:rPr>
        <w:t xml:space="preserve"> основних фондів комплексу А за ціною 2 тис. грн., комплексу Б за ціною 5 тис. грн. та комплексу В за ціною 3 тис. грн. Загальна вартість транспортування всіх основних фондів складає 2,5% від їх ціни. Вартість встановлення основних фондів комплексу В становить 4% від їх ціни. Приріст продуктивності праці за попередній період – 5%. Визначити первісну вартість основних фондів, відновлену вартість та коефіцієнт морального спрацювання по окремих комплексах та в цілому, якщо загальна кількість років експлуатації комплексу А – 5 років, комплексу Б – 7 років та комплексу В </w:t>
      </w:r>
      <w:r>
        <w:rPr>
          <w:sz w:val="28"/>
          <w:szCs w:val="28"/>
        </w:rPr>
        <w:t xml:space="preserve">- </w:t>
      </w:r>
      <w:r w:rsidRPr="00295C07">
        <w:rPr>
          <w:sz w:val="28"/>
          <w:szCs w:val="28"/>
        </w:rPr>
        <w:t>12 років.</w:t>
      </w: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iCs/>
          <w:sz w:val="28"/>
          <w:szCs w:val="28"/>
        </w:rPr>
      </w:pPr>
    </w:p>
    <w:p w:rsidR="0042670D" w:rsidRPr="004F52FD" w:rsidRDefault="00E654EF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Задача 9.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Визначити балансову вартість основних фондів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 за 2015</w:t>
      </w:r>
      <w:r w:rsidRPr="00295C07">
        <w:rPr>
          <w:sz w:val="28"/>
          <w:szCs w:val="28"/>
        </w:rPr>
        <w:t xml:space="preserve"> рік, якщо вартіст</w:t>
      </w:r>
      <w:r>
        <w:rPr>
          <w:sz w:val="28"/>
          <w:szCs w:val="28"/>
        </w:rPr>
        <w:t>ь основних фондів на кінець 2014</w:t>
      </w:r>
      <w:r w:rsidRPr="00295C07">
        <w:rPr>
          <w:sz w:val="28"/>
          <w:szCs w:val="28"/>
        </w:rPr>
        <w:t xml:space="preserve"> року стано</w:t>
      </w:r>
      <w:r>
        <w:rPr>
          <w:sz w:val="28"/>
          <w:szCs w:val="28"/>
        </w:rPr>
        <w:t>вила 186 тис. грн. Протягом 2015</w:t>
      </w:r>
      <w:r w:rsidRPr="00295C07">
        <w:rPr>
          <w:sz w:val="28"/>
          <w:szCs w:val="28"/>
        </w:rPr>
        <w:t xml:space="preserve"> року </w:t>
      </w:r>
      <w:r>
        <w:rPr>
          <w:sz w:val="28"/>
          <w:szCs w:val="28"/>
        </w:rPr>
        <w:t>заклад закупив</w:t>
      </w:r>
      <w:r w:rsidRPr="00295C07">
        <w:rPr>
          <w:sz w:val="28"/>
          <w:szCs w:val="28"/>
        </w:rPr>
        <w:t xml:space="preserve"> основних фондів на суму 10 тис. грн. та списа</w:t>
      </w:r>
      <w:r>
        <w:rPr>
          <w:sz w:val="28"/>
          <w:szCs w:val="28"/>
        </w:rPr>
        <w:t>в</w:t>
      </w:r>
      <w:r w:rsidRPr="00295C07">
        <w:rPr>
          <w:sz w:val="28"/>
          <w:szCs w:val="28"/>
        </w:rPr>
        <w:t xml:space="preserve"> фізично застаріле на суму 6,3 тис. грн. </w:t>
      </w:r>
      <w:r>
        <w:rPr>
          <w:sz w:val="28"/>
          <w:szCs w:val="28"/>
        </w:rPr>
        <w:t>Протягом 2015</w:t>
      </w:r>
      <w:r w:rsidRPr="00295C07">
        <w:rPr>
          <w:sz w:val="28"/>
          <w:szCs w:val="28"/>
        </w:rPr>
        <w:t xml:space="preserve"> року проводився капітальний ремонт основних фондів, витрати на який склали 3,6 тис. грн. Структура первісної вартості основних фондів та норми амортизаційних відрахувань наведено в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33"/>
        <w:gridCol w:w="1245"/>
        <w:gridCol w:w="1245"/>
        <w:gridCol w:w="1106"/>
        <w:gridCol w:w="1116"/>
      </w:tblGrid>
      <w:tr w:rsidR="0042670D" w:rsidRPr="00295C07" w:rsidTr="004F0E4F">
        <w:trPr>
          <w:trHeight w:val="256"/>
        </w:trPr>
        <w:tc>
          <w:tcPr>
            <w:tcW w:w="24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Показники</w:t>
            </w:r>
          </w:p>
        </w:tc>
        <w:tc>
          <w:tcPr>
            <w:tcW w:w="25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Групи основних фондів</w:t>
            </w:r>
          </w:p>
        </w:tc>
      </w:tr>
      <w:tr w:rsidR="0042670D" w:rsidRPr="00295C07" w:rsidTr="004F0E4F">
        <w:trPr>
          <w:trHeight w:val="256"/>
        </w:trPr>
        <w:tc>
          <w:tcPr>
            <w:tcW w:w="24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en-US"/>
              </w:rPr>
            </w:pPr>
            <w:r w:rsidRPr="00295C07">
              <w:rPr>
                <w:sz w:val="28"/>
                <w:szCs w:val="28"/>
                <w:lang w:val="en-US"/>
              </w:rPr>
              <w:t>IV</w:t>
            </w:r>
          </w:p>
        </w:tc>
      </w:tr>
      <w:tr w:rsidR="0042670D" w:rsidRPr="00295C07" w:rsidTr="004F0E4F">
        <w:trPr>
          <w:trHeight w:val="256"/>
        </w:trPr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Первісна вартість, тис. грн.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95,5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13,1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5,4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9,2</w:t>
            </w:r>
          </w:p>
        </w:tc>
      </w:tr>
      <w:tr w:rsidR="0042670D" w:rsidRPr="00295C07" w:rsidTr="004F0E4F">
        <w:trPr>
          <w:trHeight w:val="256"/>
        </w:trPr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Норма амортизації, %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</w:t>
            </w:r>
          </w:p>
        </w:tc>
      </w:tr>
    </w:tbl>
    <w:p w:rsidR="00E654EF" w:rsidRDefault="00E654EF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 w:rsidRPr="004F52FD">
        <w:rPr>
          <w:b/>
          <w:iCs/>
          <w:sz w:val="28"/>
          <w:szCs w:val="28"/>
        </w:rPr>
        <w:t xml:space="preserve">Задача </w:t>
      </w:r>
      <w:r w:rsidR="00E654EF">
        <w:rPr>
          <w:b/>
          <w:iCs/>
          <w:sz w:val="28"/>
          <w:szCs w:val="28"/>
        </w:rPr>
        <w:t>10.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>Визначити середньорічну вартість основних фондів по групах та їх структуру, а також коефіцієнти оновлення, вибуття та приросту основних фондів, виходячи з даних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07"/>
        <w:gridCol w:w="1613"/>
        <w:gridCol w:w="1488"/>
        <w:gridCol w:w="1437"/>
      </w:tblGrid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Показники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На 01.01 поточного року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Введені з 1 липня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Виведені в квітні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lastRenderedPageBreak/>
              <w:t xml:space="preserve">Будівлі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24500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1240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 xml:space="preserve">Споруди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12300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3120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4740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Передавальні пристрої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5410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Обладнання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9800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1355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960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Транспортне обладнання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7200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2890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Автомобільний транспорт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5400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Електромеханічні прилади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3120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1160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540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Комп’ютерні засоби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2340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1030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980</w:t>
            </w:r>
          </w:p>
        </w:tc>
      </w:tr>
      <w:tr w:rsidR="0042670D" w:rsidRPr="00295C07" w:rsidTr="004F0E4F">
        <w:trPr>
          <w:trHeight w:val="256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Інвентар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1230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345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120</w:t>
            </w:r>
          </w:p>
        </w:tc>
      </w:tr>
    </w:tbl>
    <w:p w:rsidR="0042670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 w:rsidRPr="004F52FD">
        <w:rPr>
          <w:b/>
          <w:iCs/>
          <w:sz w:val="28"/>
          <w:szCs w:val="28"/>
        </w:rPr>
        <w:t xml:space="preserve">Задача </w:t>
      </w:r>
      <w:r w:rsidR="00E654EF">
        <w:rPr>
          <w:b/>
          <w:iCs/>
          <w:sz w:val="28"/>
          <w:szCs w:val="28"/>
        </w:rPr>
        <w:t>11.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Визначити залишкову (ліквідаційну) вартість та середньорічну вартість основних фондів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 xml:space="preserve"> окремо за група</w:t>
      </w:r>
      <w:r>
        <w:rPr>
          <w:sz w:val="28"/>
          <w:szCs w:val="28"/>
        </w:rPr>
        <w:t>ми, використовуючи дані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20"/>
        <w:gridCol w:w="1363"/>
        <w:gridCol w:w="1562"/>
      </w:tblGrid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 xml:space="preserve">Показники 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Звітний рік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Плановий рік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Первісна вартість основних фондів, тис. грн., у тому числі: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785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450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243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ІV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Спрацювання основних фондів, %, у тому числі: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25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ІІІ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ІV група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Введено основних фондів, тис. грн.: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 липня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березні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10,5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Виведено обладнання, тис. грн.: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18 квітня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4,7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</w:tr>
      <w:tr w:rsidR="0042670D" w:rsidRPr="00295C07" w:rsidTr="004F0E4F">
        <w:trPr>
          <w:trHeight w:val="256"/>
        </w:trPr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4 вересня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7,4</w:t>
            </w:r>
          </w:p>
        </w:tc>
      </w:tr>
    </w:tbl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42670D" w:rsidRPr="004F52FD" w:rsidRDefault="00E654EF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Задача 12.</w:t>
      </w:r>
      <w:bookmarkStart w:id="0" w:name="_GoBack"/>
      <w:bookmarkEnd w:id="0"/>
    </w:p>
    <w:p w:rsidR="0042670D" w:rsidRPr="00AA4A10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>Первісна вартість основних фондів – 14 тис. грн., ліквідаційна – 2 тис. грн. Амортизаційний період – 5 років. Визначити щорічні суми амортизаційних відрахувань, норму амортизації, накопичення амортизації та залишкову вартість основних фондів, використовуючи три методи нарахування амортизації: лінійний (</w:t>
      </w:r>
      <w:r w:rsidRPr="00AA4A10">
        <w:rPr>
          <w:sz w:val="28"/>
          <w:szCs w:val="28"/>
        </w:rPr>
        <w:t>рівномірний), кумулятивний та балансовий (подвійно-залишковий).</w:t>
      </w:r>
    </w:p>
    <w:p w:rsidR="0042670D" w:rsidRPr="00AA4A10" w:rsidRDefault="0042670D" w:rsidP="0042670D">
      <w:pPr>
        <w:widowControl w:val="0"/>
        <w:rPr>
          <w:b/>
          <w:sz w:val="28"/>
          <w:szCs w:val="28"/>
        </w:rPr>
      </w:pPr>
    </w:p>
    <w:p w:rsidR="0042670D" w:rsidRPr="00AA4A10" w:rsidRDefault="0042670D" w:rsidP="0042670D">
      <w:pPr>
        <w:ind w:firstLine="680"/>
        <w:jc w:val="center"/>
        <w:rPr>
          <w:b/>
          <w:bCs/>
          <w:sz w:val="28"/>
          <w:szCs w:val="28"/>
        </w:rPr>
      </w:pPr>
      <w:r w:rsidRPr="00AA4A10">
        <w:rPr>
          <w:b/>
          <w:bCs/>
          <w:sz w:val="28"/>
          <w:szCs w:val="28"/>
        </w:rPr>
        <w:lastRenderedPageBreak/>
        <w:t xml:space="preserve">Практичні задачі для самостійного розв’язання </w:t>
      </w:r>
    </w:p>
    <w:p w:rsidR="0042670D" w:rsidRPr="00AA4A10" w:rsidRDefault="0042670D" w:rsidP="0042670D">
      <w:pPr>
        <w:jc w:val="center"/>
        <w:rPr>
          <w:sz w:val="28"/>
          <w:szCs w:val="28"/>
        </w:rPr>
      </w:pPr>
      <w:r w:rsidRPr="00AA4A10">
        <w:rPr>
          <w:b/>
          <w:sz w:val="28"/>
          <w:szCs w:val="28"/>
        </w:rPr>
        <w:t>Задача 1</w:t>
      </w:r>
    </w:p>
    <w:p w:rsidR="0042670D" w:rsidRPr="005C2E94" w:rsidRDefault="0042670D" w:rsidP="0042670D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Визначити середньорічну вартість основних фондів готелю, якщо відомо, що вартість основних фондів на початок року становила 5,2 млн. грн. З 1 березня було введено основних фондів на 0,3 млн. , а з 1 липня – 0,25 млн. грн.  31 серпня виведено основних фондів на 0,74 млн. грн., а з 15 жовтня 0,84 млн. грн.</w:t>
      </w:r>
    </w:p>
    <w:p w:rsidR="0042670D" w:rsidRDefault="0042670D" w:rsidP="0042670D">
      <w:pPr>
        <w:widowControl w:val="0"/>
        <w:jc w:val="center"/>
        <w:rPr>
          <w:b/>
          <w:color w:val="FF0000"/>
          <w:sz w:val="28"/>
          <w:szCs w:val="28"/>
        </w:rPr>
      </w:pPr>
    </w:p>
    <w:p w:rsidR="0042670D" w:rsidRPr="002107DB" w:rsidRDefault="0042670D" w:rsidP="0042670D">
      <w:pPr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</w:t>
      </w:r>
    </w:p>
    <w:p w:rsidR="0042670D" w:rsidRPr="005C2E94" w:rsidRDefault="0042670D" w:rsidP="0042670D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Визначити суму амортизаційних відрахувань готелю в 20</w:t>
      </w:r>
      <w:r>
        <w:rPr>
          <w:color w:val="000000"/>
          <w:sz w:val="28"/>
          <w:szCs w:val="28"/>
        </w:rPr>
        <w:t>14</w:t>
      </w:r>
      <w:r w:rsidRPr="005C2E94">
        <w:rPr>
          <w:color w:val="000000"/>
          <w:sz w:val="28"/>
          <w:szCs w:val="28"/>
        </w:rPr>
        <w:t xml:space="preserve"> році за маркетингові інформаційні системи  2,4 млн. грн. та нормі амортизації відповідно Закону України 15% за квартал.</w:t>
      </w:r>
    </w:p>
    <w:p w:rsidR="0042670D" w:rsidRDefault="0042670D" w:rsidP="0042670D">
      <w:pPr>
        <w:widowControl w:val="0"/>
        <w:jc w:val="center"/>
        <w:rPr>
          <w:b/>
          <w:color w:val="FF0000"/>
          <w:sz w:val="28"/>
          <w:szCs w:val="28"/>
        </w:rPr>
      </w:pPr>
    </w:p>
    <w:p w:rsidR="0042670D" w:rsidRPr="004F52FD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Задача 3</w:t>
      </w:r>
    </w:p>
    <w:p w:rsidR="0042670D" w:rsidRPr="00295C07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>Вартість основних фонді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 на кінець 2014</w:t>
      </w:r>
      <w:r w:rsidRPr="00295C07">
        <w:rPr>
          <w:sz w:val="28"/>
          <w:szCs w:val="28"/>
        </w:rPr>
        <w:t xml:space="preserve"> року – 650 тис. грн. Протягом </w:t>
      </w:r>
      <w:r>
        <w:rPr>
          <w:sz w:val="28"/>
          <w:szCs w:val="28"/>
        </w:rPr>
        <w:t>декад травня і вересня бу</w:t>
      </w:r>
      <w:r w:rsidRPr="00295C07">
        <w:rPr>
          <w:sz w:val="28"/>
          <w:szCs w:val="28"/>
        </w:rPr>
        <w:t xml:space="preserve">ли введені в дію основні фонди вартістю 73 тис. грн. та 110 тис. грн. Також в другій половині липня підприємство придбало автотранспорт вартістю 5 тис. </w:t>
      </w:r>
      <w:proofErr w:type="spellStart"/>
      <w:r w:rsidRPr="00295C07">
        <w:rPr>
          <w:sz w:val="28"/>
          <w:szCs w:val="28"/>
        </w:rPr>
        <w:t>дол</w:t>
      </w:r>
      <w:proofErr w:type="spellEnd"/>
      <w:r w:rsidRPr="00295C07">
        <w:rPr>
          <w:sz w:val="28"/>
          <w:szCs w:val="28"/>
        </w:rPr>
        <w:t>. США. Крім того, за укладеною угодою з зарубіжною фірмою</w:t>
      </w:r>
      <w:r>
        <w:rPr>
          <w:sz w:val="28"/>
          <w:szCs w:val="28"/>
        </w:rPr>
        <w:t xml:space="preserve"> заклад придбав</w:t>
      </w:r>
      <w:r w:rsidRPr="00295C07">
        <w:rPr>
          <w:sz w:val="28"/>
          <w:szCs w:val="28"/>
        </w:rPr>
        <w:t xml:space="preserve"> в жовтні програмне забезпечення вартістю 1,2 тис. </w:t>
      </w:r>
      <w:proofErr w:type="spellStart"/>
      <w:r w:rsidRPr="00295C07">
        <w:rPr>
          <w:sz w:val="28"/>
          <w:szCs w:val="28"/>
        </w:rPr>
        <w:t>дол</w:t>
      </w:r>
      <w:proofErr w:type="spellEnd"/>
      <w:r w:rsidRPr="00295C07">
        <w:rPr>
          <w:sz w:val="28"/>
          <w:szCs w:val="28"/>
        </w:rPr>
        <w:t>. США. В першій половині березня передбачено вивести з експлуатації малоцінні основні фонди на суму 3 тис. грн. та у вересні інвентар на суму 0,75 тис. грн.</w:t>
      </w:r>
    </w:p>
    <w:p w:rsidR="0042670D" w:rsidRPr="00295C07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Визначити середньорічну вартість основних фондів, якщо середня чисельність працівників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 xml:space="preserve"> – 230 </w:t>
      </w:r>
      <w:proofErr w:type="spellStart"/>
      <w:r w:rsidRPr="00295C07">
        <w:rPr>
          <w:sz w:val="28"/>
          <w:szCs w:val="28"/>
        </w:rPr>
        <w:t>чол</w:t>
      </w:r>
      <w:proofErr w:type="spellEnd"/>
      <w:r w:rsidRPr="00295C07">
        <w:rPr>
          <w:sz w:val="28"/>
          <w:szCs w:val="28"/>
        </w:rPr>
        <w:t xml:space="preserve">., загальна вартість реалізації </w:t>
      </w:r>
      <w:r>
        <w:rPr>
          <w:sz w:val="28"/>
          <w:szCs w:val="28"/>
        </w:rPr>
        <w:t>послуг</w:t>
      </w:r>
      <w:r w:rsidRPr="00295C07">
        <w:rPr>
          <w:sz w:val="28"/>
          <w:szCs w:val="28"/>
        </w:rPr>
        <w:t xml:space="preserve"> за рік – 1,2 млн. грн., річний розмір чистого пр</w:t>
      </w:r>
      <w:r>
        <w:rPr>
          <w:sz w:val="28"/>
          <w:szCs w:val="28"/>
        </w:rPr>
        <w:t>ибутку – 230 тис. грн. Прийняти</w:t>
      </w:r>
      <w:r w:rsidRPr="00295C07">
        <w:rPr>
          <w:sz w:val="28"/>
          <w:szCs w:val="28"/>
        </w:rPr>
        <w:t xml:space="preserve"> для розрахунків діючий курс долара США.</w:t>
      </w:r>
    </w:p>
    <w:p w:rsidR="0042670D" w:rsidRPr="00295C07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2670D" w:rsidRPr="00B43854" w:rsidRDefault="0042670D" w:rsidP="0042670D">
      <w:pPr>
        <w:tabs>
          <w:tab w:val="left" w:pos="567"/>
        </w:tabs>
        <w:ind w:firstLine="567"/>
        <w:jc w:val="center"/>
        <w:rPr>
          <w:b/>
          <w:iCs/>
          <w:sz w:val="28"/>
          <w:szCs w:val="28"/>
        </w:rPr>
      </w:pPr>
      <w:r w:rsidRPr="00B43854">
        <w:rPr>
          <w:b/>
          <w:iCs/>
          <w:sz w:val="28"/>
          <w:szCs w:val="28"/>
        </w:rPr>
        <w:t xml:space="preserve">Задача </w:t>
      </w:r>
      <w:r>
        <w:rPr>
          <w:b/>
          <w:iCs/>
          <w:sz w:val="28"/>
          <w:szCs w:val="28"/>
        </w:rPr>
        <w:t>4</w:t>
      </w:r>
    </w:p>
    <w:p w:rsidR="0042670D" w:rsidRDefault="0042670D" w:rsidP="004267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 xml:space="preserve">Визначити балансову вартість основних фондів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 xml:space="preserve"> за три роки на основі даних, наведених в таблиці.</w:t>
      </w:r>
    </w:p>
    <w:p w:rsidR="0042670D" w:rsidRDefault="0042670D" w:rsidP="0042670D">
      <w:pPr>
        <w:tabs>
          <w:tab w:val="left" w:pos="567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76"/>
        <w:gridCol w:w="1239"/>
        <w:gridCol w:w="1239"/>
        <w:gridCol w:w="1191"/>
      </w:tblGrid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 xml:space="preserve">Показники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Pr="00295C0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Pr="00295C0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95C07">
              <w:rPr>
                <w:sz w:val="28"/>
                <w:szCs w:val="28"/>
              </w:rPr>
              <w:t xml:space="preserve"> р.</w:t>
            </w: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Балансова вартість основних фондів на початок року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32450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Сума витрат на придбання нових основних фондів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7810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8240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9310</w:t>
            </w: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Здійснення капітального ремонту основних фондів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3200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2700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3690</w:t>
            </w: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Витрати на інноваційну модернізацію обладнання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1240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1540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1212</w:t>
            </w: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Виведені з експлуатації основні фонди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4210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4360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5100</w:t>
            </w:r>
          </w:p>
        </w:tc>
      </w:tr>
      <w:tr w:rsidR="0042670D" w:rsidRPr="00295C07" w:rsidTr="004F0E4F">
        <w:trPr>
          <w:trHeight w:val="256"/>
        </w:trPr>
        <w:tc>
          <w:tcPr>
            <w:tcW w:w="3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Сума амортизаційних відрахувань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6500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7200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7530</w:t>
            </w:r>
          </w:p>
        </w:tc>
      </w:tr>
    </w:tbl>
    <w:p w:rsidR="0042670D" w:rsidRPr="00B43854" w:rsidRDefault="0042670D" w:rsidP="0042670D">
      <w:pPr>
        <w:tabs>
          <w:tab w:val="left" w:pos="567"/>
        </w:tabs>
        <w:ind w:firstLine="567"/>
        <w:jc w:val="center"/>
        <w:rPr>
          <w:iCs/>
          <w:sz w:val="28"/>
          <w:szCs w:val="28"/>
        </w:rPr>
      </w:pPr>
    </w:p>
    <w:p w:rsidR="0042670D" w:rsidRPr="00B43854" w:rsidRDefault="0042670D" w:rsidP="0042670D">
      <w:pPr>
        <w:ind w:firstLine="567"/>
        <w:jc w:val="center"/>
        <w:rPr>
          <w:b/>
          <w:iCs/>
          <w:sz w:val="28"/>
          <w:szCs w:val="28"/>
        </w:rPr>
      </w:pPr>
      <w:r w:rsidRPr="00B43854">
        <w:rPr>
          <w:b/>
          <w:iCs/>
          <w:sz w:val="28"/>
          <w:szCs w:val="28"/>
        </w:rPr>
        <w:t xml:space="preserve">Задача </w:t>
      </w:r>
      <w:r>
        <w:rPr>
          <w:b/>
          <w:iCs/>
          <w:sz w:val="28"/>
          <w:szCs w:val="28"/>
        </w:rPr>
        <w:t>5</w:t>
      </w:r>
    </w:p>
    <w:p w:rsidR="0042670D" w:rsidRPr="00295C07" w:rsidRDefault="0042670D" w:rsidP="0042670D">
      <w:pPr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lastRenderedPageBreak/>
        <w:t xml:space="preserve">Вартість основних фондів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-ресторанного комплексу</w:t>
      </w:r>
      <w:r w:rsidRPr="00295C07">
        <w:rPr>
          <w:sz w:val="28"/>
          <w:szCs w:val="28"/>
        </w:rPr>
        <w:t xml:space="preserve"> на початок року становила 1,75 млн. грн. На протязі поточного року вводилися в дію основні фонди в першій декаді березня та другій половині червня на суму 112 та 235 тис. грн. відповідно. На протязі року були списані морально застарілі основні фонди 5 травня та 12 жовтня на суму 95,5 та 100 тис. грн. відповідно. Ліквідаційна вартість основних фондів складає 1,5% від первісної вартості, а норма амортизації – 25%. Визначити показники ефективності використання основних фондів: фондовіддачу, фондомісткість, фондоозброєність, а також суму амортизаційних відрахувань, якщо загальна вартість реалізації </w:t>
      </w:r>
      <w:r>
        <w:rPr>
          <w:sz w:val="28"/>
          <w:szCs w:val="28"/>
        </w:rPr>
        <w:t>послуг</w:t>
      </w:r>
      <w:r w:rsidRPr="00295C07">
        <w:rPr>
          <w:sz w:val="28"/>
          <w:szCs w:val="28"/>
        </w:rPr>
        <w:t xml:space="preserve"> за рік становить 24 млн. грн.,  чисельність працюючих – 235 </w:t>
      </w:r>
      <w:proofErr w:type="spellStart"/>
      <w:r w:rsidRPr="00295C07">
        <w:rPr>
          <w:sz w:val="28"/>
          <w:szCs w:val="28"/>
        </w:rPr>
        <w:t>чол</w:t>
      </w:r>
      <w:proofErr w:type="spellEnd"/>
      <w:r w:rsidRPr="00295C07">
        <w:rPr>
          <w:sz w:val="28"/>
          <w:szCs w:val="28"/>
        </w:rPr>
        <w:t>.</w:t>
      </w:r>
    </w:p>
    <w:p w:rsidR="0042670D" w:rsidRPr="00295C07" w:rsidRDefault="0042670D" w:rsidP="0042670D">
      <w:pPr>
        <w:ind w:firstLine="567"/>
        <w:jc w:val="both"/>
        <w:rPr>
          <w:sz w:val="28"/>
          <w:szCs w:val="28"/>
        </w:rPr>
      </w:pPr>
    </w:p>
    <w:p w:rsidR="0042670D" w:rsidRPr="00B43854" w:rsidRDefault="0042670D" w:rsidP="0042670D">
      <w:pPr>
        <w:ind w:firstLine="567"/>
        <w:jc w:val="center"/>
        <w:rPr>
          <w:b/>
          <w:iCs/>
          <w:sz w:val="28"/>
          <w:szCs w:val="28"/>
        </w:rPr>
      </w:pPr>
      <w:r w:rsidRPr="00B43854">
        <w:rPr>
          <w:b/>
          <w:iCs/>
          <w:sz w:val="28"/>
          <w:szCs w:val="28"/>
        </w:rPr>
        <w:t xml:space="preserve">Задача </w:t>
      </w:r>
      <w:r>
        <w:rPr>
          <w:b/>
          <w:iCs/>
          <w:sz w:val="28"/>
          <w:szCs w:val="28"/>
        </w:rPr>
        <w:t>6</w:t>
      </w:r>
    </w:p>
    <w:p w:rsidR="0042670D" w:rsidRDefault="0042670D" w:rsidP="0042670D">
      <w:pPr>
        <w:ind w:firstLine="567"/>
        <w:jc w:val="both"/>
        <w:rPr>
          <w:sz w:val="28"/>
          <w:szCs w:val="28"/>
        </w:rPr>
      </w:pPr>
      <w:r w:rsidRPr="00295C07">
        <w:rPr>
          <w:sz w:val="28"/>
          <w:szCs w:val="28"/>
        </w:rPr>
        <w:t>Визначити коефіцієнти оновлення, вибуття та приросту основних фондів, а також вартість основних фондів на кінець року в цілому і по кожній гру</w:t>
      </w:r>
      <w:r>
        <w:rPr>
          <w:sz w:val="28"/>
          <w:szCs w:val="28"/>
        </w:rPr>
        <w:t>пі, використовуючи дані таблиці.</w:t>
      </w:r>
    </w:p>
    <w:p w:rsidR="0042670D" w:rsidRDefault="0042670D" w:rsidP="0042670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Таблиця</w:t>
      </w:r>
    </w:p>
    <w:p w:rsidR="0042670D" w:rsidRPr="00295C07" w:rsidRDefault="0042670D" w:rsidP="0042670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Вихідні дані до задачі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17"/>
        <w:gridCol w:w="1488"/>
        <w:gridCol w:w="1488"/>
        <w:gridCol w:w="1488"/>
        <w:gridCol w:w="1564"/>
      </w:tblGrid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Показники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На початок звітного року, тис. грн.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Надійшло у звітному році, тис. грн.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Вибуло у звітному році, тис. грн.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На кінець звітного року, тис. грн.</w:t>
            </w: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Всього основних фондів, в тому числі: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5800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600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200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Будівлі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2300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-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500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40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2670D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5C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Обладнання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120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Інші основні фонди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1720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300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80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  <w:tr w:rsidR="0042670D" w:rsidRPr="00295C07" w:rsidTr="004F0E4F">
        <w:trPr>
          <w:trHeight w:val="256"/>
        </w:trPr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Комп’ютерні засоби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1160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150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  <w:r w:rsidRPr="00295C07">
              <w:rPr>
                <w:sz w:val="28"/>
                <w:szCs w:val="28"/>
              </w:rPr>
              <w:t>70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0D" w:rsidRPr="00295C07" w:rsidRDefault="0042670D" w:rsidP="004F0E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5D75" w:rsidRDefault="00E654EF"/>
    <w:p w:rsidR="00E654EF" w:rsidRDefault="00E654EF"/>
    <w:p w:rsidR="00E654EF" w:rsidRPr="00CD03F6" w:rsidRDefault="00E654EF" w:rsidP="00E654EF">
      <w:pPr>
        <w:adjustRightInd w:val="0"/>
        <w:ind w:firstLine="567"/>
        <w:contextualSpacing/>
        <w:jc w:val="both"/>
        <w:rPr>
          <w:b/>
          <w:sz w:val="28"/>
          <w:szCs w:val="28"/>
          <w:lang w:eastAsia="uk-UA"/>
        </w:rPr>
      </w:pPr>
      <w:r w:rsidRPr="00CD03F6">
        <w:rPr>
          <w:b/>
          <w:sz w:val="28"/>
          <w:szCs w:val="28"/>
          <w:lang w:eastAsia="uk-UA"/>
        </w:rPr>
        <w:t>Тести для перевірки знань: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1. </w:t>
      </w:r>
      <w:r w:rsidRPr="00CD03F6">
        <w:rPr>
          <w:i/>
          <w:color w:val="000000"/>
          <w:sz w:val="28"/>
          <w:szCs w:val="28"/>
          <w:lang/>
        </w:rPr>
        <w:t>Первісна вартість - це вартість: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 у рік введення основних засобів у експлуатацію;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 у рік переоцінки;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 з урахуванням зносу за період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 балансова за вирахуванням ліквідаційної вартості.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2. </w:t>
      </w:r>
      <w:r w:rsidRPr="00CD03F6">
        <w:rPr>
          <w:i/>
          <w:color w:val="000000"/>
          <w:sz w:val="28"/>
          <w:szCs w:val="28"/>
          <w:lang/>
        </w:rPr>
        <w:t>Відновна вартість - це вартість: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у рік введення основних засобів у експлуатацію;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у рік переоцінки;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з урахуванням зносу за період експлуатації.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первісна або переоцінена за вирахуванням ліквідаційної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вартості.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3. </w:t>
      </w:r>
      <w:r w:rsidRPr="00CD03F6">
        <w:rPr>
          <w:i/>
          <w:color w:val="000000"/>
          <w:sz w:val="28"/>
          <w:szCs w:val="28"/>
          <w:lang/>
        </w:rPr>
        <w:t>Вартість, що амортизується - це вартість: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у рік введення основних засобів у експлуатацію;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у рік переоцінки;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lastRenderedPageBreak/>
        <w:t>в) з урахуванням зносу за період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первісна або переоцінена за вирахуванням ліквідаційної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вартості.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4. </w:t>
      </w:r>
      <w:r w:rsidRPr="00CD03F6">
        <w:rPr>
          <w:i/>
          <w:color w:val="000000"/>
          <w:sz w:val="28"/>
          <w:szCs w:val="28"/>
          <w:lang/>
        </w:rPr>
        <w:t>Залишкова вартість - це вартість: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у рік введення основних засобів у експлуатацію;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у рік переоцінки;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з урахуванням зносу за період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первісна або переоцінена за вирахуванням ліквідаційної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вартості.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5. </w:t>
      </w:r>
      <w:r w:rsidRPr="00CD03F6">
        <w:rPr>
          <w:i/>
          <w:color w:val="000000"/>
          <w:sz w:val="28"/>
          <w:szCs w:val="28"/>
          <w:lang/>
        </w:rPr>
        <w:t>Ліквідаційна вартість - це: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первісна вартість;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відновна вартість;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залишкова за строк експлуатації ґ = Те;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залишкова в кінці строку служби ґ = Тсл.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6. </w:t>
      </w:r>
      <w:r w:rsidRPr="00CD03F6">
        <w:rPr>
          <w:i/>
          <w:color w:val="000000"/>
          <w:sz w:val="28"/>
          <w:szCs w:val="28"/>
          <w:lang/>
        </w:rPr>
        <w:t>Прямолінійний метод нарахування амортизації забез</w:t>
      </w:r>
      <w:r w:rsidRPr="00CD03F6">
        <w:rPr>
          <w:i/>
          <w:color w:val="000000"/>
          <w:sz w:val="28"/>
          <w:szCs w:val="28"/>
          <w:lang/>
        </w:rPr>
        <w:softHyphen/>
        <w:t>печує: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рівномірний розподіл амортизаційних відрахувань за роками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 залежить від обсягу виробництва продукції за кожний рік і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терміну служби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</w:t>
      </w:r>
      <w:r w:rsidRPr="00CD03F6">
        <w:rPr>
          <w:color w:val="000000"/>
          <w:sz w:val="28"/>
          <w:szCs w:val="28"/>
          <w:lang/>
        </w:rPr>
        <w:t>ро</w:t>
      </w:r>
      <w:r w:rsidRPr="00CD03F6">
        <w:rPr>
          <w:color w:val="000000"/>
          <w:sz w:val="28"/>
          <w:szCs w:val="28"/>
          <w:lang/>
        </w:rPr>
        <w:t>зрахунок амортизаційних відрахувань ведеться за подвійною нормою амортизації від залишкової вартості;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залежить від норми амортизаційних відрахувань і залишкової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         використовує в якості норм амортизації кумулятивний коефіцієнт.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7. </w:t>
      </w:r>
      <w:r w:rsidRPr="00CD03F6">
        <w:rPr>
          <w:i/>
          <w:color w:val="000000"/>
          <w:sz w:val="28"/>
          <w:szCs w:val="28"/>
          <w:lang/>
        </w:rPr>
        <w:t>Виробничий метод нарахування амортизації забезпе</w:t>
      </w:r>
      <w:r w:rsidRPr="00CD03F6">
        <w:rPr>
          <w:i/>
          <w:color w:val="000000"/>
          <w:sz w:val="28"/>
          <w:szCs w:val="28"/>
          <w:lang/>
        </w:rPr>
        <w:softHyphen/>
        <w:t>чує: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 рівномірний розподіл амортизаційних відрахувань за ро</w:t>
      </w:r>
      <w:r w:rsidRPr="00CD03F6">
        <w:rPr>
          <w:color w:val="000000"/>
          <w:sz w:val="28"/>
          <w:szCs w:val="28"/>
          <w:lang/>
        </w:rPr>
        <w:softHyphen/>
        <w:t>ками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залежить від обсягу виробництва продукції за кожний рік і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терміну служби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</w:t>
      </w:r>
      <w:r w:rsidRPr="00CD03F6">
        <w:rPr>
          <w:color w:val="000000"/>
          <w:sz w:val="28"/>
          <w:szCs w:val="28"/>
          <w:lang/>
        </w:rPr>
        <w:t>р</w:t>
      </w:r>
      <w:r w:rsidRPr="00CD03F6">
        <w:rPr>
          <w:color w:val="000000"/>
          <w:sz w:val="28"/>
          <w:szCs w:val="28"/>
          <w:lang/>
        </w:rPr>
        <w:t>озрахунок амортизаційних відрахувань ведеться за подвійною нормою амортизації від залишкової вартості;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залежить від норми амортизаційних відрахувань і залишкової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 використовує в якості норм амортизації кумулятивний коефіцієнт.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8. </w:t>
      </w:r>
      <w:r w:rsidRPr="00CD03F6">
        <w:rPr>
          <w:i/>
          <w:color w:val="000000"/>
          <w:sz w:val="28"/>
          <w:szCs w:val="28"/>
          <w:lang/>
        </w:rPr>
        <w:t>Метод зменшення залишкової вартості забезпечує: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рівномірний розподіл амортизаційних відрахувань за роками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залежить від обсягу виробництва продукції за кожний рік і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терміну служби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розрахунок амортизаційних відрахувань ведеться за подвійною нормою амортизації від залишкової вартості;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залежить від норми амортизаційних відрахувань і залишкової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 використовує в якості норм амортизації кумулятивний коефіцієнт.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9. </w:t>
      </w:r>
      <w:r w:rsidRPr="00CD03F6">
        <w:rPr>
          <w:i/>
          <w:color w:val="000000"/>
          <w:sz w:val="28"/>
          <w:szCs w:val="28"/>
          <w:lang/>
        </w:rPr>
        <w:t>Метод прискореного зменшення залишкової вартості забезпечує: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рівномірний розподіл амортизаційних відрахувань за роками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lastRenderedPageBreak/>
        <w:t>б) залежить від обсягу виробництва продукції за кожний рік і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терміну служби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розрахунок амортизаційних відрахувань ведеться за подвійною нормою амортизації від залишкової вартості;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залежить від норми амортизаційних відрахувань і залишкової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 використовує в якості норм амортизації кумулятивний коефіцієнт.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10. </w:t>
      </w:r>
      <w:r w:rsidRPr="00CD03F6">
        <w:rPr>
          <w:i/>
          <w:color w:val="000000"/>
          <w:sz w:val="28"/>
          <w:szCs w:val="28"/>
          <w:lang/>
        </w:rPr>
        <w:t>Кумулятивний метод нарахування амортизації забез</w:t>
      </w:r>
      <w:r w:rsidRPr="00CD03F6">
        <w:rPr>
          <w:i/>
          <w:color w:val="000000"/>
          <w:sz w:val="28"/>
          <w:szCs w:val="28"/>
          <w:lang/>
        </w:rPr>
        <w:softHyphen/>
        <w:t>печує: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рівномірний розподіл амортизаційних відрахувань за роками експлуатації;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залежить від обсягу виробництва продукції за кожний рік і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терміну служби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</w:t>
      </w:r>
      <w:r w:rsidRPr="00CD03F6">
        <w:rPr>
          <w:color w:val="000000"/>
          <w:sz w:val="28"/>
          <w:szCs w:val="28"/>
          <w:lang/>
        </w:rPr>
        <w:t>р</w:t>
      </w:r>
      <w:r w:rsidRPr="00CD03F6">
        <w:rPr>
          <w:color w:val="000000"/>
          <w:sz w:val="28"/>
          <w:szCs w:val="28"/>
          <w:lang/>
        </w:rPr>
        <w:t>озрахунок амортизаційних відрахувань ведеться за подвійною нормою амортизації від залишкової вартості;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залежить від норми амортизаційних відрахувань і залишкової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використовує в якості норм амортизації кумулятивний коефіцієнт.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11. </w:t>
      </w:r>
      <w:r w:rsidRPr="00CD03F6">
        <w:rPr>
          <w:i/>
          <w:color w:val="000000"/>
          <w:sz w:val="28"/>
          <w:szCs w:val="28"/>
          <w:lang/>
        </w:rPr>
        <w:t>Фондовіддача показує: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випуск продукції на одиницю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вартість основних засобів на одиницю продукції;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випуск продукції в одиницю часу в розрахунку на одного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працівника;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ступінь використання робочого часу;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д) вартість основних засобів на одного працюючого.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12. </w:t>
      </w:r>
      <w:r w:rsidRPr="00CD03F6">
        <w:rPr>
          <w:i/>
          <w:color w:val="000000"/>
          <w:sz w:val="28"/>
          <w:szCs w:val="28"/>
          <w:lang/>
        </w:rPr>
        <w:t>Фондомісткість - це: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 випуск продукції на одиницю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вартість основних засобів на одиницю продукції;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випуск продукції в одиницю часу в розрахунку на одного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працівника;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 ступінь використання робочого часу;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13. </w:t>
      </w:r>
      <w:r w:rsidRPr="00CD03F6">
        <w:rPr>
          <w:i/>
          <w:color w:val="000000"/>
          <w:sz w:val="28"/>
          <w:szCs w:val="28"/>
          <w:lang/>
        </w:rPr>
        <w:t>Фондоозброєність - це: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 випуск продукції на одиницю вартості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 вартість основних засобів на одиницю продукції;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випуск продукції в одиницю часу в розрахунку на одного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працівника;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г) ступінь використання робочого часу;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14. </w:t>
      </w:r>
      <w:r w:rsidRPr="00CD03F6">
        <w:rPr>
          <w:i/>
          <w:color w:val="000000"/>
          <w:sz w:val="28"/>
          <w:szCs w:val="28"/>
          <w:lang/>
        </w:rPr>
        <w:t>Витрати на модернізацію основних виробничих засо</w:t>
      </w:r>
      <w:r w:rsidRPr="00CD03F6">
        <w:rPr>
          <w:i/>
          <w:color w:val="000000"/>
          <w:sz w:val="28"/>
          <w:szCs w:val="28"/>
          <w:lang/>
        </w:rPr>
        <w:softHyphen/>
        <w:t>бів: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 включають до виробничої собівартості готової продукції;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 збільшують первісну вартість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</w:t>
      </w:r>
      <w:r w:rsidRPr="00CD03F6">
        <w:rPr>
          <w:color w:val="000000"/>
          <w:sz w:val="28"/>
          <w:szCs w:val="28"/>
          <w:lang/>
        </w:rPr>
        <w:t xml:space="preserve"> в</w:t>
      </w:r>
      <w:r w:rsidRPr="00CD03F6">
        <w:rPr>
          <w:color w:val="000000"/>
          <w:sz w:val="28"/>
          <w:szCs w:val="28"/>
          <w:lang/>
        </w:rPr>
        <w:t>ідносять до валових витрат у сумі, яка не перевищує 10 %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сукупної балансової вартості груп основних фондів.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 xml:space="preserve">15. </w:t>
      </w:r>
      <w:r w:rsidRPr="00CD03F6">
        <w:rPr>
          <w:i/>
          <w:color w:val="000000"/>
          <w:sz w:val="28"/>
          <w:szCs w:val="28"/>
          <w:lang/>
        </w:rPr>
        <w:t>Витрати на ремонт основних виробничих засобів: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а) включають до виробничої собівартості готової продукції;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б) збільшують первісну вартість основних засобів;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>в) </w:t>
      </w:r>
      <w:r w:rsidRPr="00CD03F6">
        <w:rPr>
          <w:color w:val="000000"/>
          <w:sz w:val="28"/>
          <w:szCs w:val="28"/>
          <w:lang/>
        </w:rPr>
        <w:t>в</w:t>
      </w:r>
      <w:r w:rsidRPr="00CD03F6">
        <w:rPr>
          <w:color w:val="000000"/>
          <w:sz w:val="28"/>
          <w:szCs w:val="28"/>
          <w:lang/>
        </w:rPr>
        <w:t>ідносять до валових витрат у сумі, яка не перевищує 10 %</w:t>
      </w:r>
      <w:r w:rsidRPr="00CD03F6">
        <w:rPr>
          <w:color w:val="000000"/>
          <w:sz w:val="28"/>
          <w:szCs w:val="28"/>
          <w:lang/>
        </w:rPr>
        <w:br/>
        <w:t>сукупної балансової вартості груп основних фондів.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>16</w:t>
      </w:r>
      <w:r w:rsidRPr="00CD03F6">
        <w:rPr>
          <w:i/>
          <w:color w:val="000000"/>
          <w:sz w:val="28"/>
          <w:szCs w:val="28"/>
          <w:lang/>
        </w:rPr>
        <w:t>.       До оборотних виробничих фондів відноситься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а) </w:t>
      </w:r>
      <w:r w:rsidRPr="00CD03F6">
        <w:rPr>
          <w:color w:val="000000"/>
          <w:sz w:val="28"/>
          <w:szCs w:val="28"/>
          <w:lang/>
        </w:rPr>
        <w:t>продукція, що не пройшла всіх стадій обробки;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lastRenderedPageBreak/>
        <w:t xml:space="preserve">б) </w:t>
      </w:r>
      <w:r w:rsidRPr="00CD03F6">
        <w:rPr>
          <w:color w:val="000000"/>
          <w:sz w:val="28"/>
          <w:szCs w:val="28"/>
          <w:lang/>
        </w:rPr>
        <w:t>запаси готової продукції на складі підприємства;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в) </w:t>
      </w:r>
      <w:r w:rsidRPr="00CD03F6">
        <w:rPr>
          <w:color w:val="000000"/>
          <w:sz w:val="28"/>
          <w:szCs w:val="28"/>
          <w:lang/>
        </w:rPr>
        <w:t>кошти на поточному рахунку;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г) </w:t>
      </w:r>
      <w:r w:rsidRPr="00CD03F6">
        <w:rPr>
          <w:color w:val="000000"/>
          <w:sz w:val="28"/>
          <w:szCs w:val="28"/>
          <w:lang/>
        </w:rPr>
        <w:t>обчислювальна техніка;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д) </w:t>
      </w:r>
      <w:r w:rsidRPr="00CD03F6">
        <w:rPr>
          <w:color w:val="000000"/>
          <w:sz w:val="28"/>
          <w:szCs w:val="28"/>
          <w:lang/>
        </w:rPr>
        <w:t>усі відповіді правильні.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>17. До складу нормованих оборотних засобів включають: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а) </w:t>
      </w:r>
      <w:r w:rsidRPr="00CD03F6">
        <w:rPr>
          <w:color w:val="000000"/>
          <w:sz w:val="28"/>
          <w:szCs w:val="28"/>
          <w:lang/>
        </w:rPr>
        <w:t>кошти на поточному рахунку;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б) </w:t>
      </w:r>
      <w:r w:rsidRPr="00CD03F6">
        <w:rPr>
          <w:color w:val="000000"/>
          <w:sz w:val="28"/>
          <w:szCs w:val="28"/>
          <w:lang/>
        </w:rPr>
        <w:t>витрати майбутніх періодів;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в) </w:t>
      </w:r>
      <w:r w:rsidRPr="00CD03F6">
        <w:rPr>
          <w:color w:val="000000"/>
          <w:sz w:val="28"/>
          <w:szCs w:val="28"/>
          <w:lang/>
        </w:rPr>
        <w:t>відвантажену продукцію;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г) </w:t>
      </w:r>
      <w:r w:rsidRPr="00CD03F6">
        <w:rPr>
          <w:color w:val="000000"/>
          <w:sz w:val="28"/>
          <w:szCs w:val="28"/>
          <w:lang/>
        </w:rPr>
        <w:t>кошти в касі підприємства;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д) </w:t>
      </w:r>
      <w:r w:rsidRPr="00CD03F6">
        <w:rPr>
          <w:color w:val="000000"/>
          <w:sz w:val="28"/>
          <w:szCs w:val="28"/>
          <w:lang/>
        </w:rPr>
        <w:t>дебіторську заборгованість.</w:t>
      </w:r>
    </w:p>
    <w:p w:rsidR="00E654EF" w:rsidRPr="00CD03F6" w:rsidRDefault="00E654EF" w:rsidP="00E654EF">
      <w:pPr>
        <w:shd w:val="clear" w:color="auto" w:fill="FFFFFF"/>
        <w:tabs>
          <w:tab w:val="left" w:pos="993"/>
        </w:tabs>
        <w:ind w:firstLine="567"/>
        <w:contextualSpacing/>
        <w:jc w:val="both"/>
        <w:rPr>
          <w:i/>
          <w:color w:val="000000"/>
          <w:sz w:val="28"/>
          <w:szCs w:val="28"/>
          <w:lang/>
        </w:rPr>
      </w:pPr>
      <w:r w:rsidRPr="00CD03F6">
        <w:rPr>
          <w:i/>
          <w:color w:val="000000"/>
          <w:sz w:val="28"/>
          <w:szCs w:val="28"/>
          <w:lang/>
        </w:rPr>
        <w:t>18</w:t>
      </w:r>
      <w:r w:rsidRPr="00CD03F6">
        <w:rPr>
          <w:i/>
          <w:color w:val="000000"/>
          <w:sz w:val="28"/>
          <w:szCs w:val="28"/>
          <w:lang/>
        </w:rPr>
        <w:t>.</w:t>
      </w:r>
      <w:r w:rsidRPr="00CD03F6">
        <w:rPr>
          <w:i/>
          <w:color w:val="000000"/>
          <w:sz w:val="28"/>
          <w:szCs w:val="28"/>
          <w:lang/>
        </w:rPr>
        <w:t xml:space="preserve"> </w:t>
      </w:r>
      <w:r w:rsidRPr="00CD03F6">
        <w:rPr>
          <w:i/>
          <w:color w:val="000000"/>
          <w:sz w:val="28"/>
          <w:szCs w:val="28"/>
          <w:lang/>
        </w:rPr>
        <w:t>Незавершене виробництво - це: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а) </w:t>
      </w:r>
      <w:r w:rsidRPr="00CD03F6">
        <w:rPr>
          <w:color w:val="000000"/>
          <w:sz w:val="28"/>
          <w:szCs w:val="28"/>
          <w:lang/>
        </w:rPr>
        <w:t>незакінчена обробкою продукція на складі підприємства;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б) </w:t>
      </w:r>
      <w:r w:rsidRPr="00CD03F6">
        <w:rPr>
          <w:color w:val="000000"/>
          <w:sz w:val="28"/>
          <w:szCs w:val="28"/>
          <w:lang/>
        </w:rPr>
        <w:t>вартість продукції з незакінченою обробкою, яка знахо</w:t>
      </w:r>
      <w:r w:rsidRPr="00CD03F6">
        <w:rPr>
          <w:color w:val="000000"/>
          <w:sz w:val="28"/>
          <w:szCs w:val="28"/>
          <w:lang/>
        </w:rPr>
        <w:softHyphen/>
        <w:t>диться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на обладнанні у цеху;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в) </w:t>
      </w:r>
      <w:r w:rsidRPr="00CD03F6">
        <w:rPr>
          <w:color w:val="000000"/>
          <w:sz w:val="28"/>
          <w:szCs w:val="28"/>
          <w:lang/>
        </w:rPr>
        <w:t>витрати майбутніх періодів;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г) </w:t>
      </w:r>
      <w:r w:rsidRPr="00CD03F6">
        <w:rPr>
          <w:color w:val="000000"/>
          <w:sz w:val="28"/>
          <w:szCs w:val="28"/>
          <w:lang/>
        </w:rPr>
        <w:t>незакінчена продукція: на робочому місці, у технічному контролі,</w:t>
      </w:r>
      <w:r w:rsidRPr="00CD03F6">
        <w:rPr>
          <w:color w:val="000000"/>
          <w:sz w:val="28"/>
          <w:szCs w:val="28"/>
          <w:lang/>
        </w:rPr>
        <w:t xml:space="preserve"> </w:t>
      </w:r>
      <w:r w:rsidRPr="00CD03F6">
        <w:rPr>
          <w:color w:val="000000"/>
          <w:sz w:val="28"/>
          <w:szCs w:val="28"/>
          <w:lang/>
        </w:rPr>
        <w:t>транспортується;</w:t>
      </w:r>
    </w:p>
    <w:p w:rsidR="00E654EF" w:rsidRPr="00CD03F6" w:rsidRDefault="00E654EF" w:rsidP="00E654EF">
      <w:pPr>
        <w:shd w:val="clear" w:color="auto" w:fill="FFFFFF"/>
        <w:tabs>
          <w:tab w:val="left" w:pos="993"/>
          <w:tab w:val="left" w:pos="1560"/>
        </w:tabs>
        <w:ind w:firstLine="567"/>
        <w:contextualSpacing/>
        <w:jc w:val="both"/>
        <w:rPr>
          <w:color w:val="000000"/>
          <w:sz w:val="28"/>
          <w:szCs w:val="28"/>
          <w:lang/>
        </w:rPr>
      </w:pPr>
      <w:r w:rsidRPr="00CD03F6">
        <w:rPr>
          <w:color w:val="000000"/>
          <w:sz w:val="28"/>
          <w:szCs w:val="28"/>
          <w:lang/>
        </w:rPr>
        <w:t xml:space="preserve">д) </w:t>
      </w:r>
      <w:r w:rsidRPr="00CD03F6">
        <w:rPr>
          <w:color w:val="000000"/>
          <w:sz w:val="28"/>
          <w:szCs w:val="28"/>
          <w:lang/>
        </w:rPr>
        <w:t>продукція відвантажена.</w:t>
      </w:r>
    </w:p>
    <w:p w:rsidR="00E654EF" w:rsidRDefault="00E654EF"/>
    <w:sectPr w:rsidR="00E6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D5"/>
    <w:rsid w:val="0042670D"/>
    <w:rsid w:val="006E616B"/>
    <w:rsid w:val="00D01D55"/>
    <w:rsid w:val="00D21D01"/>
    <w:rsid w:val="00E654EF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B01F-0AFB-4B05-BAEA-BBD81DFA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qFormat/>
    <w:rsid w:val="00E654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654EF"/>
    <w:pPr>
      <w:widowControl w:val="0"/>
      <w:autoSpaceDE w:val="0"/>
      <w:autoSpaceDN w:val="0"/>
      <w:spacing w:before="240" w:after="60"/>
      <w:outlineLvl w:val="8"/>
    </w:pPr>
    <w:rPr>
      <w:rFonts w:ascii="@Malgun Gothic Semilight" w:hAnsi="@Malgun Gothic Semiligh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670D"/>
    <w:pPr>
      <w:suppressAutoHyphens/>
      <w:ind w:left="720"/>
    </w:pPr>
    <w:rPr>
      <w:rFonts w:ascii="Liberation Serif" w:eastAsia="Liberation Sans" w:hAnsi="Liberation Serif" w:cs="Liberation Sans"/>
      <w:kern w:val="1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E654E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654EF"/>
    <w:rPr>
      <w:rFonts w:ascii="@Malgun Gothic Semilight" w:eastAsia="Times New Roman" w:hAnsi="@Malgun Gothic Semilight" w:cs="Times New Roman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E654EF"/>
    <w:pPr>
      <w:widowControl w:val="0"/>
      <w:autoSpaceDE w:val="0"/>
      <w:autoSpaceDN w:val="0"/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E654E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2696</Words>
  <Characters>15373</Characters>
  <Application>Microsoft Office Word</Application>
  <DocSecurity>0</DocSecurity>
  <Lines>128</Lines>
  <Paragraphs>36</Paragraphs>
  <ScaleCrop>false</ScaleCrop>
  <Company/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2024-09-26T12:18:00Z</dcterms:created>
  <dcterms:modified xsi:type="dcterms:W3CDTF">2024-10-10T09:34:00Z</dcterms:modified>
</cp:coreProperties>
</file>